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acb833a017ff1397f7e5fa05709b3cd1c1dc3"/>
    <w:p>
      <w:pPr>
        <w:pStyle w:val="Heading1"/>
      </w:pPr>
      <w:r>
        <w:t xml:space="preserve">Housing Data Analysis: Group 1 Final Report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a comprehensive analysis of five distinct housing datasets from various global regions (California, Ames, Melbourne, Boston, and Bangalore). Our primary objective was to identify universal and region-specific factors that drive property values, leveraging a standardized Exploratory Data Analysis (EDA) workflow.</w:t>
      </w:r>
    </w:p>
    <w:bookmarkEnd w:id="9"/>
    <w:bookmarkStart w:id="10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implemented a shared infrastructure to ensure consistency across all analyses: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Cleaning</w:t>
      </w:r>
      <w:r>
        <w:t xml:space="preserve">: Handling missing values, outlier removal using the IQR method, and feature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: Reusable Python functions for missing value reporting, automated outlier removal, and correlation visualization.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Visualization</w:t>
      </w:r>
      <w:r>
        <w:t xml:space="preserve">: Extensive use of Plotly for dynamic, multi-dimensional exploration of price drivers.</w:t>
      </w:r>
    </w:p>
    <w:bookmarkEnd w:id="10"/>
    <w:bookmarkStart w:id="11" w:name="dataset-overview"/>
    <w:p>
      <w:pPr>
        <w:pStyle w:val="Heading2"/>
      </w:pPr>
      <w:r>
        <w:t xml:space="preserve">3.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House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Ames (Iowa)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MEDV (Price)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Bangalore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2" w:name="individual-analysis-summaries"/>
    <w:p>
      <w:pPr>
        <w:pStyle w:val="Heading2"/>
      </w:pPr>
      <w:r>
        <w:t xml:space="preserve">4. Individual Analysis Summaries</w:t>
      </w:r>
    </w:p>
    <w:bookmarkStart w:id="15" w:name="kelvin-california-housing"/>
    <w:p>
      <w:pPr>
        <w:pStyle w:val="Heading3"/>
      </w:pPr>
      <w:r>
        <w:t xml:space="preserve">Kelvin: California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Coastal location and median neighborhood income are the strongest predictors of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MedInc</w:t>
      </w:r>
      <w:r>
        <w:t xml:space="preserve"> </w:t>
      </w:r>
      <w:r>
        <w:t xml:space="preserve">(Median Income) showed a near-linear correlation with house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13" name="Picture"/>
            <a:graphic>
              <a:graphicData uri="http://schemas.openxmlformats.org/drawingml/2006/picture">
                <pic:pic>
                  <pic:nvPicPr>
                    <pic:cNvPr descr="images/geospatial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ekure-ames-housing"/>
    <w:p>
      <w:pPr>
        <w:pStyle w:val="Heading3"/>
      </w:pPr>
      <w:r>
        <w:t xml:space="preserve">Ekure: Ames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Material quality and total living area dominate the Midwestern US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OverallQual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GrLivArea</w:t>
      </w:r>
      <w:r>
        <w:t xml:space="preserve"> </w:t>
      </w:r>
      <w:r>
        <w:t xml:space="preserve">accounted for over 70% of price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Living Area vs Price" title="" id="17" name="Picture"/>
            <a:graphic>
              <a:graphicData uri="http://schemas.openxmlformats.org/drawingml/2006/picture">
                <pic:pic>
                  <pic:nvPicPr>
                    <pic:cNvPr descr="../ekure/images/living_area_vs_pri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hillary-melbourne-housing"/>
    <w:p>
      <w:pPr>
        <w:pStyle w:val="Heading3"/>
      </w:pPr>
      <w:r>
        <w:t xml:space="preserve">Hillary: Melbourne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Proximity to the central business district and property type (House vs Unit) are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Suburb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significantly influence price ceilings.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21" name="Picture"/>
            <a:graphic>
              <a:graphicData uri="http://schemas.openxmlformats.org/drawingml/2006/picture">
                <pic:pic>
                  <pic:nvPicPr>
                    <pic:cNvPr descr="../hillary/images/geospatial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jesse-boston-housing"/>
    <w:p>
      <w:pPr>
        <w:pStyle w:val="Heading3"/>
      </w:pPr>
      <w:r>
        <w:t xml:space="preserve">Jesse: Boston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Socio-economic status of the neighborhood and physical room count are paramount.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(Lower status %)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(Number of rooms).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Rooms vs Price" title="" id="25" name="Picture"/>
            <a:graphic>
              <a:graphicData uri="http://schemas.openxmlformats.org/drawingml/2006/picture">
                <pic:pic>
                  <pic:nvPicPr>
                    <pic:cNvPr descr="../jesse/images/rooms_vs_pri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mary-bangalore-housing"/>
    <w:p>
      <w:pPr>
        <w:pStyle w:val="Heading3"/>
      </w:pPr>
      <w:r>
        <w:t xml:space="preserve">Mary: Bangalore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Total square footage and</w:t>
      </w:r>
      <w:r>
        <w:t xml:space="preserve"> </w:t>
      </w:r>
      <w:r>
        <w:t xml:space="preserve">“Area Type”</w:t>
      </w:r>
      <w:r>
        <w:t xml:space="preserve"> </w:t>
      </w:r>
      <w:r>
        <w:t xml:space="preserve">(e.g., Plot vs Built-up) define the tech hub’s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total_sqft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BHK</w:t>
      </w:r>
      <w:r>
        <w:t xml:space="preserve"> </w:t>
      </w:r>
      <w:r>
        <w:t xml:space="preserve">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SqFt vs Price" title="" id="29" name="Picture"/>
            <a:graphic>
              <a:graphicData uri="http://schemas.openxmlformats.org/drawingml/2006/picture">
                <pic:pic>
                  <pic:nvPicPr>
                    <pic:cNvPr descr="../mary/images/sqft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dataset-synthesis"/>
    <w:p>
      <w:pPr>
        <w:pStyle w:val="Heading2"/>
      </w:pPr>
      <w:r>
        <w:t xml:space="preserve">5. Cross-Dataset Synthesis</w:t>
      </w:r>
    </w:p>
    <w:p>
      <w:pPr>
        <w:pStyle w:val="FirstParagraph"/>
      </w:pPr>
      <w:r>
        <w:t xml:space="preserve">Our cross-regional comparison revealed three universal</w:t>
      </w:r>
      <w:r>
        <w:t xml:space="preserve"> </w:t>
      </w:r>
      <w:r>
        <w:t xml:space="preserve">“Housing Axioms”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 Consistency</w:t>
      </w:r>
      <w:r>
        <w:t xml:space="preserve">: Regardless of the region (Bangalore to Boston), living area remains a robust positive indicator of value.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Location Premium</w:t>
      </w:r>
      <w:r>
        <w:t xml:space="preserve">: Whether it’s the California coast or Melbourne suburbs, geospatial position is the primary multiplier for base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Quality/Status Ceiling</w:t>
      </w:r>
      <w:r>
        <w:t xml:space="preserve">: In datasets with quality or socio-economic indicators (Ames/Boston), these factors often provide more explanatory power than physical dimensions alone.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By applying a unified technical framework to diverse data sources, Group 1 has demonstrated that while regional nuances exist (e.g., BHK in India vs Total Rooms in US), the fundamental drivers of residential real estate remain remarkably consistent globally.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2026-01-24T07:15:55Z</dcterms:created>
  <dcterms:modified xsi:type="dcterms:W3CDTF">2026-01-24T07:15:55Z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