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E2761"/>
          <w:sz w:val="40"/>
          <w:szCs w:val="40"/>
        </w:rPr>
        <w:t xml:space="preserve">Same Patient, Different Explanations?</w:t>
      </w:r>
    </w:p>
    <w:p>
      <w:pPr>
        <w:spacing w:after="60"/>
      </w:pPr>
      <w:r>
        <w:rPr>
          <w:rFonts w:ascii="Georgia" w:cs="Georgia" w:eastAsia="Georgia" w:hAnsi="Georgia"/>
          <w:color w:val="B63A3A"/>
          <w:sz w:val="22"/>
          <w:szCs w:val="22"/>
        </w:rPr>
        <w:t xml:space="preserve">A Comparative Study of SHAP Consistency Across ML Models and Datasets in Healthcare</w:t>
      </w:r>
    </w:p>
    <w:p>
      <w:pPr>
        <w:spacing w:after="60"/>
      </w:pPr>
      <w:r>
        <w:rPr>
          <w:color w:val="666666"/>
          <w:sz w:val="20"/>
          <w:szCs w:val="20"/>
        </w:rPr>
        <w:t xml:space="preserve">Group H  ·  Sakshi Saggam  ·  Toochukwu Okutalukwe</w:t>
      </w:r>
    </w:p>
    <w:p>
      <w:pPr>
        <w:spacing w:after="60"/>
      </w:pPr>
      <w:r>
        <w:rPr>
          <w:color w:val="666666"/>
          <w:sz w:val="20"/>
          <w:szCs w:val="20"/>
        </w:rPr>
        <w:t xml:space="preserve">Data Science &amp; AI II  ·  Transparency, Explainability &amp; Accountability</w:t>
      </w:r>
    </w:p>
    <w:p>
      <w:pPr>
        <w:pBdr>
          <w:bottom w:val="single" w:color="1E2761" w:sz="6" w:space="1"/>
        </w:pBdr>
        <w:spacing w:after="300"/>
      </w:pPr>
    </w:p>
    <w:p>
      <w:pPr>
        <w:pStyle w:val="Heading1"/>
      </w:pPr>
      <w:r>
        <w:t xml:space="preserve">1. Introduction</w:t>
      </w:r>
    </w:p>
    <w:p>
      <w:pPr>
        <w:spacing w:after="200"/>
      </w:pPr>
      <w:r>
        <w:t xml:space="preserve">Explainable AI (XAI) tools like SHAP are increasingly used to meet transparency requirements in clinical machine learning. The EU AI Act (Article 13) mandates that high-risk AI systems be transparent enough for deployers to interpret their output, and GDPR Article 22 protects patients’ right to meaningful explanations of automated decisions. SHAP has become the default tool for meeting these obligations: it assigns each feature a contribution score grounded in cooperative game theory, satisfying mathematical properties including local accuracy, missingness, and consistency.</w:t>
      </w:r>
    </w:p>
    <w:p>
      <w:pPr>
        <w:spacing w:after="200"/>
      </w:pPr>
      <w:r>
        <w:t xml:space="preserve">However, SHAP’s consistency guarantee applies </w:t>
      </w:r>
      <w:r>
        <w:rPr>
          <w:i/>
          <w:iCs/>
        </w:rPr>
        <w:t xml:space="preserve">within a single model</w:t>
      </w:r>
      <w:r>
        <w:t xml:space="preserve">. It faithfully reflects what one model has learned, but it says nothing about whether two different models trained on the same data will produce the same explanation for the same patient. Watson, Awwad Shiekh Hasan &amp; Al Moubayed (2022) demonstrated that even identical deep learning architectures trained with different random seeds on clinical chest X-ray data produced explanations agreeing only approximately 33% of the time. If explanation instability exists within the same architecture, the question of what happens across fundamentally different architectures — tree ensembles versus neural networks — becomes urgent.</w:t>
      </w:r>
    </w:p>
    <w:p>
      <w:pPr>
        <w:spacing w:after="200"/>
      </w:pPr>
      <w:r>
        <w:t xml:space="preserve">This project provides a systematic, empirical test of that question. We train two structurally different models (XGBoost and a multilayer perceptron) on four healthcare datasets spanning two diseases, generate SHAP explanations for each, and measure whether those explanations agree — globally and at the individual patient level. By replicating the comparison across two diabetes datasets and two heart disease datasets, we can determine whether any divergence pattern is a property of the model architecture, the dataset, or both.</w:t>
      </w:r>
    </w:p>
    <w:p>
      <w:pPr>
        <w:pStyle w:val="Heading1"/>
      </w:pPr>
      <w:r>
        <w:t xml:space="preserve">2. Research Questions</w:t>
      </w:r>
    </w:p>
    <w:p>
      <w:pPr>
        <w:spacing w:after="160"/>
      </w:pPr>
      <w:r>
        <w:rPr>
          <w:b/>
          <w:bCs/>
        </w:rPr>
        <w:t xml:space="preserve">Overarching question: </w:t>
      </w:r>
      <w:r>
        <w:t xml:space="preserve">When structurally different models achieve similar accuracy on identical healthcare data, do their SHAP explanations provide a consistent account of why a prediction was made?</w:t>
      </w:r>
    </w:p>
    <w:p>
      <w:pPr>
        <w:pStyle w:val="ListParagraph"/>
        <w:numPr>
          <w:ilvl w:val="0"/>
          <w:numId w:val="2"/>
        </w:numPr>
        <w:spacing w:after="100"/>
      </w:pPr>
      <w:r>
        <w:rPr>
          <w:b/>
          <w:bCs/>
        </w:rPr>
        <w:t xml:space="preserve">Within-dataset: </w:t>
      </w:r>
      <w:r>
        <w:t xml:space="preserve">Do the models agree on which features drive predictions, both globally (feature rankings) and locally (individual patients)?</w:t>
      </w:r>
    </w:p>
    <w:p>
      <w:pPr>
        <w:pStyle w:val="ListParagraph"/>
        <w:numPr>
          <w:ilvl w:val="0"/>
          <w:numId w:val="2"/>
        </w:numPr>
        <w:spacing w:after="100"/>
      </w:pPr>
      <w:r>
        <w:rPr>
          <w:b/>
          <w:bCs/>
        </w:rPr>
        <w:t xml:space="preserve">Cross-dataset within disease: </w:t>
      </w:r>
      <w:r>
        <w:t xml:space="preserve">Does the pattern of agreement or divergence replicate across two different datasets for the same disease? For example, if XGBoost and MLP diverge on Pima Diabetes, do they also diverge on the Kaggle Diabetes Prediction dataset?</w:t>
      </w:r>
    </w:p>
    <w:p>
      <w:pPr>
        <w:pStyle w:val="ListParagraph"/>
        <w:numPr>
          <w:ilvl w:val="0"/>
          <w:numId w:val="2"/>
        </w:numPr>
        <w:spacing w:after="100"/>
      </w:pPr>
      <w:r>
        <w:rPr>
          <w:b/>
          <w:bCs/>
        </w:rPr>
        <w:t xml:space="preserve">Cross-disease: </w:t>
      </w:r>
      <w:r>
        <w:t xml:space="preserve">Is the divergence pattern consistent across disease domains (diabetes vs heart disease), or is it disease-specific?</w:t>
      </w:r>
    </w:p>
    <w:p>
      <w:pPr>
        <w:pStyle w:val="ListParagraph"/>
        <w:numPr>
          <w:ilvl w:val="0"/>
          <w:numId w:val="2"/>
        </w:numPr>
        <w:spacing w:after="200"/>
      </w:pPr>
      <w:r>
        <w:rPr>
          <w:b/>
          <w:bCs/>
        </w:rPr>
        <w:t xml:space="preserve">Governance implications: </w:t>
      </w:r>
      <w:r>
        <w:t xml:space="preserve">If explanations diverge, how must we re-evaluate the definition of “regulatory transparency” in clinical AI deployment?</w:t>
      </w:r>
    </w:p>
    <w:p>
      <w:pPr>
        <w:pStyle w:val="Heading1"/>
      </w:pPr>
      <w:r>
        <w:t xml:space="preserve">3. Theoretical Framework</w:t>
      </w:r>
    </w:p>
    <w:p>
      <w:pPr>
        <w:pStyle w:val="Heading2"/>
      </w:pPr>
      <w:r>
        <w:t xml:space="preserve">3.1 The Rashomon Effect and Predictive Multiplicity</w:t>
      </w:r>
    </w:p>
    <w:p>
      <w:pPr>
        <w:spacing w:after="200"/>
      </w:pPr>
      <w:r>
        <w:t xml:space="preserve">Breiman (2001) introduced the concept of the Rashomon Effect in statistical modelling: a single dataset can produce multiple equally accurate models that rely on fundamentally different features. Marx et al. (2020) formalised this as Predictive Multiplicity, showing that models with indistinguishable performance can produce conflicting individual-level predictions. Our project extends this to the explanation layer: even when two models agree on the prediction, do they agree on the explanation?</w:t>
      </w:r>
    </w:p>
    <w:p>
      <w:pPr>
        <w:pStyle w:val="Heading2"/>
      </w:pPr>
      <w:r>
        <w:t xml:space="preserve">3.2 SHAP and its Limitations</w:t>
      </w:r>
    </w:p>
    <w:p>
      <w:pPr>
        <w:spacing w:after="200"/>
      </w:pPr>
      <w:r>
        <w:t xml:space="preserve">Lundberg &amp; Lee (2017) unified several explanation methods under the SHAP framework, demonstrating that Shapley values are the unique solution satisfying local accuracy, missingness, and consistency. However, these properties are model-relative: they guarantee that SHAP faithfully reflects what a single model has learned, not that two different models will learn the same thing. Kumar &amp; Chandran (2021) showed there is no unique Shapley explanation even for a single model when different output types (probability, log-odds, binary) are used. The “Explanation Multiplicity in SHAP” paper (2026) demonstrated that commonly used magnitude-based metrics can mask substantial instability in the identity and ordering of top-ranked features.</w:t>
      </w:r>
    </w:p>
    <w:p>
      <w:pPr>
        <w:pStyle w:val="Heading2"/>
      </w:pPr>
      <w:r>
        <w:t xml:space="preserve">3.3 Why SHAP, not LIME</w:t>
      </w:r>
    </w:p>
    <w:p>
      <w:pPr>
        <w:spacing w:after="200"/>
      </w:pPr>
      <w:r>
        <w:t xml:space="preserve">LIME (Ribeiro et al., 2016) fits local linear surrogates around each prediction but is known to be unstable across runs due to random perturbation sampling. SHAP was specifically designed to address this instability through its game-theoretic foundation. By testing SHAP — the more rigorous tool — we set a higher bar: if even SHAP cannot maintain cross-model consistency, the problem is fundamental, not a limitation of a particular XAI method.</w:t>
      </w:r>
    </w:p>
    <w:p>
      <w:pPr>
        <w:pStyle w:val="Heading1"/>
      </w:pPr>
      <w:r>
        <w:t xml:space="preserve">4. Datasets</w:t>
      </w:r>
    </w:p>
    <w:p>
      <w:pPr>
        <w:spacing w:after="200"/>
      </w:pPr>
      <w:r>
        <w:t xml:space="preserve">We use four public datasets — two for diabetes prediction and two for heart disease prediction. Within each disease pair, the datasets differ in population, scale, and feature composition, enabling a controlled test of whether SHAP divergence patterns are dataset-specific or structural.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900"/>
        <w:gridCol w:w="900"/>
        <w:gridCol w:w="4106"/>
      </w:tblGrid>
      <w:tr>
        <w:tc>
          <w:tcPr>
            <w:tcW w:type="dxa" w:w="1600"/>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 </w:t>
            </w:r>
          </w:p>
        </w:tc>
        <w:tc>
          <w:tcPr>
            <w:tcW w:type="dxa" w:w="2000"/>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Dataset</w:t>
            </w:r>
          </w:p>
        </w:tc>
        <w:tc>
          <w:tcPr>
            <w:tcW w:type="dxa" w:w="900"/>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Patients</w:t>
            </w:r>
          </w:p>
        </w:tc>
        <w:tc>
          <w:tcPr>
            <w:tcW w:type="dxa" w:w="900"/>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Features</w:t>
            </w:r>
          </w:p>
        </w:tc>
        <w:tc>
          <w:tcPr>
            <w:tcW w:type="dxa" w:w="4106"/>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Key Variables</w:t>
            </w:r>
          </w:p>
        </w:tc>
      </w:tr>
      <w:tr>
        <w:tc>
          <w:tcPr>
            <w:tcW w:type="dxa" w:w="16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vAlign w:val="center"/>
          </w:tcPr>
          <w:p>
            <w:r>
              <w:rPr>
                <w:b/>
                <w:bCs/>
                <w:color w:val="1E2761"/>
                <w:sz w:val="20"/>
                <w:szCs w:val="20"/>
              </w:rPr>
              <w:t xml:space="preserve">Diabetes A</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Pima Indians Diabetes (UCI/Kaggle)</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768</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8</w:t>
            </w:r>
          </w:p>
        </w:tc>
        <w:tc>
          <w:tcPr>
            <w:tcW w:type="dxa" w:w="410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Glucose, BMI, age, insulin, blood pressure, skin thickness, pregnancies, pedigree. All continuous. Binary diabetes target.</w:t>
            </w:r>
          </w:p>
        </w:tc>
      </w:tr>
      <w:tr>
        <w:tc>
          <w:tcPr>
            <w:tcW w:type="dxa" w:w="16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vAlign w:val="center"/>
          </w:tcPr>
          <w:p>
            <w:r>
              <w:rPr>
                <w:b/>
                <w:bCs/>
                <w:color w:val="1E2761"/>
                <w:sz w:val="20"/>
                <w:szCs w:val="20"/>
              </w:rPr>
              <w:t xml:space="preserve">Diabetes B</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Kaggle Diabetes Prediction Dataset</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100,000</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9</w:t>
            </w:r>
          </w:p>
        </w:tc>
        <w:tc>
          <w:tcPr>
            <w:tcW w:type="dxa" w:w="410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Age, gender, BMI, hypertension, heart disease, smoking history, HbA1c level, blood glucose level. Mixed continuous/categorical. Binary diabetes target.</w:t>
            </w:r>
          </w:p>
        </w:tc>
      </w:tr>
      <w:tr>
        <w:tc>
          <w:tcPr>
            <w:tcW w:type="dxa" w:w="160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vAlign w:val="center"/>
          </w:tcPr>
          <w:p>
            <w:r>
              <w:rPr>
                <w:b/>
                <w:bCs/>
                <w:color w:val="B63A3A"/>
                <w:sz w:val="20"/>
                <w:szCs w:val="20"/>
              </w:rPr>
              <w:t xml:space="preserve">Heart A</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UCI Heart Disease (Cleveland)</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1,025</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14</w:t>
            </w:r>
          </w:p>
        </w:tc>
        <w:tc>
          <w:tcPr>
            <w:tcW w:type="dxa" w:w="410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Age, sex, chest pain type, cholesterol, resting ECG, ST depression, thalassemia, max heart rate. Continuous + categorical. Binary heart-disease target.</w:t>
            </w:r>
          </w:p>
        </w:tc>
      </w:tr>
      <w:tr>
        <w:tc>
          <w:tcPr>
            <w:tcW w:type="dxa" w:w="160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vAlign w:val="center"/>
          </w:tcPr>
          <w:p>
            <w:r>
              <w:rPr>
                <w:b/>
                <w:bCs/>
                <w:color w:val="B63A3A"/>
                <w:sz w:val="20"/>
                <w:szCs w:val="20"/>
              </w:rPr>
              <w:t xml:space="preserve">Heart B</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Framingham Heart Study (Kaggle)</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4,240</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16</w:t>
            </w:r>
          </w:p>
        </w:tc>
        <w:tc>
          <w:tcPr>
            <w:tcW w:type="dxa" w:w="410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Age, sex, smoking, cigarettes/day, BP medication, prevalent stroke, hypertension, diabetes, cholesterol, systolic/diastolic BP, BMI, heart rate, glucose. Mostly continuous. 10-year CHD risk target.</w:t>
            </w:r>
          </w:p>
        </w:tc>
      </w:tr>
    </w:tbl>
    <w:p>
      <w:pPr>
        <w:spacing w:after="200" w:before="200"/>
      </w:pPr>
      <w:r>
        <w:rPr>
          <w:b/>
          <w:bCs/>
        </w:rPr>
        <w:t xml:space="preserve">Why these pairs? </w:t>
      </w:r>
      <w:r>
        <w:t xml:space="preserve">The diabetes pair shares core features (glucose, BMI, age) across a massive scale difference (768 vs 100,000), allowing us to test whether dataset size affects explanation consistency. The heart disease pair shares overlapping clinical variables (age, sex, cholesterol, blood pressure) from two distinct populations and study designs (Cleveland cross-section vs Framingham longitudinal cohort). Within each disease, if the divergence pattern replicates across both datasets, the finding is about model architecture. If not, the finding is data-dependent.</w:t>
      </w:r>
    </w:p>
    <w:p>
      <w:pPr>
        <w:pStyle w:val="Heading1"/>
      </w:pPr>
      <w:r>
        <w:t xml:space="preserve">5. Methodology</w:t>
      </w:r>
    </w:p>
    <w:p>
      <w:pPr>
        <w:pStyle w:val="Heading2"/>
      </w:pPr>
      <w:r>
        <w:t xml:space="preserve">5.1 Models</w:t>
      </w:r>
    </w:p>
    <w:p>
      <w:pPr>
        <w:spacing w:after="200"/>
      </w:pPr>
      <w:r>
        <w:t xml:space="preserve">We train two models per dataset: XGBoost (gradient-boosted trees, explained via TreeExplainer) and a multilayer perceptron (2–3 hidden layers, explained via DeepExplainer). These represent the widest structural contrast available in standard healthcare ML: XGBoost partitions input space into axis-aligned rectangular regions via discrete splits, while the MLP learns smooth, nonlinear decision boundaries through continuous weight updates. Each has a dedicated, optimised SHAP explainer, meaning we test SHAP at its best. Both models are tuned to comparable test accuracy per dataset (within 2–3 percentage points of AUC-ROC) so that any explanation difference reflects the architecture, not a performance gap.</w:t>
      </w:r>
    </w:p>
    <w:p>
      <w:pPr>
        <w:pStyle w:val="Heading2"/>
      </w:pPr>
      <w:r>
        <w:t xml:space="preserve">5.2 Experimental Setup</w:t>
      </w:r>
    </w:p>
    <w:p>
      <w:pPr>
        <w:spacing w:after="200"/>
      </w:pPr>
      <w:r>
        <w:t xml:space="preserve">For each of the four datasets: clean and preprocess data (handling missing values, encoding categoricals). Standardise features for the MLP only (tree-based models are invariant to monotonic transformations). Apply an 80/20 stratified train/test split with the same random seed for both models. This yields eight trained models total (2 architectures × 4 datasets).</w:t>
      </w:r>
    </w:p>
    <w:p>
      <w:pPr>
        <w:pStyle w:val="Heading2"/>
      </w:pPr>
      <w:r>
        <w:t xml:space="preserve">5.3 Analysis Pipeline</w:t>
      </w:r>
    </w:p>
    <w:p>
      <w:pPr>
        <w:spacing w:after="100"/>
      </w:pPr>
      <w:r>
        <w:rPr>
          <w:b/>
          <w:bCs/>
        </w:rPr>
        <w:t xml:space="preserve">Step 1 — Global SHAP. </w:t>
      </w:r>
      <w:r>
        <w:t xml:space="preserve">Generate beeswarm plots and mean absolute SHAP feature rankings for each model on each dataset. Compare XGBoost vs MLP within each dataset using Spearman’s rank correlation (ρ). Compute top-k overlap (do the top 3 features match?).</w:t>
      </w:r>
    </w:p>
    <w:p>
      <w:pPr>
        <w:spacing w:after="100"/>
      </w:pPr>
      <w:r>
        <w:rPr>
          <w:b/>
          <w:bCs/>
        </w:rPr>
        <w:t xml:space="preserve">Step 2 — Local SHAP. </w:t>
      </w:r>
      <w:r>
        <w:t xml:space="preserve">Select five representative patients per dataset using a systematic, pre-defined strategy: one high-confidence true positive, one high-confidence true negative, one borderline case near the decision threshold, one false positive, and one false negative. Generate force and waterfall plots for each patient under both models.</w:t>
      </w:r>
    </w:p>
    <w:p>
      <w:pPr>
        <w:spacing w:after="100"/>
      </w:pPr>
      <w:r>
        <w:rPr>
          <w:b/>
          <w:bCs/>
        </w:rPr>
        <w:t xml:space="preserve">Step 3 — Quantify Divergence. </w:t>
      </w:r>
      <w:r>
        <w:t xml:space="preserve">For each patient pair: top-3 feature overlap (do both models cite the same top features?), sign agreement (do both models say a feature pushes risk in the same direction?), and rank correlation at the local level. Identify patients where models agree on the prediction but diverge on the explanation.</w:t>
      </w:r>
    </w:p>
    <w:p>
      <w:pPr>
        <w:spacing w:after="200"/>
      </w:pPr>
      <w:r>
        <w:rPr>
          <w:b/>
          <w:bCs/>
        </w:rPr>
        <w:t xml:space="preserve">Step 4 — Cross-Dataset Synthesis. </w:t>
      </w:r>
      <w:r>
        <w:t xml:space="preserve">Compare divergence metrics across the two diabetes datasets (Pima vs Kaggle) and the two heart disease datasets (UCI vs Framingham). If the same divergence pattern appears within a disease pair, the finding is architectural. If divergence is stronger on one dataset than the other, investigate whether dataset size, feature composition, or population characteristics explain the difference. Then compare across disease domains.</w:t>
      </w:r>
    </w:p>
    <w:p>
      <w:pPr>
        <w:pStyle w:val="Heading2"/>
      </w:pPr>
      <w:r>
        <w:t xml:space="preserve">5.4 Robustness Check</w:t>
      </w:r>
    </w:p>
    <w:p>
      <w:pPr>
        <w:spacing w:after="200"/>
      </w:pPr>
      <w:r>
        <w:t xml:space="preserve">TreeExplainer and DeepExplainer use different approximation methods, which could confound the comparison. As a robustness check, we plan to run KernelExplainer (a model-agnostic SHAP variant) on both models for at least one dataset. If KernelExplainer produces the same divergence pattern, we can attribute it to the model architectures. If divergence disappears, the finding is about the explainer variants — itself an important result for transparency pipelines.</w:t>
      </w:r>
    </w:p>
    <w:p>
      <w:pPr>
        <w:pStyle w:val="Heading1"/>
      </w:pPr>
      <w:r>
        <w:t xml:space="preserve">6. Tools</w:t>
      </w:r>
    </w:p>
    <w:p>
      <w:pPr>
        <w:spacing w:after="200"/>
      </w:pPr>
      <w:r>
        <w:t xml:space="preserve">Python, scikit-learn, XGBoost, PyTorch, SHAP (TreeExplainer, DeepExplainer, KernelExplainer), pandas, matplotlib/seaborn for visualisation. All work will be conducted in Jupyter notebooks with pinned library versions for reproducibility.</w:t>
      </w:r>
    </w:p>
    <w:p>
      <w:pPr>
        <w:pStyle w:val="Heading1"/>
      </w:pPr>
      <w:r>
        <w:t xml:space="preserve">7. Work Division</w:t>
      </w:r>
    </w:p>
    <w:p>
      <w:pPr>
        <w:spacing w:after="200"/>
      </w:pPr>
      <w:r>
        <w:t xml:space="preserve">The project is divided by disease domain, not by task. Each partner owns both models and the full SHAP pipeline for their disease, ensuring end-to-end accountability and deep familiarity with their datasets.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4053"/>
        <w:gridCol w:w="4053"/>
      </w:tblGrid>
      <w:tr>
        <w:tc>
          <w:tcPr>
            <w:tcW w:type="dxa" w:w="1400"/>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 </w:t>
            </w:r>
          </w:p>
        </w:tc>
        <w:tc>
          <w:tcPr>
            <w:tcW w:type="dxa" w:w="4053"/>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Person A (Sakshi)</w:t>
            </w:r>
          </w:p>
        </w:tc>
        <w:tc>
          <w:tcPr>
            <w:tcW w:type="dxa" w:w="4053"/>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Person B (Toochukwu)</w:t>
            </w:r>
          </w:p>
        </w:tc>
      </w:tr>
      <w:tr>
        <w:tc>
          <w:tcPr>
            <w:tcW w:type="dxa" w:w="14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b/>
                <w:bCs/>
                <w:sz w:val="20"/>
                <w:szCs w:val="20"/>
              </w:rPr>
              <w:t xml:space="preserve">Domain</w:t>
            </w:r>
          </w:p>
        </w:tc>
        <w:tc>
          <w:tcPr>
            <w:tcW w:type="dxa" w:w="40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Diabetes (Pima + Kaggle Diabetes Prediction)</w:t>
            </w:r>
          </w:p>
        </w:tc>
        <w:tc>
          <w:tcPr>
            <w:tcW w:type="dxa" w:w="40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Heart Disease (UCI Cleveland + Framingham)</w:t>
            </w:r>
          </w:p>
        </w:tc>
      </w:tr>
      <w:tr>
        <w:tc>
          <w:tcPr>
            <w:tcW w:type="dxa" w:w="14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b/>
                <w:bCs/>
                <w:sz w:val="20"/>
                <w:szCs w:val="20"/>
              </w:rPr>
              <w:t xml:space="preserve">Scope</w:t>
            </w:r>
          </w:p>
        </w:tc>
        <w:tc>
          <w:tcPr>
            <w:tcW w:type="dxa" w:w="40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Train XGBoost + MLP on both diabetes datasets. Run TreeExplainer + DeepExplainer. Global + local SHAP. Within-disease cross-dataset comparison.</w:t>
            </w:r>
          </w:p>
        </w:tc>
        <w:tc>
          <w:tcPr>
            <w:tcW w:type="dxa" w:w="40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Train XGBoost + MLP on both heart datasets. Run TreeExplainer + DeepExplainer. Global + local SHAP. Within-disease cross-dataset comparison.</w:t>
            </w:r>
          </w:p>
        </w:tc>
      </w:tr>
      <w:tr>
        <w:tc>
          <w:tcPr>
            <w:tcW w:type="dxa" w:w="14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b/>
                <w:bCs/>
                <w:sz w:val="20"/>
                <w:szCs w:val="20"/>
              </w:rPr>
              <w:t xml:space="preserve">Joint</w:t>
            </w:r>
          </w:p>
        </w:tc>
        <w:tc>
          <w:tcPr>
            <w:tcW w:type="dxa" w:w="8106"/>
            <w:gridSpan w:val="2"/>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Cross-disease synthesis (do diabetes divergence patterns match heart disease divergence patterns?). Unified notebook. Final presentation and report.</w:t>
            </w:r>
          </w:p>
        </w:tc>
      </w:tr>
    </w:tbl>
    <w:p>
      <w:pPr>
        <w:spacing w:after="200" w:before="200"/>
      </w:pPr>
      <w:r>
        <w:rPr>
          <w:b/>
          <w:bCs/>
        </w:rPr>
        <w:t xml:space="preserve">Why divide by disease, not by task? </w:t>
      </w:r>
      <w:r>
        <w:t xml:space="preserve">Dividing by task (e.g. one person trains all models, the other runs all SHAP) creates blocking dependencies. Dividing by disease means both partners work in parallel for weeks 1–3, each producing a complete within-disease analysis. The most interesting analytical work — comparing diabetes patterns to heart disease patterns — happens jointly in week 4 when both analyses converge.</w:t>
      </w:r>
    </w:p>
    <w:p>
      <w:pPr>
        <w:pStyle w:val="Heading1"/>
      </w:pPr>
      <w:r>
        <w:t xml:space="preserve">8. Timeline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Week</w:t>
            </w:r>
          </w:p>
        </w:tc>
        <w:tc>
          <w:tcPr>
            <w:tcW w:type="dxa" w:w="3853"/>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Person A (Diabetes)</w:t>
            </w:r>
          </w:p>
        </w:tc>
        <w:tc>
          <w:tcPr>
            <w:tcW w:type="dxa" w:w="3853"/>
            <w:tcBorders>
              <w:top w:val="single" w:color="D0D0D0" w:sz="1"/>
              <w:left w:val="single" w:color="D0D0D0" w:sz="1"/>
              <w:bottom w:val="single" w:color="D0D0D0" w:sz="1"/>
              <w:right w:val="single" w:color="D0D0D0" w:sz="1"/>
            </w:tcBorders>
            <w:shd w:fill="1E2761" w:val="clear"/>
            <w:tcMar>
              <w:top w:type="dxa" w:w="80"/>
              <w:left w:type="dxa" w:w="120"/>
              <w:bottom w:type="dxa" w:w="80"/>
              <w:right w:type="dxa" w:w="120"/>
            </w:tcMar>
          </w:tcPr>
          <w:p>
            <w:r>
              <w:rPr>
                <w:b/>
                <w:bCs/>
                <w:color w:val="FFFFFF"/>
                <w:sz w:val="20"/>
                <w:szCs w:val="20"/>
              </w:rPr>
              <w:t xml:space="preserve">Person B (Heart Disease)</w:t>
            </w:r>
          </w:p>
        </w:tc>
      </w:tr>
      <w:tr>
        <w:tc>
          <w:tcPr>
            <w:tcW w:type="dxa" w:w="18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b/>
                <w:bCs/>
                <w:sz w:val="20"/>
                <w:szCs w:val="20"/>
              </w:rPr>
              <w:t xml:space="preserve">Week 1</w:t>
            </w:r>
          </w:p>
          <w:p>
            <w:r>
              <w:rPr>
                <w:b w:val="false"/>
                <w:bCs w:val="false"/>
                <w:sz w:val="20"/>
                <w:szCs w:val="20"/>
              </w:rPr>
              <w:t xml:space="preserve">May 23–29</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Clean Pima + Kaggle Diabetes. Train XGBoost + MLP on both. Tune to comparable accuracy.</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Clean UCI Cleveland + Framingham. Train XGBoost + MLP on both. Tune to comparable accuracy.</w:t>
            </w:r>
          </w:p>
        </w:tc>
      </w:tr>
      <w:tr>
        <w:tc>
          <w:tcPr>
            <w:tcW w:type="dxa" w:w="18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b/>
                <w:bCs/>
                <w:sz w:val="20"/>
                <w:szCs w:val="20"/>
              </w:rPr>
              <w:t xml:space="preserve">Week 2</w:t>
            </w:r>
          </w:p>
          <w:p>
            <w:r>
              <w:rPr>
                <w:b w:val="false"/>
                <w:bCs w:val="false"/>
                <w:sz w:val="20"/>
                <w:szCs w:val="20"/>
              </w:rPr>
              <w:t xml:space="preserve">May 30–Jun 5</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Global SHAP on all 4 diabetes models. Beeswarm plots, mean |SHAP| rankings. First within-dataset comparison (Pima: XGB vs MLP; Kaggle: XGB vs MLP).</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Global SHAP on all 4 heart models. Beeswarm plots, mean |SHAP| rankings. First within-dataset comparison (UCI: XGB vs MLP; Framingham: XGB vs MLP).</w:t>
            </w:r>
          </w:p>
        </w:tc>
      </w:tr>
      <w:tr>
        <w:tc>
          <w:tcPr>
            <w:tcW w:type="dxa" w:w="18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b/>
                <w:bCs/>
                <w:sz w:val="20"/>
                <w:szCs w:val="20"/>
              </w:rPr>
              <w:t xml:space="preserve">Week 3</w:t>
            </w:r>
          </w:p>
          <w:p>
            <w:r>
              <w:rPr>
                <w:b w:val="false"/>
                <w:bCs w:val="false"/>
                <w:sz w:val="20"/>
                <w:szCs w:val="20"/>
              </w:rPr>
              <w:t xml:space="preserve">Jun 6–15</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Local SHAP: 5 patients per diabetes dataset. Force + waterfall plots. Quantify: top-3 overlap, sign agreement. Cross-dataset diabetes comparison.</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Local SHAP: 5 patients per heart dataset. Force + waterfall plots. Quantify: top-3 overlap, sign agreement. Cross-dataset heart comparison.</w:t>
            </w:r>
          </w:p>
        </w:tc>
      </w:tr>
      <w:tr>
        <w:tc>
          <w:tcPr>
            <w:tcW w:type="dxa" w:w="18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b/>
                <w:bCs/>
                <w:sz w:val="20"/>
                <w:szCs w:val="20"/>
              </w:rPr>
              <w:t xml:space="preserve">Week 4</w:t>
            </w:r>
          </w:p>
          <w:p>
            <w:r>
              <w:rPr>
                <w:b w:val="false"/>
                <w:bCs w:val="false"/>
                <w:sz w:val="20"/>
                <w:szCs w:val="20"/>
              </w:rPr>
              <w:t xml:space="preserve">Jun 16–25</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Joint: cross-disease synthesis. Does the diabetes divergence pattern match the heart disease divergence pattern? Unified notebook. Final presentation and report.</w:t>
            </w:r>
          </w:p>
        </w:tc>
        <w:tc>
          <w:tcPr>
            <w:tcW w:type="dxa" w:w="38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sz w:val="20"/>
                <w:szCs w:val="20"/>
              </w:rPr>
              <w:t xml:space="preserve">Joint: cross-disease synthesis. Robustness check (KernelExplainer on one dataset). Unified notebook. Final presentation and report.</w:t>
            </w:r>
          </w:p>
        </w:tc>
      </w:tr>
    </w:tbl>
    <w:p>
      <w:pPr>
        <w:pStyle w:val="Heading1"/>
        <w:spacing w:before="300"/>
      </w:pPr>
      <w:r>
        <w:t xml:space="preserve">9. Expected Outcomes</w:t>
      </w:r>
    </w:p>
    <w:p>
      <w:pPr>
        <w:spacing w:after="200"/>
      </w:pPr>
      <w:r>
        <w:t xml:space="preserve">We anticipate that global SHAP rankings will show moderate agreement between XGBoost and MLP (top 1–2 features likely overlap, lower-ranked features diverge), but that local, patient-level explanations will show substantially more disagreement — particularly for borderline and misclassified patients. This would be consistent with Stenwig et al.’s (2022) finding that models agreed on global feature importance but diverged on individual patient explanations, and with Kumar &amp; Chandran’s (2021) demonstration that Shapley explanations are not unique even within a single model. Either outcome — convergence or divergence — is valuable: convergence would provide empirical reassurance for SHAP’s reliability, while divergence would identify a concrete gap in how transparency regulations are currently implemented.</w:t>
      </w:r>
    </w:p>
    <w:p>
      <w:pPr>
        <w:pStyle w:val="Heading1"/>
      </w:pPr>
      <w:r>
        <w:t xml:space="preserve">10. References</w:t>
      </w:r>
    </w:p>
    <w:p>
      <w:pPr>
        <w:spacing w:after="80"/>
        <w:ind w:left="400" w:hanging="400"/>
      </w:pPr>
      <w:r>
        <w:rPr>
          <w:sz w:val="20"/>
          <w:szCs w:val="20"/>
        </w:rPr>
        <w:t xml:space="preserve">Breiman, L. (2001). Statistical Modeling: The Two Cultures. Statistical Science, 16(3), 199–231.</w:t>
      </w:r>
    </w:p>
    <w:p>
      <w:pPr>
        <w:spacing w:after="80"/>
        <w:ind w:left="400" w:hanging="400"/>
      </w:pPr>
      <w:r>
        <w:rPr>
          <w:sz w:val="20"/>
          <w:szCs w:val="20"/>
        </w:rPr>
        <w:t xml:space="preserve">Kumar, H. &amp; Chandran, J. (2021). Is Shapley Explanation for a Model Unique? arXiv:2111.11946.</w:t>
      </w:r>
    </w:p>
    <w:p>
      <w:pPr>
        <w:spacing w:after="80"/>
        <w:ind w:left="400" w:hanging="400"/>
      </w:pPr>
      <w:r>
        <w:rPr>
          <w:sz w:val="20"/>
          <w:szCs w:val="20"/>
        </w:rPr>
        <w:t xml:space="preserve">Lundberg, S. M. &amp; Lee, S.-I. (2017). A Unified Approach to Interpreting Model Predictions. Advances in Neural Information Processing Systems, 30.</w:t>
      </w:r>
    </w:p>
    <w:p>
      <w:pPr>
        <w:spacing w:after="80"/>
        <w:ind w:left="400" w:hanging="400"/>
      </w:pPr>
      <w:r>
        <w:rPr>
          <w:sz w:val="20"/>
          <w:szCs w:val="20"/>
        </w:rPr>
        <w:t xml:space="preserve">Marx, C., Calmon, F., &amp; Ustun, B. (2020). Predictive Multiplicity in Classification. Proceedings of ICML.</w:t>
      </w:r>
    </w:p>
    <w:p>
      <w:pPr>
        <w:spacing w:after="80"/>
        <w:ind w:left="400" w:hanging="400"/>
      </w:pPr>
      <w:r>
        <w:rPr>
          <w:sz w:val="20"/>
          <w:szCs w:val="20"/>
        </w:rPr>
        <w:t xml:space="preserve">Ramachandranpillai, R., Baeza-Yates, R. &amp; Heintz, F. (2025). FairXAI — A Taxonomy and Framework for Fairness and Explainability Synergy in Machine Learning. IEEE Transactions on Neural Networks and Learning Systems, 36(6).</w:t>
      </w:r>
    </w:p>
    <w:p>
      <w:pPr>
        <w:spacing w:after="80"/>
        <w:ind w:left="400" w:hanging="400"/>
      </w:pPr>
      <w:r>
        <w:rPr>
          <w:sz w:val="20"/>
          <w:szCs w:val="20"/>
        </w:rPr>
        <w:t xml:space="preserve">Ribeiro, M. T., Singh, S. &amp; Guestrin, C. (2016). “Why Should I Trust You?”: Explaining the Predictions of Any Classifier. Proceedings of KDD.</w:t>
      </w:r>
    </w:p>
    <w:p>
      <w:pPr>
        <w:spacing w:after="80"/>
        <w:ind w:left="400" w:hanging="400"/>
      </w:pPr>
      <w:r>
        <w:rPr>
          <w:sz w:val="20"/>
          <w:szCs w:val="20"/>
        </w:rPr>
        <w:t xml:space="preserve">Stenwig, E., Salvi, G., Rossi, P. S. &amp; Skjærvold, N. K. (2022). Comparative analysis of explainable machine learning prediction models for hospital mortality. BMC Medical Research Methodology, 22(53).</w:t>
      </w:r>
    </w:p>
    <w:p>
      <w:pPr>
        <w:spacing w:after="80"/>
        <w:ind w:left="400" w:hanging="400"/>
      </w:pPr>
      <w:r>
        <w:rPr>
          <w:sz w:val="20"/>
          <w:szCs w:val="20"/>
        </w:rPr>
        <w:t xml:space="preserve">Watson, M., Awwad Shiekh Hasan, B. &amp; Al Moubayed, N. (2022). Agree to Disagree: When Deep Learning Models With Identical Architectures Produce Distinct Explanations. Proceedings of IEEE/CVF WACV.</w:t>
      </w:r>
    </w:p>
    <w:p>
      <w:pPr>
        <w:spacing w:after="80"/>
        <w:ind w:left="400" w:hanging="400"/>
      </w:pPr>
      <w:r>
        <w:rPr>
          <w:sz w:val="20"/>
          <w:szCs w:val="20"/>
        </w:rPr>
        <w:t xml:space="preserve">Explanation Multiplicity in SHAP: Characterization and Assessment (2026). ACM.</w:t>
      </w:r>
    </w:p>
    <w:p>
      <w:pPr>
        <w:spacing w:after="80"/>
        <w:ind w:left="400" w:hanging="400"/>
      </w:pPr>
      <w:r>
        <w:rPr>
          <w:sz w:val="20"/>
          <w:szCs w:val="20"/>
        </w:rPr>
        <w:t xml:space="preserve">Kaggle — Pima Indians Diabetes Dataset, Diabetes Prediction Dataset, Heart Disease (Cleveland) Dataset, Framingham Heart Study Dataset.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E2761"/>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3A5BA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2026-05-24T17:44:01.736Z</dcterms:created>
  <dcterms:modified xsi:type="dcterms:W3CDTF">2026-05-24T17:44:01.749Z</dcterms:modified>
</cp:coreProperties>
</file>

<file path=docProps/custom.xml><?xml version="1.0" encoding="utf-8"?>
<Properties xmlns="http://schemas.openxmlformats.org/officeDocument/2006/custom-properties" xmlns:vt="http://schemas.openxmlformats.org/officeDocument/2006/docPropsVTypes"/>
</file>