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IS459 Project Proposal Skeleton</w:t>
      </w:r>
    </w:p>
    <w:p>
      <w:r>
        <w:rPr>
          <w:b/>
        </w:rPr>
        <w:t>IBM Transactions for Anti-Money Laundering | HI-Medium</w:t>
      </w:r>
    </w:p>
    <w:p>
      <w:r>
        <w:rPr>
          <w:b/>
        </w:rPr>
        <w:t>Status:</w:t>
      </w:r>
      <w:r>
        <w:rPr>
          <w:b w:val="0"/>
        </w:rPr>
        <w:t xml:space="preserve"> Question-selection draft. The two final questions, quantitative targets, architecture, and AWS services are intentionally not selected yet. No slides are included.</w:t>
      </w:r>
    </w:p>
    <w:p>
      <w:pPr>
        <w:pStyle w:val="Heading1"/>
      </w:pPr>
      <w:r>
        <w:rPr>
          <w:b w:val="0"/>
        </w:rPr>
        <w:t>1. Business-question shortlist</w:t>
      </w:r>
    </w:p>
    <w:p>
      <w:r>
        <w:rPr>
          <w:b w:val="0"/>
        </w:rPr>
        <w:t xml:space="preserve">Choose </w:t>
      </w:r>
      <w:r>
        <w:rPr>
          <w:b/>
        </w:rPr>
        <w:t>two distinct questions</w:t>
      </w:r>
      <w:r>
        <w:rPr>
          <w:b w:val="0"/>
        </w:rPr>
        <w:t>. Start with the decision and user need, then determine the processing requirements and appropriate services.</w:t>
      </w:r>
    </w:p>
    <w:p>
      <w:pPr>
        <w:pStyle w:val="Heading2"/>
      </w:pPr>
      <w:r>
        <w:rPr>
          <w:b w:val="0"/>
        </w:rPr>
        <w:t>Option 1 — Target monitoring resources</w:t>
      </w:r>
    </w:p>
    <w:p>
      <w:r>
        <w:rPr>
          <w:b/>
        </w:rPr>
        <w:t>Question:</w:t>
      </w:r>
      <w:r>
        <w:rPr>
          <w:b w:val="0"/>
        </w:rPr>
        <w:t xml:space="preserve"> Which payment formats and bank-to-bank transaction segments have disproportionately high historical laundering exposure, after accounting for transaction volume, so compliance managers can target monitoring resources?</w:t>
      </w:r>
    </w:p>
    <w:p>
      <w:pPr>
        <w:pStyle w:val="ListBullet"/>
      </w:pPr>
      <w:r>
        <w:rPr>
          <w:b/>
        </w:rPr>
        <w:t>Who benefits / decision:</w:t>
      </w:r>
      <w:r>
        <w:rPr>
          <w:b w:val="0"/>
        </w:rPr>
        <w:t xml:space="preserve"> Compliance managers decide where to strengthen controls and focus monitoring effort.</w:t>
      </w:r>
    </w:p>
    <w:p>
      <w:pPr>
        <w:pStyle w:val="ListBullet"/>
      </w:pPr>
      <w:r>
        <w:rPr>
          <w:b/>
        </w:rPr>
        <w:t>Available data / output:</w:t>
      </w:r>
      <w:r>
        <w:rPr>
          <w:b w:val="0"/>
        </w:rPr>
        <w:t xml:space="preserve"> Transaction labels, payment formats, bank identifiers, timestamps, and currencies; a dashboard of segment volumes, laundering rates, and risk relative to the overall rate, with drill-downs and minimum-volume filters.</w:t>
      </w:r>
    </w:p>
    <w:p>
      <w:pPr>
        <w:pStyle w:val="ListBullet"/>
      </w:pPr>
      <w:r>
        <w:rPr>
          <w:b/>
        </w:rPr>
        <w:t>Approach:</w:t>
      </w:r>
      <w:r>
        <w:rPr>
          <w:b w:val="0"/>
        </w:rPr>
        <w:t xml:space="preserve"> Daily or on-demand batch analysis; moderate effort; no ML required. Retrospective risk, not a prediction of future guilt.</w:t>
      </w:r>
    </w:p>
    <w:p>
      <w:pPr>
        <w:pStyle w:val="Heading2"/>
      </w:pPr>
      <w:r>
        <w:rPr>
          <w:b w:val="0"/>
        </w:rPr>
        <w:t>Option 2 — Investigate connected laundering activity</w:t>
      </w:r>
    </w:p>
    <w:p>
      <w:r>
        <w:rPr>
          <w:b/>
        </w:rPr>
        <w:t>Question:</w:t>
      </w:r>
      <w:r>
        <w:rPr>
          <w:b w:val="0"/>
        </w:rPr>
        <w:t xml:space="preserve"> Which connected groups of accounts and entities exhibit coordinated transfer patterns, such as fan-in, fan-out, or circular transfers, that warrant investigation beyond an individual transaction?</w:t>
      </w:r>
    </w:p>
    <w:p>
      <w:pPr>
        <w:pStyle w:val="ListBullet"/>
      </w:pPr>
      <w:r>
        <w:rPr>
          <w:b/>
        </w:rPr>
        <w:t>Who benefits / decision:</w:t>
      </w:r>
      <w:r>
        <w:rPr>
          <w:b w:val="0"/>
        </w:rPr>
        <w:t xml:space="preserve"> AML investigators identify related accounts and assemble explainable cases rather than reviewing isolated transactions.</w:t>
      </w:r>
    </w:p>
    <w:p>
      <w:pPr>
        <w:pStyle w:val="ListBullet"/>
      </w:pPr>
      <w:r>
        <w:rPr>
          <w:b/>
        </w:rPr>
        <w:t>Available data / output:</w:t>
      </w:r>
      <w:r>
        <w:rPr>
          <w:b w:val="0"/>
        </w:rPr>
        <w:t xml:space="preserve"> Sender/receiver links, event times, amounts, currencies, and account-to-entity mappings; an interactive case graph with supporting transactions and pattern explanations.</w:t>
      </w:r>
    </w:p>
    <w:p>
      <w:pPr>
        <w:pStyle w:val="ListBullet"/>
      </w:pPr>
      <w:r>
        <w:rPr>
          <w:b/>
        </w:rPr>
        <w:t>Approach:</w:t>
      </w:r>
      <w:r>
        <w:rPr>
          <w:b w:val="0"/>
        </w:rPr>
        <w:t xml:space="preserve"> Batch investigation; higher effort. Start with a few bounded pattern types. Graph analysis does not automatically require a graph database.</w:t>
      </w:r>
    </w:p>
    <w:p>
      <w:pPr>
        <w:pStyle w:val="Heading2"/>
      </w:pPr>
      <w:r>
        <w:rPr>
          <w:b w:val="0"/>
        </w:rPr>
        <w:t>Option 3 — Prioritise a limited review queue</w:t>
      </w:r>
    </w:p>
    <w:p>
      <w:r>
        <w:rPr>
          <w:b/>
        </w:rPr>
        <w:t>Question:</w:t>
      </w:r>
      <w:r>
        <w:rPr>
          <w:b w:val="0"/>
        </w:rPr>
        <w:t xml:space="preserve"> Given capacity to review only K transactions per day, which transactions should analysts investigate first to capture the most labelled laundering while limiting legitimate-transaction alerts?</w:t>
      </w:r>
    </w:p>
    <w:p>
      <w:pPr>
        <w:pStyle w:val="ListBullet"/>
      </w:pPr>
      <w:r>
        <w:rPr>
          <w:b/>
        </w:rPr>
        <w:t>Who benefits / decision:</w:t>
      </w:r>
      <w:r>
        <w:rPr>
          <w:b w:val="0"/>
        </w:rPr>
        <w:t xml:space="preserve"> AML operations teams allocate a fixed analyst workload to the highest-priority transactions.</w:t>
      </w:r>
    </w:p>
    <w:p>
      <w:pPr>
        <w:pStyle w:val="ListBullet"/>
      </w:pPr>
      <w:r>
        <w:rPr>
          <w:b/>
        </w:rPr>
        <w:t>Available data / output:</w:t>
      </w:r>
      <w:r>
        <w:rPr>
          <w:b w:val="0"/>
        </w:rPr>
        <w:t xml:space="preserve"> Transaction attributes and strictly past account behaviour; a ranked daily queue with reasons for each alert. Labels support training/evaluation, not scoring inputs.</w:t>
      </w:r>
    </w:p>
    <w:p>
      <w:pPr>
        <w:pStyle w:val="ListBullet"/>
      </w:pPr>
      <w:r>
        <w:rPr>
          <w:b/>
        </w:rPr>
        <w:t>Approach:</w:t>
      </w:r>
      <w:r>
        <w:rPr>
          <w:b w:val="0"/>
        </w:rPr>
        <w:t xml:space="preserve"> Batch scoring; higher effort. Agree on K first. Use explainable rules as a baseline; ML is optional.</w:t>
      </w:r>
    </w:p>
    <w:p>
      <w:pPr>
        <w:pStyle w:val="Heading2"/>
      </w:pPr>
      <w:r>
        <w:rPr>
          <w:b w:val="0"/>
        </w:rPr>
        <w:t>Option 4 — Decide how often monitoring should run</w:t>
      </w:r>
    </w:p>
    <w:p>
      <w:r>
        <w:rPr>
          <w:b/>
        </w:rPr>
        <w:t>Question:</w:t>
      </w:r>
      <w:r>
        <w:rPr>
          <w:b w:val="0"/>
        </w:rPr>
        <w:t xml:space="preserve"> Would more frequent monitoring materially reduce time-to-alert for suspicious activity compared with daily processing, enough to justify the additional operational complexity?</w:t>
      </w:r>
    </w:p>
    <w:p>
      <w:pPr>
        <w:pStyle w:val="ListBullet"/>
      </w:pPr>
      <w:r>
        <w:rPr>
          <w:b/>
        </w:rPr>
        <w:t>Who benefits / decision:</w:t>
      </w:r>
      <w:r>
        <w:rPr>
          <w:b w:val="0"/>
        </w:rPr>
        <w:t xml:space="preserve"> AML operations managers choose an appropriate monitoring frequency and response-time requirement.</w:t>
      </w:r>
    </w:p>
    <w:p>
      <w:pPr>
        <w:pStyle w:val="ListBullet"/>
      </w:pPr>
      <w:r>
        <w:rPr>
          <w:b/>
        </w:rPr>
        <w:t>Available data / output:</w:t>
      </w:r>
      <w:r>
        <w:rPr>
          <w:b w:val="0"/>
        </w:rPr>
        <w:t xml:space="preserve"> Chronologically replayed historical transactions and one fixed detector; a comparison of processing schedules, detection delay, captured cases, unique alerts, runtime, and cost per run.</w:t>
      </w:r>
    </w:p>
    <w:p>
      <w:pPr>
        <w:pStyle w:val="ListBullet"/>
      </w:pPr>
      <w:r>
        <w:rPr>
          <w:b/>
        </w:rPr>
        <w:t>Approach:</w:t>
      </w:r>
      <w:r>
        <w:rPr>
          <w:b w:val="0"/>
        </w:rPr>
        <w:t xml:space="preserve"> Historical replay; higher effort. This simulates monitoring schedules rather than claiming a live production stream.</w:t>
      </w:r>
    </w:p>
    <w:p>
      <w:r>
        <w:rPr>
          <w:b/>
        </w:rPr>
        <w:t>Recommended pairing: Options 1 + 2.</w:t>
      </w:r>
      <w:r>
        <w:rPr>
          <w:b w:val="0"/>
        </w:rPr>
        <w:t xml:space="preserve"> Management-level monitoring allocation and investigator-level connected-case discovery are distinct decisions with shared preparation work. Option 1 + 3 is a scoring-oriented alternative. Options 3 + 4 need particularly clear separation between workload prioritisation and monitoring-frequency decisions. Evaluation plans appear in Section 5.</w:t>
      </w:r>
    </w:p>
    <w:p>
      <w:pPr>
        <w:pStyle w:val="Heading1"/>
        <w:pageBreakBefore/>
      </w:pPr>
      <w:r>
        <w:rPr>
          <w:b w:val="0"/>
        </w:rPr>
        <w:t>2. Selected questions and requirements</w:t>
      </w:r>
    </w:p>
    <w:p>
      <w:r>
        <w:rPr>
          <w:b w:val="0"/>
        </w:rPr>
        <w:t>Complete this worksheet after selecting two options. These requirements should determine the architecture, not the other way around.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952"/>
        <w:gridCol w:w="2952"/>
      </w:tblGrid>
      <w:tr>
        <w:trPr>
          <w:cantSplit/>
          <w:tblHeader/>
        </w:trPr>
        <w:tc>
          <w:tcPr>
            <w:tcW w:type="dxa" w:w="367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Proposal item</w:t>
            </w:r>
          </w:p>
        </w:tc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Selected question A</w:t>
            </w:r>
          </w:p>
        </w:tc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Selected question B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Exact business question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Beneficiary and pain point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Decision or action enabled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Analysis unit: segment / transaction / account / case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Required fields and any additional sources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Observation window and use of past history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Required refresh frequency and maximum delay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Analysis method and simple baseline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Output and dashboard interaction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Success metric and numerical acceptance target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Scope exclusions and assumptions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Shared requirements to confirm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Proposed starting point / evidence needed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Process all 31,898,238 local transactions; use subsets only for development. Measure full-run time and resource usage.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Processing mode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Begin with batch unless a selected question needs lower latency. Do not add streaming only for complexity.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Data correctness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Explicit schema, stable account keys, decimal amounts, currency-aware calculations, and a documented time policy.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Repeatable runs, retries, row-count reconciliation, quarantined invalid records, and no duplicate output on rerun.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 user can move from a summary or alert to its supporting source transactions and understand the result.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Least-privilege access, encryption, and no credentials embedded in source code or the document.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Operation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Provision compute only when needed; retain enough data, configuration, and logs to reproduce a run.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Short problem statement template</w:t>
      </w:r>
    </w:p>
    <w:p>
      <w:r>
        <w:rPr>
          <w:b w:val="0"/>
        </w:rPr>
        <w:t>“[Beneficiary] currently struggles to [pain point]. Using [available data], the project will answer [question A] and [question B], enabling [decisions]. The solution will deliver [outputs] within [freshness/runtime requirement]. Success will be measured against [baseline] using [metrics and targets].”</w:t>
      </w:r>
    </w:p>
    <w:p>
      <w:r>
        <w:rPr>
          <w:b/>
        </w:rPr>
        <w:t>Additional data:</w:t>
      </w:r>
      <w:r>
        <w:rPr>
          <w:b w:val="0"/>
        </w:rPr>
        <w:t xml:space="preserve"> None is necessary for the four shortlisted questions. Add a source only if it closes an identified requirement gap; document its URL, licence, join method, and limitations.</w:t>
      </w:r>
    </w:p>
    <w:p>
      <w:pPr>
        <w:pStyle w:val="Heading1"/>
        <w:pageBreakBefore/>
      </w:pPr>
      <w:r>
        <w:rPr>
          <w:b w:val="0"/>
        </w:rPr>
        <w:t>3. Understand the available data</w:t>
      </w:r>
    </w:p>
    <w:p>
      <w:r>
        <w:rPr>
          <w:b w:val="0"/>
        </w:rPr>
        <w:t>The local project contains the brief, supporting notes, and three HI-Medium data files. The dataset is synthetic; it does not identify real customers or establish real-world bank risk.</w:t>
      </w:r>
    </w:p>
    <w:p>
      <w:pPr>
        <w:pStyle w:val="Heading2"/>
      </w:pPr>
      <w:r>
        <w:rPr>
          <w:b w:val="0"/>
        </w:rPr>
        <w:t>3.1 Local file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File / measure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Observed information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HI-Medium_Trans.csv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31,898,238 transactions; approximately 3.03 GB, decimal units.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Laundering label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35,230 transactions labelled 1: 0.110445% of transactions.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Actual timestamp coverage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1 Sep 2022 00:00 to 28 Sep 2022 15:58; 28 distinct dates. Use the actual file range rather than assuming the published primary activity period covers every row.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Formats and currencies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7 payment formats; 15 payment currencies and 15 receiving currencies.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HI-Medium_accounts.csv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2,087,786 rows; 122,333 distinct bank IDs; 668,138 distinct entity IDs. Bank ID + Account Number is unique in this 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HI-Medium_Patterns.txt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2,756 annotated attempts and 22,743 transaction-row occurrences across 8 pattern types. This is not a complete list of all laundering.</w:t>
            </w:r>
          </w:p>
        </w:tc>
      </w:tr>
    </w:tbl>
    <w:p>
      <w:pPr>
        <w:spacing w:after="0"/>
      </w:pPr>
    </w:p>
    <w:p>
      <w:r>
        <w:rPr>
          <w:b w:val="0"/>
        </w:rPr>
        <w:t>The pattern types are STACK, CYCLE, FAN-IN, FAN-OUT, GATHER-SCATTER, SCATTER-GATHER, BIPARTITE, and RANDOM. Pattern-row occurrences should not be assumed to be distinct transactions or one-to-one matches without validation.</w:t>
      </w:r>
    </w:p>
    <w:p>
      <w:pPr>
        <w:pStyle w:val="Heading2"/>
      </w:pPr>
      <w:r>
        <w:rPr>
          <w:b w:val="0"/>
        </w:rPr>
        <w:t>3.2 Data dictionary and usable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Meaning and use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Transaction event date/time, recorded to the minute. Supports windows and chronological evaluation; timezone is not supplied.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From Bank + first Account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Sending bank and sending account; identify the source node.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To Bank + second Account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Receiving bank and receiving account; identify the destination node. The brief calls this second account Account.1.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Amount Paid + Payment Currency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Amount leaving the source, expressed in its payment currency.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Amount Received + Receiving Currency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Amount reaching the destination, expressed in its receiving currency; do not assume it is directly comparable with Amount Paid.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Payment Format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Payment method: Reinvestment, Cheque, Credit Card, ACH, Wire, Cash, or Bitcoin.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Is Laundering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Ground-truth transaction label: 1 = laundering, 0 = legitimate. Available for retrospective analysis and model evaluation.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Account-file fields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Bank Name, Bank ID, Account Number, Entity ID, Entity Name. Link accounts to synthetic entities using the bank/account pair.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3.3 What sample records reveal</w:t>
      </w:r>
    </w:p>
    <w:p>
      <w:pPr>
        <w:pStyle w:val="ListBullet"/>
      </w:pPr>
      <w:r>
        <w:rPr>
          <w:b/>
        </w:rPr>
        <w:t>Legitimate self-transfer:</w:t>
      </w:r>
      <w:r>
        <w:rPr>
          <w:b w:val="0"/>
        </w:rPr>
        <w:t xml:space="preserve"> At 2022/09/01 00:17, bank 020 / account 800104D70 sends to itself: USD 6,794.63, Reinvestment, label 0. Self-links are not automatically suspicious.</w:t>
      </w:r>
    </w:p>
    <w:p>
      <w:pPr>
        <w:pStyle w:val="ListBullet"/>
      </w:pPr>
      <w:r>
        <w:rPr>
          <w:b/>
        </w:rPr>
        <w:t>Labelled laundering:</w:t>
      </w:r>
      <w:r>
        <w:rPr>
          <w:b w:val="0"/>
        </w:rPr>
        <w:t xml:space="preserve"> At 2022/09/01 00:19, 070 / 100428660 sends to 008381 / 8035B3E00: USD 27,815.14, Cheque, label 1. Laundering is not confined to one payment format.</w:t>
      </w:r>
    </w:p>
    <w:p>
      <w:pPr>
        <w:pStyle w:val="ListBullet"/>
      </w:pPr>
      <w:r>
        <w:rPr>
          <w:b/>
        </w:rPr>
        <w:t>Entity enrichment:</w:t>
      </w:r>
      <w:r>
        <w:rPr>
          <w:b w:val="0"/>
        </w:rPr>
        <w:t xml:space="preserve"> Normalised bank 20 / account 800104D70 maps to Partnership #1 in the account file. Entity IDs allow activity across several accounts to be studied together.</w:t>
      </w:r>
    </w:p>
    <w:p>
      <w:r>
        <w:rPr>
          <w:b/>
        </w:rPr>
        <w:t>Evidence for Option 1:</w:t>
      </w:r>
      <w:r>
        <w:rPr>
          <w:b w:val="0"/>
        </w:rPr>
        <w:t xml:space="preserve"> ACH accounts for 12.13% of all transactions but 87.27% of labelled laundering; its historical laundering rate is 0.7948%, about 7.20 times the overall rate. This supports deeper segment analysis, not a claim that ACH causes laundering or that other channels are safe.</w:t>
      </w:r>
    </w:p>
    <w:p>
      <w:pPr>
        <w:pStyle w:val="Heading1"/>
        <w:pageBreakBefore/>
      </w:pPr>
      <w:r>
        <w:rPr>
          <w:b w:val="0"/>
        </w:rPr>
        <w:t>4. Processing and pipeline design worksheet</w:t>
      </w:r>
    </w:p>
    <w:p>
      <w:pPr>
        <w:pStyle w:val="Heading2"/>
      </w:pPr>
      <w:r>
        <w:rPr>
          <w:b w:val="0"/>
        </w:rPr>
        <w:t>4.1 Data preparation requirements</w:t>
      </w:r>
    </w:p>
    <w:p>
      <w:pPr>
        <w:pStyle w:val="ListBullet"/>
      </w:pPr>
      <w:r>
        <w:rPr>
          <w:b/>
        </w:rPr>
        <w:t>Disambiguate the schema:</w:t>
      </w:r>
      <w:r>
        <w:rPr>
          <w:b w:val="0"/>
        </w:rPr>
        <w:t xml:space="preserve"> The raw transaction CSV has two columns named Account. Assign sender_account and receiver_account explicitly by position; do not silently overwrite either column.</w:t>
      </w:r>
    </w:p>
    <w:p>
      <w:pPr>
        <w:pStyle w:val="ListBullet"/>
      </w:pPr>
      <w:r>
        <w:rPr>
          <w:b/>
        </w:rPr>
        <w:t>Make joins reliable:</w:t>
      </w:r>
      <w:r>
        <w:rPr>
          <w:b w:val="0"/>
        </w:rPr>
        <w:t xml:space="preserve"> Transaction bank IDs have zero padding; account-file bank IDs do not. Validate and normalise bank-ID strings consistently while retaining raw values. Join using normalised bank ID + account number. Account number alone is not unique across banks.</w:t>
      </w:r>
    </w:p>
    <w:p>
      <w:pPr>
        <w:pStyle w:val="ListBullet"/>
      </w:pPr>
      <w:r>
        <w:rPr>
          <w:b/>
        </w:rPr>
        <w:t>Respect event time:</w:t>
      </w:r>
      <w:r>
        <w:rPr>
          <w:b w:val="0"/>
        </w:rPr>
        <w:t xml:space="preserve"> The file is not chronologically sorted. Parse timestamps and order/window by event time. Document the unspecified timezone and minute-level precision. Historical replay is a simulation, not an existing real-time feed.</w:t>
      </w:r>
    </w:p>
    <w:p>
      <w:pPr>
        <w:pStyle w:val="ListBullet"/>
      </w:pPr>
      <w:r>
        <w:rPr>
          <w:b/>
        </w:rPr>
        <w:t>Handle money correctly:</w:t>
      </w:r>
      <w:r>
        <w:rPr>
          <w:b w:val="0"/>
        </w:rPr>
        <w:t xml:space="preserve"> Use decimal amounts and retain both currencies. Report monetary totals separately by currency unless a justified, cited historical FX source is added. Currency or bank-name text does not establish verified customer geography.</w:t>
      </w:r>
    </w:p>
    <w:p>
      <w:pPr>
        <w:pStyle w:val="ListBullet"/>
      </w:pPr>
      <w:r>
        <w:rPr>
          <w:b/>
        </w:rPr>
        <w:t>Prevent information leakage:</w:t>
      </w:r>
      <w:r>
        <w:rPr>
          <w:b w:val="0"/>
        </w:rPr>
        <w:t xml:space="preserve"> For detection/scoring, exclude Is Laundering and the pattern annotations from live inputs. Use only information available by the scoring time; tune on earlier data and evaluate later. Retrospective labelled risk reporting is a separate, valid use.</w:t>
      </w:r>
    </w:p>
    <w:p>
      <w:pPr>
        <w:pStyle w:val="ListBullet"/>
      </w:pPr>
      <w:r>
        <w:rPr>
          <w:b/>
        </w:rPr>
        <w:t>Preserve lineage:</w:t>
      </w:r>
      <w:r>
        <w:rPr>
          <w:b w:val="0"/>
        </w:rPr>
        <w:t xml:space="preserve"> No transaction ID is provided. Derive a reproducible source-row identifier, with file/version and row position. Do not delete identical-looking rows without evidence that they are accidental duplicates.</w:t>
      </w:r>
    </w:p>
    <w:p>
      <w:pPr>
        <w:pStyle w:val="ListBullet"/>
      </w:pPr>
      <w:r>
        <w:rPr>
          <w:b/>
        </w:rPr>
        <w:t>Validate beyond missing values:</w:t>
      </w:r>
      <w:r>
        <w:rPr>
          <w:b w:val="0"/>
        </w:rPr>
        <w:t xml:space="preserve"> The full scan found no empty fields or wrong-width transaction rows, but type validity, amount consistency, join coverage, and source/pattern matching still require tests. Do not remove self-transfers wholesale.</w:t>
      </w:r>
    </w:p>
    <w:p>
      <w:pPr>
        <w:pStyle w:val="Heading2"/>
      </w:pPr>
      <w:r>
        <w:rPr>
          <w:b w:val="0"/>
        </w:rPr>
        <w:t>4.2 End-to-end logical pipeline</w:t>
      </w:r>
    </w:p>
    <w:p>
      <w:r>
        <w:rPr>
          <w:b/>
        </w:rPr>
        <w:t>Historical files -&gt; raw storage -&gt; validated and normalised data -&gt; entity enrichment -&gt; two question-specific analysis branches -&gt; insight visualisation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3"/>
        <w:gridCol w:w="4075"/>
        <w:gridCol w:w="2448"/>
      </w:tblGrid>
      <w:tr>
        <w:trPr>
          <w:cantSplit/>
          <w:tblHeader/>
        </w:trPr>
        <w:tc>
          <w:tcPr>
            <w:tcW w:type="dxa" w:w="3053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75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Required processing / output</w:t>
            </w:r>
          </w:p>
        </w:tc>
        <w:tc>
          <w:tcPr>
            <w:tcW w:type="dxa" w:w="2448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AWS service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Ingest and preserve</w:t>
            </w:r>
          </w:p>
        </w:tc>
        <w:tc>
          <w:tcPr>
            <w:tcW w:type="dxa" w:w="4075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Versioned raw transaction, account, and annotation files; ingestion manifest and source metadata. Keep evaluation annotations separate from scoring inputs.</w:t>
            </w:r>
          </w:p>
        </w:tc>
        <w:tc>
          <w:tcPr>
            <w:tcW w:type="dxa" w:w="2448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[Select after requirements]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Validate and clean</w:t>
            </w:r>
          </w:p>
        </w:tc>
        <w:tc>
          <w:tcPr>
            <w:tcW w:type="dxa" w:w="40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Explicit schema, parsed timestamps, canonical IDs, decimal amounts, rejected-row log, and row-count reconciliation.</w:t>
            </w:r>
          </w:p>
        </w:tc>
        <w:tc>
          <w:tcPr>
            <w:tcW w:type="dxa" w:w="244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Store and enrich</w:t>
            </w:r>
          </w:p>
        </w:tc>
        <w:tc>
          <w:tcPr>
            <w:tcW w:type="dxa" w:w="4075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Queryable analytical representation; sender/receiver account-to-entity joins with measured match coverage.</w:t>
            </w:r>
          </w:p>
        </w:tc>
        <w:tc>
          <w:tcPr>
            <w:tcW w:type="dxa" w:w="2448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Analyse question A</w:t>
            </w:r>
          </w:p>
        </w:tc>
        <w:tc>
          <w:tcPr>
            <w:tcW w:type="dxa" w:w="40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[Method, time window, features/aggregations, baseline, output dataset, and refresh requirement.]</w:t>
            </w:r>
          </w:p>
        </w:tc>
        <w:tc>
          <w:tcPr>
            <w:tcW w:type="dxa" w:w="244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Analyse question B</w:t>
            </w:r>
          </w:p>
        </w:tc>
        <w:tc>
          <w:tcPr>
            <w:tcW w:type="dxa" w:w="4075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[Method, time window, features/aggregations, baseline, output dataset, and refresh requirement.]</w:t>
            </w:r>
          </w:p>
        </w:tc>
        <w:tc>
          <w:tcPr>
            <w:tcW w:type="dxa" w:w="2448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Visualise and act</w:t>
            </w:r>
          </w:p>
        </w:tc>
        <w:tc>
          <w:tcPr>
            <w:tcW w:type="dxa" w:w="4075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[Dashboard/case view/alert queue], filters, explanations, and source-transaction drill-down.</w:t>
            </w:r>
          </w:p>
        </w:tc>
        <w:tc>
          <w:tcPr>
            <w:tcW w:type="dxa" w:w="2448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[TBD]</w:t>
            </w:r>
          </w:p>
        </w:tc>
      </w:tr>
    </w:tbl>
    <w:p>
      <w:pPr>
        <w:spacing w:after="0"/>
      </w:pPr>
    </w:p>
    <w:p>
      <w:r>
        <w:rPr>
          <w:b/>
        </w:rPr>
        <w:t>Cross-cutting controls:</w:t>
      </w:r>
      <w:r>
        <w:rPr>
          <w:b w:val="0"/>
        </w:rPr>
        <w:t xml:space="preserve"> Orchestration, retries, run metadata, access control, logging, checkpoints where justified, and resource shutdown/cleanup.</w:t>
      </w:r>
    </w:p>
    <w:p>
      <w:r>
        <w:rPr>
          <w:b/>
        </w:rPr>
        <w:t>Architecture diagram placeholder:</w:t>
      </w:r>
      <w:r>
        <w:rPr>
          <w:b w:val="0"/>
        </w:rPr>
        <w:t xml:space="preserve"> Show the shared ingestion/preparation layer, both analysis branches, their outputs, and the final user-facing views. Every component must trace to a requirement. Add specific AWS services only after the team selects its questions.</w:t>
      </w:r>
    </w:p>
    <w:p>
      <w:pPr>
        <w:pStyle w:val="Heading1"/>
        <w:pageBreakBefore/>
      </w:pPr>
      <w:r>
        <w:rPr>
          <w:b w:val="0"/>
        </w:rPr>
        <w:t>5. Evaluate whether the design meets requirements</w:t>
      </w:r>
    </w:p>
    <w:p>
      <w:r>
        <w:rPr>
          <w:b w:val="0"/>
        </w:rPr>
        <w:t>Separate business usefulness from pipeline correctness. Neither a sophisticated architecture nor an impressive model metric alone establishes a useful solution.</w:t>
      </w:r>
    </w:p>
    <w:p>
      <w:pPr>
        <w:pStyle w:val="Heading2"/>
      </w:pPr>
      <w:r>
        <w:rPr>
          <w:b w:val="0"/>
        </w:rPr>
        <w:t>5.1 Question-specific evaluation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If selected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Baseline and evaluation approach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Option 1: monitoring allocation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Compare volume-only rankings with rate/lift rankings. Validate numerators and denominators, apply a minimum segment size, and show uncertainty. Test whether the dashboard supports a concrete allocation decision; numerical user-acceptance targets remain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Option 2: connected investigations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Compare with a simple single-transaction rule. Report coverage of held-out annotated attempts, transaction-label composition of alerted cases, and explanation quality. Unannotated groups are not automatically negative examples: case-level ground truth is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Option 3: limited review queue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Compare with a simple amount/velocity ranking. Measure precision at K, recall at K, legitimate alerts, and uplift on chronological holdout data. Report results at several agreed review capacities.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Option 4: monitoring frequency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Compare daily processing with more frequent schedules using the same detector, lookback policy, and dataset. Measure median/p95 delay, captured cases, unique alert volume, runtime, and operational cost; report missed cases separately.</w:t>
            </w:r>
          </w:p>
        </w:tc>
      </w:tr>
    </w:tbl>
    <w:p>
      <w:pPr>
        <w:spacing w:after="0"/>
      </w:pPr>
    </w:p>
    <w:p>
      <w:r>
        <w:rPr>
          <w:b w:val="0"/>
        </w:rPr>
        <w:t>For any learned or tuned detector, fit only on earlier data, validate on a subsequent period, and reserve a later test period. Features must not use future transactions. Define treatment of annotated attempts that cross split boundaries. Evaluate on the natural class distribution, not only a balanced sample.</w:t>
      </w:r>
    </w:p>
    <w:p>
      <w:r>
        <w:rPr>
          <w:b/>
        </w:rPr>
        <w:t>Important:</w:t>
      </w:r>
      <w:r>
        <w:rPr>
          <w:b w:val="0"/>
        </w:rPr>
        <w:t xml:space="preserve"> An always-legitimate classifier achieves approximately 99.8896% accuracy on this file. Accuracy alone is therefore unsuitable as the main AML success metric. Label 0 is dataset ground truth, not a guarantee about unseen real-world behaviour.</w:t>
      </w:r>
    </w:p>
    <w:p>
      <w:pPr>
        <w:pStyle w:val="Heading2"/>
      </w:pPr>
      <w:r>
        <w:rPr>
          <w:b w:val="0"/>
        </w:rPr>
        <w:t>5.2 Pipeline acceptance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Test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Complete processing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Input rows = accepted rows + quarantined rows; joins do not multiply transaction rows. Reconcile analysis totals.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Correct relationships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Verify normalised bank/account keys, unique account-dimension keys, sender/receiver joins, and unmatched-account counts.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Repeatability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Same input and configuration produce the same analytical results; a rerun does not duplicate outputs.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Demonstrate safe retry of a failed stage without unnecessarily repeating successful 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Record end-to-end runtime and relevant throughput on development subsets and the complete dataset; target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Demonstrate the intended user decision, filters, explanations, and source drill-down; acceptance scenario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Operational hygiene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Capture run cost and logs, apply access controls, verify shutdown, and document final resource deletion.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5.3 A purposeful X-factor</w:t>
      </w:r>
    </w:p>
    <w:p>
      <w:r>
        <w:rPr>
          <w:b w:val="0"/>
        </w:rPr>
        <w:t>Choose one enhancement only if it demonstrably helps the selected questions: automated runs with recovery evidence; interactive linked-case exploration; a measured frequency/latency experiment; or benchmarked processing improvements. ML and additional services are optional, not automatic enhancements.</w:t>
      </w:r>
    </w:p>
    <w:p>
      <w:pPr>
        <w:pStyle w:val="Heading1"/>
        <w:pageBreakBefore/>
      </w:pPr>
      <w:r>
        <w:rPr>
          <w:b w:val="0"/>
        </w:rPr>
        <w:t>6. Scope, delivery plan, and guardrails</w:t>
      </w:r>
    </w:p>
    <w:p>
      <w:pPr>
        <w:pStyle w:val="Heading2"/>
      </w:pPr>
      <w:r>
        <w:rPr>
          <w:b w:val="0"/>
        </w:rPr>
        <w:t>6.1 Proposed scope</w:t>
      </w:r>
    </w:p>
    <w:p>
      <w:pPr>
        <w:pStyle w:val="ListBullet"/>
      </w:pPr>
      <w:r>
        <w:rPr>
          <w:b/>
        </w:rPr>
        <w:t>In scope:</w:t>
      </w:r>
      <w:r>
        <w:rPr>
          <w:b w:val="0"/>
        </w:rPr>
        <w:t xml:space="preserve"> The local HI-Medium dataset, two distinct business decisions, one shared pipeline with branches or two justified pipelines, data-quality checks, useful visualisation, evaluation, reproducible source code, and setup/run evidence.</w:t>
      </w:r>
    </w:p>
    <w:p>
      <w:pPr>
        <w:pStyle w:val="ListBullet"/>
      </w:pPr>
      <w:r>
        <w:rPr>
          <w:b/>
        </w:rPr>
        <w:t>Pending selection:</w:t>
      </w:r>
      <w:r>
        <w:rPr>
          <w:b w:val="0"/>
        </w:rPr>
        <w:t xml:space="preserve"> The two questions, pattern/rule scope, review capacity, time windows, numerical targets, AWS services, and the final architecture diagram.</w:t>
      </w:r>
    </w:p>
    <w:p>
      <w:pPr>
        <w:pStyle w:val="ListBullet"/>
      </w:pPr>
      <w:r>
        <w:rPr>
          <w:b/>
        </w:rPr>
        <w:t>Not assumed:</w:t>
      </w:r>
      <w:r>
        <w:rPr>
          <w:b w:val="0"/>
        </w:rPr>
        <w:t xml:space="preserve"> Production deployment, a real live banking feed, verified customer countries, KYC/sanctions matching, proven criminal intent, long-term forecasts, or financial savings. These are not established by the available data.</w:t>
      </w:r>
    </w:p>
    <w:p>
      <w:pPr>
        <w:pStyle w:val="ListBullet"/>
      </w:pPr>
      <w:r>
        <w:rPr>
          <w:b/>
        </w:rPr>
        <w:t>Document only for this request:</w:t>
      </w:r>
      <w:r>
        <w:rPr>
          <w:b w:val="0"/>
        </w:rPr>
        <w:t xml:space="preserve"> Slides will be prepared separately if requested. This skeleton supports proposal preparation; it does not replace the course's required presentation submission.</w:t>
      </w:r>
    </w:p>
    <w:p>
      <w:pPr>
        <w:pStyle w:val="Heading2"/>
      </w:pPr>
      <w:r>
        <w:rPr>
          <w:b w:val="0"/>
        </w:rPr>
        <w:t>6.2 Milestones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cantSplit/>
          <w:tblHeader/>
        </w:trPr>
        <w:tc>
          <w:tcPr>
            <w:tcW w:type="dxa" w:w="2952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6624"/>
            <w:vAlign w:val="center"/>
            <w:shd w:fill="17324D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Output / owner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Discovery — completed for this draft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Review the brief, dictionary, samples, and local file profile.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Select questions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Choose two distinct options; finalise audience, decision, scope, and success criteria. Owner: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Design before proposal pitch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Architecture diagram, justified processing mode, AWS-service mapping, and evaluation plan. Owner: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Prototype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Small end-to-end run with validated joins, baseline analyses, and initial user-facing output. Owner: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Full-scale implementation</w:t>
            </w:r>
          </w:p>
        </w:tc>
        <w:tc>
          <w:tcPr>
            <w:tcW w:type="dxa" w:w="6624"/>
            <w:vAlign w:val="center"/>
            <w:shd w:fill="EEF4F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Process the complete dataset; test correctness, runtime, recovery, and question-specific results. Owner: [TBD].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Final evidence and cleanup</w:t>
            </w:r>
          </w:p>
        </w:tc>
        <w:tc>
          <w:tcPr>
            <w:tcW w:type="dxa" w:w="6624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color w:val="176B72"/>
                <w:sz w:val="18"/>
              </w:rPr>
              <w:t>Source code, narrated setup/run videos, individual contributions, reproducibility notes, and AWS deletion checklist. Owners: [TBD].</w:t>
            </w:r>
          </w:p>
        </w:tc>
      </w:tr>
    </w:tbl>
    <w:p>
      <w:pPr>
        <w:spacing w:after="0"/>
      </w:pPr>
    </w:p>
    <w:p>
      <w:r>
        <w:rPr>
          <w:b w:val="0"/>
        </w:rPr>
        <w:t>The supplied brief places the proposal pitch in Week 9 and the final presentation/artefacts in Week 13. Confirm the actual class dates with the team.</w:t>
      </w:r>
    </w:p>
    <w:p>
      <w:pPr>
        <w:pStyle w:val="Heading2"/>
      </w:pPr>
      <w:r>
        <w:rPr>
          <w:b w:val="0"/>
        </w:rPr>
        <w:t>6.3 AWS and budget assumptions</w:t>
      </w:r>
    </w:p>
    <w:p>
      <w:r>
        <w:rPr>
          <w:b/>
        </w:rPr>
        <w:t>Team preference:</w:t>
      </w:r>
      <w:r>
        <w:rPr>
          <w:b w:val="0"/>
        </w:rPr>
        <w:t xml:space="preserve"> Use any appropriate AWS services, including services not taught in class. Compute will run only when needed, so cost should be a secondary design criterion rather than the starting point.</w:t>
      </w:r>
    </w:p>
    <w:p>
      <w:r>
        <w:rPr>
          <w:b/>
        </w:rPr>
        <w:t>Operational caveat:</w:t>
      </w:r>
      <w:r>
        <w:rPr>
          <w:b w:val="0"/>
        </w:rPr>
        <w:t xml:space="preserve"> Stopping compute does not eliminate storage, snapshots, logs, or some network-resource charges. Track residual costs, use a budget alert, and document shutdown and final teardown.</w:t>
      </w:r>
    </w:p>
    <w:p>
      <w:r>
        <w:rPr>
          <w:b/>
        </w:rPr>
        <w:t>Brief guardrails:</w:t>
      </w:r>
      <w:r>
        <w:rPr>
          <w:b w:val="0"/>
        </w:rPr>
        <w:t xml:space="preserve"> The supplied brief states a USD 250 budget, prohibits AWS Marketplace purchases, and asks teams to avoid expensive services such as Redshift, RDS, and QuickSight in favour of cost-effective alternatives. If the instructor has provided updated permission, record it before relying on a different interpretation. No AWS resources are provisioned by this document.</w:t>
      </w:r>
    </w:p>
    <w:p>
      <w:pPr>
        <w:pStyle w:val="Heading2"/>
      </w:pPr>
      <w:r>
        <w:rPr>
          <w:b w:val="0"/>
        </w:rPr>
        <w:t>6.4 Sources and evidence</w:t>
      </w:r>
    </w:p>
    <w:p>
      <w:pPr>
        <w:pStyle w:val="ListNumber"/>
      </w:pPr>
      <w:r>
        <w:rPr>
          <w:b/>
        </w:rPr>
        <w:t>Local project brief:</w:t>
      </w:r>
      <w:r>
        <w:rPr>
          <w:b w:val="0"/>
        </w:rPr>
        <w:t xml:space="preserve"> [IS459] Project_G2.pptx, especially slides 4–6, 8, and 10–11: dictionary, distinct questions, pipeline expectations, beneficiaries, and evaluation.</w:t>
      </w:r>
    </w:p>
    <w:p>
      <w:pPr>
        <w:pStyle w:val="ListNumber"/>
      </w:pPr>
      <w:r>
        <w:rPr>
          <w:b/>
        </w:rPr>
        <w:t>Local supporting notes:</w:t>
      </w:r>
      <w:r>
        <w:rPr>
          <w:b w:val="0"/>
        </w:rPr>
        <w:t xml:space="preserve"> other.txt: business-first design, timing requirements, and dataset selection.</w:t>
      </w:r>
    </w:p>
    <w:p>
      <w:pPr>
        <w:pStyle w:val="ListNumber"/>
      </w:pPr>
      <w:r>
        <w:rPr>
          <w:b/>
        </w:rPr>
        <w:t>Local data:</w:t>
      </w:r>
      <w:r>
        <w:rPr>
          <w:b w:val="0"/>
        </w:rPr>
        <w:t xml:space="preserve"> Ibm_dataset_medium/HI-Medium_Trans.csv, HI-Medium_accounts.csv, and HI-Medium_Patterns.txt. Counts and sample observations in this document were obtained from these files; original data was not modified.</w:t>
      </w:r>
    </w:p>
    <w:p>
      <w:pPr>
        <w:pStyle w:val="ListNumber"/>
      </w:pPr>
      <w:r>
        <w:rPr>
          <w:b/>
        </w:rPr>
        <w:t>Dataset source:</w:t>
      </w:r>
      <w:r>
        <w:rPr>
          <w:b w:val="0"/>
        </w:rPr>
        <w:t xml:space="preserve"> https://www.kaggle.com/datasets/ealtman2019/ibm-transactions-for-anti-money-laundering-aml</w:t>
      </w:r>
    </w:p>
    <w:p>
      <w:pPr>
        <w:pStyle w:val="ListNumber"/>
      </w:pPr>
      <w:r>
        <w:rPr>
          <w:b/>
        </w:rPr>
        <w:t>IBM provenance and licence notes:</w:t>
      </w:r>
      <w:r>
        <w:rPr>
          <w:b w:val="0"/>
        </w:rPr>
        <w:t xml:space="preserve"> https://github.com/IBM/AML-Data — explains synthetic generation and the data's CDLA-Sharing-1.0 licence.</w:t>
      </w:r>
    </w:p>
    <w:p>
      <w:r>
        <w:rPr>
          <w:b/>
        </w:rPr>
        <w:t>Next decision:</w:t>
      </w:r>
      <w:r>
        <w:rPr>
          <w:b w:val="0"/>
          <w:color w:val="176B72"/>
        </w:rPr>
        <w:t xml:space="preserve"> Select two shortlist options. Then replace the [TBD] fields with an agreed business scope, measurable requirements, and a justified AWS pipeline.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07" w:right="1166" w:bottom="936" w:left="1166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76776"/>
        <w:sz w:val="16"/>
      </w:rPr>
      <w:t xml:space="preserve">Proposal skeleton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76776"/>
        <w:sz w:val="16"/>
      </w:rPr>
      <w:t>IS459  |  IBM AML  |  QUESTION-SELECTION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6B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6B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ind w:left="187" w:hanging="187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0" w:lineRule="auto"/>
      <w:ind w:left="187" w:hanging="187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IS459 Project Proposal Skeleton — IBM AML</dc:title>
  <dc:subject>Business-question selection and requirement-led pipeline proposal</dc:subject>
  <dc:creator>python-docx</dc:creator>
  <cp:keywords>IS459, AML, proposal, AWS, HI-Medium</cp:keywords>
  <dc:description>Question-selection draft. Final business questions and service choices are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