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FE3CA">
      <w:pPr>
        <w:jc w:val="center"/>
        <w:rPr>
          <w:rFonts w:ascii="Times New Roman" w:hAnsi="Times New Roman"/>
          <w:b/>
          <w:color w:val="000000" w:themeColor="text1"/>
          <w:sz w:val="44"/>
          <w14:textFill>
            <w14:solidFill>
              <w14:schemeClr w14:val="tx1"/>
            </w14:solidFill>
          </w14:textFill>
        </w:rPr>
      </w:pPr>
    </w:p>
    <w:p w14:paraId="153DD658">
      <w:pPr>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COMMERCIAL SOLAR PV + BATTERY ENERGY STORAGE</w:t>
      </w:r>
      <w:r>
        <w:rPr>
          <w:rFonts w:ascii="Times New Roman" w:hAnsi="Times New Roman"/>
          <w:b/>
          <w:color w:val="000000" w:themeColor="text1"/>
          <w:sz w:val="44"/>
          <w14:textFill>
            <w14:solidFill>
              <w14:schemeClr w14:val="tx1"/>
            </w14:solidFill>
          </w14:textFill>
        </w:rPr>
        <w:br w:type="textWrapping"/>
      </w:r>
      <w:r>
        <w:rPr>
          <w:rFonts w:ascii="Times New Roman" w:hAnsi="Times New Roman"/>
          <w:b/>
          <w:color w:val="000000" w:themeColor="text1"/>
          <w:sz w:val="44"/>
          <w14:textFill>
            <w14:solidFill>
              <w14:schemeClr w14:val="tx1"/>
            </w14:solidFill>
          </w14:textFill>
        </w:rPr>
        <w:t>TECHNO-ECONOMIC PROJECT REPORT</w:t>
      </w:r>
    </w:p>
    <w:p w14:paraId="0DAB7D1A">
      <w:pPr>
        <w:jc w:val="center"/>
        <w:rPr>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t>Barstow, California</w:t>
      </w:r>
    </w:p>
    <w:p w14:paraId="5552EED5">
      <w:pPr>
        <w:rPr>
          <w:color w:val="000000" w:themeColor="text1"/>
          <w14:textFill>
            <w14:solidFill>
              <w14:schemeClr w14:val="tx1"/>
            </w14:solidFill>
          </w14:textFill>
        </w:rPr>
      </w:pPr>
      <w:r>
        <w:rPr>
          <w:color w:val="000000" w:themeColor="text1"/>
          <w14:textFill>
            <w14:solidFill>
              <w14:schemeClr w14:val="tx1"/>
            </w14:solidFill>
          </w14:textFill>
        </w:rPr>
        <w:br w:type="textWrapping"/>
      </w:r>
    </w:p>
    <w:p w14:paraId="274F5ED5">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Historical Utility Analysis • PV/ESS Sizing • Demand-Charge Modeling • Financial Evaluation</w:t>
      </w:r>
    </w:p>
    <w:p w14:paraId="1C848661">
      <w:pPr>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p>
    <w:p w14:paraId="696CAEC6">
      <w:pPr>
        <w:jc w:val="center"/>
        <w:rPr>
          <w:rFonts w:ascii="Times New Roman" w:hAnsi="Times New Roman"/>
          <w:b/>
          <w:color w:val="000000" w:themeColor="text1"/>
          <w:sz w:val="28"/>
          <w14:textFill>
            <w14:solidFill>
              <w14:schemeClr w14:val="tx1"/>
            </w14:solidFill>
          </w14:textFill>
        </w:rPr>
      </w:pPr>
    </w:p>
    <w:p w14:paraId="2FF4E55E">
      <w:pPr>
        <w:jc w:val="center"/>
        <w:rPr>
          <w:rFonts w:ascii="Times New Roman" w:hAnsi="Times New Roman"/>
          <w:b/>
          <w:color w:val="000000" w:themeColor="text1"/>
          <w:sz w:val="28"/>
          <w14:textFill>
            <w14:solidFill>
              <w14:schemeClr w14:val="tx1"/>
            </w14:solidFill>
          </w14:textFill>
        </w:rPr>
      </w:pPr>
      <w:r>
        <w:rPr>
          <w:rFonts w:ascii="Times New Roman" w:hAnsi="Times New Roman"/>
          <w:b/>
          <w:color w:val="000000" w:themeColor="text1"/>
          <w:sz w:val="28"/>
          <w14:textFill>
            <w14:solidFill>
              <w14:schemeClr w14:val="tx1"/>
            </w14:solidFill>
          </w14:textFill>
        </w:rPr>
        <w:br w:type="textWrapping"/>
      </w:r>
      <w:r>
        <w:rPr>
          <w:rFonts w:ascii="Times New Roman" w:hAnsi="Times New Roman"/>
          <w:b/>
          <w:color w:val="000000" w:themeColor="text1"/>
          <w:sz w:val="28"/>
          <w14:textFill>
            <w14:solidFill>
              <w14:schemeClr w14:val="tx1"/>
            </w14:solidFill>
          </w14:textFill>
        </w:rPr>
        <w:t>Keman Xiang</w:t>
      </w:r>
    </w:p>
    <w:p w14:paraId="56D98407">
      <w:pPr>
        <w:jc w:val="center"/>
        <w:rPr>
          <w:rFonts w:hint="default" w:ascii="Times New Roman" w:hAnsi="Times New Roman" w:eastAsia="宋体"/>
          <w:b w:val="0"/>
          <w:bCs/>
          <w:color w:val="000000" w:themeColor="text1"/>
          <w:sz w:val="28"/>
          <w:lang w:val="en-US" w:eastAsia="zh-CN"/>
          <w14:textFill>
            <w14:solidFill>
              <w14:schemeClr w14:val="tx1"/>
            </w14:solidFill>
          </w14:textFill>
        </w:rPr>
      </w:pPr>
      <w:r>
        <w:rPr>
          <w:rFonts w:hint="default" w:eastAsia="宋体"/>
          <w:b w:val="0"/>
          <w:bCs/>
          <w:color w:val="000000" w:themeColor="text1"/>
          <w:sz w:val="28"/>
          <w:lang w:val="en-US" w:eastAsia="zh-CN"/>
          <w14:textFill>
            <w14:solidFill>
              <w14:schemeClr w14:val="tx1"/>
            </w14:solidFill>
          </w14:textFill>
        </w:rPr>
        <w:t>kemanxiang005@gmail.com</w:t>
      </w:r>
    </w:p>
    <w:p w14:paraId="5D225B54">
      <w:pPr>
        <w:jc w:val="center"/>
        <w:rPr>
          <w:rFonts w:ascii="Times New Roman" w:hAnsi="Times New Roman"/>
          <w:b/>
          <w:color w:val="000000" w:themeColor="text1"/>
          <w:sz w:val="28"/>
          <w14:textFill>
            <w14:solidFill>
              <w14:schemeClr w14:val="tx1"/>
            </w14:solidFill>
          </w14:textFill>
        </w:rPr>
      </w:pPr>
    </w:p>
    <w:p w14:paraId="744FB746">
      <w:pPr>
        <w:jc w:val="center"/>
        <w:rPr>
          <w:rFonts w:ascii="Times New Roman" w:hAnsi="Times New Roman"/>
          <w:b/>
          <w:color w:val="000000" w:themeColor="text1"/>
          <w:sz w:val="28"/>
          <w14:textFill>
            <w14:solidFill>
              <w14:schemeClr w14:val="tx1"/>
            </w14:solidFill>
          </w14:textFill>
        </w:rPr>
      </w:pPr>
    </w:p>
    <w:p w14:paraId="7E9C9EC6">
      <w:pPr>
        <w:jc w:val="center"/>
        <w:rPr>
          <w:rFonts w:ascii="Times New Roman" w:hAnsi="Times New Roman"/>
          <w:b/>
          <w:color w:val="000000" w:themeColor="text1"/>
          <w:sz w:val="28"/>
          <w14:textFill>
            <w14:solidFill>
              <w14:schemeClr w14:val="tx1"/>
            </w14:solidFill>
          </w14:textFill>
        </w:rPr>
      </w:pPr>
    </w:p>
    <w:p w14:paraId="6D2127FB">
      <w:pPr>
        <w:jc w:val="center"/>
        <w:rPr>
          <w:rFonts w:ascii="Times New Roman" w:hAnsi="Times New Roman"/>
          <w:b/>
          <w:color w:val="000000" w:themeColor="text1"/>
          <w:sz w:val="28"/>
          <w14:textFill>
            <w14:solidFill>
              <w14:schemeClr w14:val="tx1"/>
            </w14:solidFill>
          </w14:textFill>
        </w:rPr>
      </w:pPr>
    </w:p>
    <w:p w14:paraId="232B1515">
      <w:pPr>
        <w:jc w:val="center"/>
        <w:rPr>
          <w:color w:val="000000" w:themeColor="text1"/>
          <w14:textFill>
            <w14:solidFill>
              <w14:schemeClr w14:val="tx1"/>
            </w14:solidFill>
          </w14:textFill>
        </w:rPr>
      </w:pPr>
      <w:r>
        <w:rPr>
          <w:color w:val="000000" w:themeColor="text1"/>
          <w14:textFill>
            <w14:solidFill>
              <w14:schemeClr w14:val="tx1"/>
            </w14:solidFill>
          </w14:textFill>
        </w:rPr>
        <w:t>Commercial Project Case Study</w:t>
      </w:r>
      <w:r>
        <w:rPr>
          <w:color w:val="000000" w:themeColor="text1"/>
          <w14:textFill>
            <w14:solidFill>
              <w14:schemeClr w14:val="tx1"/>
            </w14:solidFill>
          </w14:textFill>
        </w:rPr>
        <w:br w:type="textWrapping"/>
      </w:r>
      <w:r>
        <w:rPr>
          <w:color w:val="000000" w:themeColor="text1"/>
          <w14:textFill>
            <w14:solidFill>
              <w14:schemeClr w14:val="tx1"/>
            </w14:solidFill>
          </w14:textFill>
        </w:rPr>
        <w:t>Based on project work completed at Stored Power Technology Inc.</w:t>
      </w:r>
    </w:p>
    <w:p w14:paraId="4A346D2D">
      <w:pPr>
        <w:rPr>
          <w:color w:val="000000" w:themeColor="text1"/>
          <w14:textFill>
            <w14:solidFill>
              <w14:schemeClr w14:val="tx1"/>
            </w14:solidFill>
          </w14:textFill>
        </w:rPr>
      </w:pPr>
      <w:r>
        <w:rPr>
          <w:color w:val="000000" w:themeColor="text1"/>
          <w14:textFill>
            <w14:solidFill>
              <w14:schemeClr w14:val="tx1"/>
            </w14:solidFill>
          </w14:textFill>
        </w:rPr>
        <w:br w:type="textWrapping"/>
      </w:r>
    </w:p>
    <w:p w14:paraId="1F1982B7">
      <w:pPr>
        <w:rPr>
          <w:color w:val="000000" w:themeColor="text1"/>
          <w14:textFill>
            <w14:solidFill>
              <w14:schemeClr w14:val="tx1"/>
            </w14:solidFill>
          </w14:textFill>
        </w:rPr>
      </w:pPr>
    </w:p>
    <w:p w14:paraId="30F35B4D">
      <w:pPr>
        <w:rPr>
          <w:color w:val="000000" w:themeColor="text1"/>
          <w14:textFill>
            <w14:solidFill>
              <w14:schemeClr w14:val="tx1"/>
            </w14:solidFill>
          </w14:textFill>
        </w:rPr>
      </w:pPr>
    </w:p>
    <w:p w14:paraId="5CC0A338">
      <w:pPr>
        <w:rPr>
          <w:color w:val="000000" w:themeColor="text1"/>
          <w14:textFill>
            <w14:solidFill>
              <w14:schemeClr w14:val="tx1"/>
            </w14:solidFill>
          </w14:textFill>
        </w:rPr>
      </w:pPr>
    </w:p>
    <w:p w14:paraId="6ABD40F7">
      <w:pPr>
        <w:rPr>
          <w:color w:val="000000" w:themeColor="text1"/>
          <w14:textFill>
            <w14:solidFill>
              <w14:schemeClr w14:val="tx1"/>
            </w14:solidFill>
          </w14:textFill>
        </w:rPr>
      </w:pPr>
    </w:p>
    <w:p w14:paraId="410D4848">
      <w:pPr>
        <w:rPr>
          <w:color w:val="000000" w:themeColor="text1"/>
          <w14:textFill>
            <w14:solidFill>
              <w14:schemeClr w14:val="tx1"/>
            </w14:solidFill>
          </w14:textFill>
        </w:rPr>
      </w:pPr>
    </w:p>
    <w:p w14:paraId="20D91D0B">
      <w:pPr>
        <w:jc w:val="lef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Project report based on the project workbook and client proposal.</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 xml:space="preserve">Project-specific numerical results follow those source files; </w:t>
      </w:r>
      <w:r>
        <w:rPr>
          <w:rFonts w:hint="default"/>
          <w:color w:val="000000" w:themeColor="text1"/>
          <w:sz w:val="20"/>
          <w:szCs w:val="20"/>
          <w:lang w:val="en-US"/>
          <w14:textFill>
            <w14:solidFill>
              <w14:schemeClr w14:val="tx1"/>
            </w14:solidFill>
          </w14:textFill>
        </w:rPr>
        <w:t>a</w:t>
      </w:r>
      <w:r>
        <w:rPr>
          <w:color w:val="000000" w:themeColor="text1"/>
          <w:sz w:val="20"/>
          <w:szCs w:val="20"/>
          <w14:textFill>
            <w14:solidFill>
              <w14:schemeClr w14:val="tx1"/>
            </w14:solidFill>
          </w14:textFill>
        </w:rPr>
        <w:t>ssumptions are identified explicitly.</w:t>
      </w:r>
    </w:p>
    <w:p w14:paraId="1A4E480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BD20AF4">
      <w:pPr>
        <w:pStyle w:val="2"/>
        <w:rPr>
          <w:color w:val="000000" w:themeColor="text1"/>
          <w14:textFill>
            <w14:solidFill>
              <w14:schemeClr w14:val="tx1"/>
            </w14:solidFill>
          </w14:textFill>
        </w:rPr>
      </w:pPr>
      <w:bookmarkStart w:id="0" w:name="_Toc889020898"/>
      <w:r>
        <w:rPr>
          <w:color w:val="000000" w:themeColor="text1"/>
          <w14:textFill>
            <w14:solidFill>
              <w14:schemeClr w14:val="tx1"/>
            </w14:solidFill>
          </w14:textFill>
        </w:rPr>
        <w:t>Executive Summary</w:t>
      </w:r>
      <w:bookmarkEnd w:id="0"/>
    </w:p>
    <w:p w14:paraId="290E983F">
      <w:pPr>
        <w:rPr>
          <w:color w:val="000000" w:themeColor="text1"/>
          <w14:textFill>
            <w14:solidFill>
              <w14:schemeClr w14:val="tx1"/>
            </w14:solidFill>
          </w14:textFill>
        </w:rPr>
      </w:pPr>
      <w:r>
        <w:rPr>
          <w:color w:val="000000" w:themeColor="text1"/>
          <w14:textFill>
            <w14:solidFill>
              <w14:schemeClr w14:val="tx1"/>
            </w14:solidFill>
          </w14:textFill>
        </w:rPr>
        <w:t xml:space="preserve">This commercial behind-the-meter </w:t>
      </w:r>
      <w:r>
        <w:rPr>
          <w:rFonts w:hint="default" w:ascii="Times New Roman Bold" w:hAnsi="Times New Roman Bold" w:cs="Times New Roman Bold"/>
          <w:b/>
          <w:bCs/>
          <w:color w:val="000000" w:themeColor="text1"/>
          <w14:textFill>
            <w14:solidFill>
              <w14:schemeClr w14:val="tx1"/>
            </w14:solidFill>
          </w14:textFill>
        </w:rPr>
        <w:t>solar photovoltaic (PV)</w:t>
      </w:r>
      <w:r>
        <w:rPr>
          <w:color w:val="000000" w:themeColor="text1"/>
          <w14:textFill>
            <w14:solidFill>
              <w14:schemeClr w14:val="tx1"/>
            </w14:solidFill>
          </w14:textFill>
        </w:rPr>
        <w:t xml:space="preserve"> and</w:t>
      </w:r>
      <w:r>
        <w:rPr>
          <w:rFonts w:hint="default" w:ascii="Times New Roman Bold" w:hAnsi="Times New Roman Bold" w:cs="Times New Roman Bold"/>
          <w:b/>
          <w:bCs/>
          <w:color w:val="000000" w:themeColor="text1"/>
          <w14:textFill>
            <w14:solidFill>
              <w14:schemeClr w14:val="tx1"/>
            </w14:solidFill>
          </w14:textFill>
        </w:rPr>
        <w:t xml:space="preserve"> battery energy storage system (ESS)</w:t>
      </w:r>
      <w:r>
        <w:rPr>
          <w:color w:val="000000" w:themeColor="text1"/>
          <w14:textFill>
            <w14:solidFill>
              <w14:schemeClr w14:val="tx1"/>
            </w14:solidFill>
          </w14:textFill>
        </w:rPr>
        <w:t xml:space="preserve"> project evaluates two utility accounts in</w:t>
      </w:r>
      <w:r>
        <w:rPr>
          <w:rFonts w:hint="default" w:ascii="Times New Roman Bold" w:hAnsi="Times New Roman Bold" w:cs="Times New Roman Bold"/>
          <w:b/>
          <w:bCs/>
          <w:color w:val="000000" w:themeColor="text1"/>
          <w14:textFill>
            <w14:solidFill>
              <w14:schemeClr w14:val="tx1"/>
            </w14:solidFill>
          </w14:textFill>
        </w:rPr>
        <w:t xml:space="preserve"> Barstow, California</w:t>
      </w:r>
      <w:r>
        <w:rPr>
          <w:color w:val="000000" w:themeColor="text1"/>
          <w14:textFill>
            <w14:solidFill>
              <w14:schemeClr w14:val="tx1"/>
            </w14:solidFill>
          </w14:textFill>
        </w:rPr>
        <w:t xml:space="preserve">. The analysis covers a 12-billing-cycle electricity baseline, time-of-use (TOU) characterization, PV production scaling, battery energy and power screening, demand-charge analysis, scenario comparison, and a 30-year project financial evaluation. Together, these steps connect the site’s </w:t>
      </w:r>
      <w:r>
        <w:rPr>
          <w:rFonts w:hint="default" w:ascii="Times New Roman Bold" w:hAnsi="Times New Roman Bold" w:cs="Times New Roman Bold"/>
          <w:b/>
          <w:bCs/>
          <w:color w:val="000000" w:themeColor="text1"/>
          <w14:textFill>
            <w14:solidFill>
              <w14:schemeClr w14:val="tx1"/>
            </w14:solidFill>
          </w14:textFill>
        </w:rPr>
        <w:t>historical electricity use</w:t>
      </w:r>
      <w:r>
        <w:rPr>
          <w:color w:val="000000" w:themeColor="text1"/>
          <w14:textFill>
            <w14:solidFill>
              <w14:schemeClr w14:val="tx1"/>
            </w14:solidFill>
          </w14:textFill>
        </w:rPr>
        <w:t xml:space="preserve"> with </w:t>
      </w:r>
      <w:r>
        <w:rPr>
          <w:rFonts w:hint="default" w:ascii="Times New Roman Bold" w:hAnsi="Times New Roman Bold" w:cs="Times New Roman Bold"/>
          <w:b/>
          <w:bCs/>
          <w:color w:val="000000" w:themeColor="text1"/>
          <w14:textFill>
            <w14:solidFill>
              <w14:schemeClr w14:val="tx1"/>
            </w14:solidFill>
          </w14:textFill>
        </w:rPr>
        <w:t>system sizing, operating economics</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investment performance</w:t>
      </w:r>
      <w:r>
        <w:rPr>
          <w:color w:val="000000" w:themeColor="text1"/>
          <w14:textFill>
            <w14:solidFill>
              <w14:schemeClr w14:val="tx1"/>
            </w14:solidFill>
          </w14:textFill>
        </w:rPr>
        <w:t>.</w:t>
      </w:r>
    </w:p>
    <w:p w14:paraId="7DEE3CF6">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Historical electricity consumptio</w:t>
      </w:r>
      <w:r>
        <w:rPr>
          <w:color w:val="000000" w:themeColor="text1"/>
          <w14:textFill>
            <w14:solidFill>
              <w14:schemeClr w14:val="tx1"/>
            </w14:solidFill>
          </w14:textFill>
        </w:rPr>
        <w:t xml:space="preserve">n across the two analyzed accounts is 709,501 kWh/year, comprising 117,058 kWh for Meter 1 and 592,443 kWh for Meter 2. The minimum </w:t>
      </w:r>
      <w:r>
        <w:rPr>
          <w:rFonts w:hint="default" w:ascii="Times New Roman Bold" w:hAnsi="Times New Roman Bold" w:cs="Times New Roman Bold"/>
          <w:b/>
          <w:bCs/>
          <w:color w:val="000000" w:themeColor="text1"/>
          <w14:textFill>
            <w14:solidFill>
              <w14:schemeClr w14:val="tx1"/>
            </w14:solidFill>
          </w14:textFill>
        </w:rPr>
        <w:t>PV configuration</w:t>
      </w:r>
      <w:r>
        <w:rPr>
          <w:color w:val="000000" w:themeColor="text1"/>
          <w14:textFill>
            <w14:solidFill>
              <w14:schemeClr w14:val="tx1"/>
            </w14:solidFill>
          </w14:textFill>
        </w:rPr>
        <w:t xml:space="preserve"> satisfying the annual-generation constraint uses 838 panels rated at 485 W each, equivalent to </w:t>
      </w:r>
      <w:r>
        <w:rPr>
          <w:rFonts w:hint="default" w:ascii="Times New Roman Bold" w:hAnsi="Times New Roman Bold" w:cs="Times New Roman Bold"/>
          <w:b/>
          <w:bCs/>
          <w:color w:val="000000" w:themeColor="text1"/>
          <w14:textFill>
            <w14:solidFill>
              <w14:schemeClr w14:val="tx1"/>
            </w14:solidFill>
          </w14:textFill>
        </w:rPr>
        <w:t>406.43 kW DC</w:t>
      </w:r>
      <w:r>
        <w:rPr>
          <w:color w:val="000000" w:themeColor="text1"/>
          <w14:textFill>
            <w14:solidFill>
              <w14:schemeClr w14:val="tx1"/>
            </w14:solidFill>
          </w14:textFill>
        </w:rPr>
        <w:t xml:space="preserve">, with modeled annual production of </w:t>
      </w:r>
      <w:r>
        <w:rPr>
          <w:rFonts w:hint="default" w:ascii="Times New Roman Bold" w:hAnsi="Times New Roman Bold" w:cs="Times New Roman Bold"/>
          <w:b/>
          <w:bCs/>
          <w:color w:val="000000" w:themeColor="text1"/>
          <w14:textFill>
            <w14:solidFill>
              <w14:schemeClr w14:val="tx1"/>
            </w14:solidFill>
          </w14:textFill>
        </w:rPr>
        <w:t>710,207.5 kWh</w:t>
      </w:r>
      <w:r>
        <w:rPr>
          <w:color w:val="000000" w:themeColor="text1"/>
          <w14:textFill>
            <w14:solidFill>
              <w14:schemeClr w14:val="tx1"/>
            </w14:solidFill>
          </w14:textFill>
        </w:rPr>
        <w:t xml:space="preserve">. The </w:t>
      </w:r>
      <w:r>
        <w:rPr>
          <w:rFonts w:hint="default" w:ascii="Times New Roman Bold" w:hAnsi="Times New Roman Bold" w:cs="Times New Roman Bold"/>
          <w:b/>
          <w:bCs/>
          <w:color w:val="000000" w:themeColor="text1"/>
          <w14:textFill>
            <w14:solidFill>
              <w14:schemeClr w14:val="tx1"/>
            </w14:solidFill>
          </w14:textFill>
        </w:rPr>
        <w:t xml:space="preserve">ESS </w:t>
      </w:r>
      <w:r>
        <w:rPr>
          <w:color w:val="000000" w:themeColor="text1"/>
          <w14:textFill>
            <w14:solidFill>
              <w14:schemeClr w14:val="tx1"/>
            </w14:solidFill>
          </w14:textFill>
        </w:rPr>
        <w:t xml:space="preserve">model selects two 215.04-kWh battery sizing units, or </w:t>
      </w:r>
      <w:r>
        <w:rPr>
          <w:rFonts w:hint="default" w:ascii="Times New Roman Bold" w:hAnsi="Times New Roman Bold" w:cs="Times New Roman Bold"/>
          <w:b/>
          <w:bCs/>
          <w:color w:val="000000" w:themeColor="text1"/>
          <w14:textFill>
            <w14:solidFill>
              <w14:schemeClr w14:val="tx1"/>
            </w14:solidFill>
          </w14:textFill>
        </w:rPr>
        <w:t>430.08 kWh</w:t>
      </w:r>
      <w:r>
        <w:rPr>
          <w:color w:val="000000" w:themeColor="text1"/>
          <w14:textFill>
            <w14:solidFill>
              <w14:schemeClr w14:val="tx1"/>
            </w14:solidFill>
          </w14:textFill>
        </w:rPr>
        <w:t xml:space="preserve"> nominal energy. A 100-kW fixed demand-shave target is used for the proposal base case; the corresponding modeled AC PCS rating is 200 kW, based on a benchmark assumption of 100 kW AC per battery sizing unit.</w:t>
      </w:r>
    </w:p>
    <w:p w14:paraId="3D2A6F81">
      <w:pPr>
        <w:rPr>
          <w:color w:val="000000" w:themeColor="text1"/>
          <w14:textFill>
            <w14:solidFill>
              <w14:schemeClr w14:val="tx1"/>
            </w14:solidFill>
          </w14:textFill>
        </w:rPr>
      </w:pPr>
      <w:r>
        <w:rPr>
          <w:color w:val="000000" w:themeColor="text1"/>
          <w14:textFill>
            <w14:solidFill>
              <w14:schemeClr w14:val="tx1"/>
            </w14:solidFill>
          </w14:textFill>
        </w:rPr>
        <w:t>In the</w:t>
      </w:r>
      <w:r>
        <w:rPr>
          <w:rFonts w:hint="default" w:ascii="Times New Roman Bold" w:hAnsi="Times New Roman Bold" w:cs="Times New Roman Bold"/>
          <w:b/>
          <w:bCs/>
          <w:color w:val="000000" w:themeColor="text1"/>
          <w14:textFill>
            <w14:solidFill>
              <w14:schemeClr w14:val="tx1"/>
            </w14:solidFill>
          </w14:textFill>
        </w:rPr>
        <w:t xml:space="preserve"> project model</w:t>
      </w:r>
      <w:r>
        <w:rPr>
          <w:color w:val="000000" w:themeColor="text1"/>
          <w14:textFill>
            <w14:solidFill>
              <w14:schemeClr w14:val="tx1"/>
            </w14:solidFill>
          </w14:textFill>
        </w:rPr>
        <w:t>, the</w:t>
      </w:r>
      <w:r>
        <w:rPr>
          <w:rFonts w:hint="default" w:ascii="Times New Roman Bold" w:hAnsi="Times New Roman Bold" w:cs="Times New Roman Bold"/>
          <w:b/>
          <w:bCs/>
          <w:color w:val="000000" w:themeColor="text1"/>
          <w14:textFill>
            <w14:solidFill>
              <w14:schemeClr w14:val="tx1"/>
            </w14:solidFill>
          </w14:textFill>
        </w:rPr>
        <w:t xml:space="preserve"> historical annual electricity bill</w:t>
      </w:r>
      <w:r>
        <w:rPr>
          <w:color w:val="000000" w:themeColor="text1"/>
          <w14:textFill>
            <w14:solidFill>
              <w14:schemeClr w14:val="tx1"/>
            </w14:solidFill>
          </w14:textFill>
        </w:rPr>
        <w:t xml:space="preserve"> is </w:t>
      </w:r>
      <w:r>
        <w:rPr>
          <w:rFonts w:hint="default" w:ascii="Times New Roman Bold" w:hAnsi="Times New Roman Bold" w:cs="Times New Roman Bold"/>
          <w:b/>
          <w:bCs/>
          <w:color w:val="000000" w:themeColor="text1"/>
          <w14:textFill>
            <w14:solidFill>
              <w14:schemeClr w14:val="tx1"/>
            </w14:solidFill>
          </w14:textFill>
        </w:rPr>
        <w:t>$286,732.11</w:t>
      </w:r>
      <w:r>
        <w:rPr>
          <w:color w:val="000000" w:themeColor="text1"/>
          <w14:textFill>
            <w14:solidFill>
              <w14:schemeClr w14:val="tx1"/>
            </w14:solidFill>
          </w14:textFill>
        </w:rPr>
        <w:t xml:space="preserve">. Modeled </w:t>
      </w:r>
      <w:r>
        <w:rPr>
          <w:rFonts w:hint="default" w:ascii="Times New Roman Bold" w:hAnsi="Times New Roman Bold" w:cs="Times New Roman Bold"/>
          <w:b/>
          <w:bCs/>
          <w:color w:val="000000" w:themeColor="text1"/>
          <w14:textFill>
            <w14:solidFill>
              <w14:schemeClr w14:val="tx1"/>
            </w14:solidFill>
          </w14:textFill>
        </w:rPr>
        <w:t>Year-1 electricity savings</w:t>
      </w:r>
      <w:r>
        <w:rPr>
          <w:color w:val="000000" w:themeColor="text1"/>
          <w14:textFill>
            <w14:solidFill>
              <w14:schemeClr w14:val="tx1"/>
            </w14:solidFill>
          </w14:textFill>
        </w:rPr>
        <w:t xml:space="preserve"> are </w:t>
      </w:r>
      <w:r>
        <w:rPr>
          <w:rFonts w:hint="default" w:ascii="Times New Roman Bold" w:hAnsi="Times New Roman Bold" w:cs="Times New Roman Bold"/>
          <w:b/>
          <w:bCs/>
          <w:color w:val="000000" w:themeColor="text1"/>
          <w14:textFill>
            <w14:solidFill>
              <w14:schemeClr w14:val="tx1"/>
            </w14:solidFill>
          </w14:textFill>
        </w:rPr>
        <w:t>$106,305.62</w:t>
      </w:r>
      <w:r>
        <w:rPr>
          <w:color w:val="000000" w:themeColor="text1"/>
          <w14:textFill>
            <w14:solidFill>
              <w14:schemeClr w14:val="tx1"/>
            </w14:solidFill>
          </w14:textFill>
        </w:rPr>
        <w:t>, reducing the annual bill to approximately</w:t>
      </w:r>
      <w:r>
        <w:rPr>
          <w:rFonts w:hint="default" w:ascii="Times New Roman Bold" w:hAnsi="Times New Roman Bold" w:cs="Times New Roman Bold"/>
          <w:b/>
          <w:bCs/>
          <w:color w:val="000000" w:themeColor="text1"/>
          <w14:textFill>
            <w14:solidFill>
              <w14:schemeClr w14:val="tx1"/>
            </w14:solidFill>
          </w14:textFill>
        </w:rPr>
        <w:t xml:space="preserve"> $180,426.49</w:t>
      </w:r>
      <w:r>
        <w:rPr>
          <w:color w:val="000000" w:themeColor="text1"/>
          <w14:textFill>
            <w14:solidFill>
              <w14:schemeClr w14:val="tx1"/>
            </w14:solidFill>
          </w14:textFill>
        </w:rPr>
        <w:t xml:space="preserve">. The modeled savings consist of PV energy savings, demand-charge savings, export value, and grid-charging arbitrage. The project cost is </w:t>
      </w:r>
      <w:r>
        <w:rPr>
          <w:rFonts w:hint="default" w:ascii="Times New Roman Bold" w:hAnsi="Times New Roman Bold" w:cs="Times New Roman Bold"/>
          <w:b/>
          <w:bCs/>
          <w:color w:val="000000" w:themeColor="text1"/>
          <w14:textFill>
            <w14:solidFill>
              <w14:schemeClr w14:val="tx1"/>
            </w14:solidFill>
          </w14:textFill>
        </w:rPr>
        <w:t>$1,074,972.30</w:t>
      </w:r>
      <w:r>
        <w:rPr>
          <w:color w:val="000000" w:themeColor="text1"/>
          <w14:textFill>
            <w14:solidFill>
              <w14:schemeClr w14:val="tx1"/>
            </w14:solidFill>
          </w14:textFill>
        </w:rPr>
        <w:t xml:space="preserve"> before modeled incentives and tax benefits. The proposal financial model reports a </w:t>
      </w:r>
      <w:r>
        <w:rPr>
          <w:rFonts w:hint="default" w:ascii="Times New Roman Bold" w:hAnsi="Times New Roman Bold" w:cs="Times New Roman Bold"/>
          <w:b/>
          <w:bCs/>
          <w:color w:val="000000" w:themeColor="text1"/>
          <w14:textFill>
            <w14:solidFill>
              <w14:schemeClr w14:val="tx1"/>
            </w14:solidFill>
          </w14:textFill>
        </w:rPr>
        <w:t>21.5% IRR</w:t>
      </w:r>
      <w:r>
        <w:rPr>
          <w:color w:val="000000" w:themeColor="text1"/>
          <w14:textFill>
            <w14:solidFill>
              <w14:schemeClr w14:val="tx1"/>
            </w14:solidFill>
          </w14:textFill>
        </w:rPr>
        <w:t xml:space="preserve">, $1.758 million NPV at a 5% discount rate, a </w:t>
      </w:r>
      <w:r>
        <w:rPr>
          <w:rFonts w:hint="default" w:ascii="Times New Roman Bold" w:hAnsi="Times New Roman Bold" w:cs="Times New Roman Bold"/>
          <w:b/>
          <w:bCs/>
          <w:color w:val="000000" w:themeColor="text1"/>
          <w14:textFill>
            <w14:solidFill>
              <w14:schemeClr w14:val="tx1"/>
            </w14:solidFill>
          </w14:textFill>
        </w:rPr>
        <w:t>3.9-year payback period</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$4.694 million</w:t>
      </w:r>
      <w:r>
        <w:rPr>
          <w:color w:val="000000" w:themeColor="text1"/>
          <w14:textFill>
            <w14:solidFill>
              <w14:schemeClr w14:val="tx1"/>
            </w14:solidFill>
          </w14:textFill>
        </w:rPr>
        <w:t xml:space="preserve"> of cumulative 30-year electricity-bill savings.</w:t>
      </w:r>
    </w:p>
    <w:p w14:paraId="74DB7B71">
      <w:pPr>
        <w:rPr>
          <w:color w:val="000000" w:themeColor="text1"/>
          <w14:textFill>
            <w14:solidFill>
              <w14:schemeClr w14:val="tx1"/>
            </w14:solidFill>
          </w14:textFill>
        </w:rPr>
      </w:pPr>
      <w:r>
        <w:rPr>
          <w:color w:val="000000" w:themeColor="text1"/>
          <w14:textFill>
            <w14:solidFill>
              <w14:schemeClr w14:val="tx1"/>
            </w14:solidFill>
          </w14:textFill>
        </w:rPr>
        <w:t xml:space="preserve">The project should be interpreted as a </w:t>
      </w:r>
      <w:r>
        <w:rPr>
          <w:rFonts w:hint="default" w:ascii="Times New Roman Bold" w:hAnsi="Times New Roman Bold" w:cs="Times New Roman Bold"/>
          <w:b/>
          <w:bCs/>
          <w:color w:val="000000" w:themeColor="text1"/>
          <w14:textFill>
            <w14:solidFill>
              <w14:schemeClr w14:val="tx1"/>
            </w14:solidFill>
          </w14:textFill>
        </w:rPr>
        <w:t>decision-support</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proposal-development</w:t>
      </w:r>
      <w:r>
        <w:rPr>
          <w:color w:val="000000" w:themeColor="text1"/>
          <w14:textFill>
            <w14:solidFill>
              <w14:schemeClr w14:val="tx1"/>
            </w14:solidFill>
          </w14:textFill>
        </w:rPr>
        <w:t xml:space="preserve"> model rather than a final engineering dispatch study. Monthly PV production is aligned to billing-cycle-ending months as a</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approximation, demand savings assume the battery can reduce the relevant billing maxima, and several ESS operating parameters are modeling assumptions. These boundaries are material: the analysis is suitable for preliminary commercial decision-making, while final implementation would require interval-data dispatch validation, current tariff and export rules, final equipment specifications and quotations, interconnection verification, and tax eligibility review.</w:t>
      </w:r>
    </w:p>
    <w:p w14:paraId="4E850B74">
      <w:pPr>
        <w:rPr>
          <w:color w:val="000000" w:themeColor="text1"/>
          <w14:textFill>
            <w14:solidFill>
              <w14:schemeClr w14:val="tx1"/>
            </w14:solidFill>
          </w14:textFill>
        </w:rPr>
        <w:sectPr>
          <w:footerReference r:id="rId5" w:type="default"/>
          <w:pgSz w:w="12240" w:h="15840"/>
          <w:pgMar w:top="1080" w:right="1224" w:bottom="1008" w:left="1224" w:header="720" w:footer="720" w:gutter="0"/>
          <w:cols w:space="720" w:num="1"/>
          <w:docGrid w:linePitch="360" w:charSpace="0"/>
        </w:sectPr>
      </w:pPr>
    </w:p>
    <w:p w14:paraId="31362D95">
      <w:pPr>
        <w:pStyle w:val="2"/>
        <w:bidi w:val="0"/>
        <w:jc w:val="center"/>
        <w:rPr>
          <w:rFonts w:hint="default"/>
          <w:color w:val="000000" w:themeColor="text1"/>
          <w:lang w:val="en-US"/>
          <w14:textFill>
            <w14:solidFill>
              <w14:schemeClr w14:val="tx1"/>
            </w14:solidFill>
          </w14:textFill>
        </w:rPr>
      </w:pPr>
      <w:bookmarkStart w:id="1" w:name="_Toc1730500507"/>
      <w:r>
        <w:rPr>
          <w:rFonts w:hint="default"/>
          <w:color w:val="000000" w:themeColor="text1"/>
          <w:lang w:val="en-US"/>
          <w14:textFill>
            <w14:solidFill>
              <w14:schemeClr w14:val="tx1"/>
            </w14:solidFill>
          </w14:textFill>
        </w:rPr>
        <w:t>Table of Contents</w:t>
      </w:r>
      <w:bookmarkEnd w:id="1"/>
    </w:p>
    <w:p w14:paraId="2C88068E">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TOC \o "1-2" \h \u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_Toc889020898 </w:instrText>
      </w:r>
      <w:r>
        <w:rPr>
          <w:rFonts w:hint="default"/>
          <w:lang w:val="en-US" w:eastAsia="zh-CN"/>
        </w:rPr>
        <w:fldChar w:fldCharType="separate"/>
      </w:r>
      <w:r>
        <w:t>Executive Summary</w:t>
      </w:r>
      <w:r>
        <w:tab/>
      </w:r>
      <w:r>
        <w:fldChar w:fldCharType="begin"/>
      </w:r>
      <w:r>
        <w:instrText xml:space="preserve"> PAGEREF _Toc889020898 \h </w:instrText>
      </w:r>
      <w:r>
        <w:fldChar w:fldCharType="separate"/>
      </w:r>
      <w:r>
        <w:t>2</w:t>
      </w:r>
      <w:r>
        <w:fldChar w:fldCharType="end"/>
      </w:r>
      <w:r>
        <w:rPr>
          <w:rFonts w:hint="default"/>
          <w:color w:val="000000" w:themeColor="text1"/>
          <w:lang w:val="en-US" w:eastAsia="zh-CN"/>
          <w14:textFill>
            <w14:solidFill>
              <w14:schemeClr w14:val="tx1"/>
            </w14:solidFill>
          </w14:textFill>
        </w:rPr>
        <w:fldChar w:fldCharType="end"/>
      </w:r>
    </w:p>
    <w:p w14:paraId="0F00BA9C">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_Toc1730500507 </w:instrText>
      </w:r>
      <w:r>
        <w:rPr>
          <w:rFonts w:hint="default"/>
          <w:lang w:val="en-US" w:eastAsia="zh-CN"/>
        </w:rPr>
        <w:fldChar w:fldCharType="separate"/>
      </w:r>
      <w:r>
        <w:rPr>
          <w:rFonts w:hint="default"/>
          <w:lang w:val="en-US"/>
        </w:rPr>
        <w:t>Table of Contents</w:t>
      </w:r>
      <w:r>
        <w:tab/>
      </w:r>
      <w:r>
        <w:fldChar w:fldCharType="begin"/>
      </w:r>
      <w:r>
        <w:instrText xml:space="preserve"> PAGEREF _Toc1730500507 \h </w:instrText>
      </w:r>
      <w:r>
        <w:fldChar w:fldCharType="separate"/>
      </w:r>
      <w:r>
        <w:t>3</w:t>
      </w:r>
      <w:r>
        <w:fldChar w:fldCharType="end"/>
      </w:r>
      <w:r>
        <w:rPr>
          <w:rFonts w:hint="default"/>
          <w:color w:val="000000" w:themeColor="text1"/>
          <w:lang w:val="en-US" w:eastAsia="zh-CN"/>
          <w14:textFill>
            <w14:solidFill>
              <w14:schemeClr w14:val="tx1"/>
            </w14:solidFill>
          </w14:textFill>
        </w:rPr>
        <w:fldChar w:fldCharType="end"/>
      </w:r>
    </w:p>
    <w:p w14:paraId="618EF9C2">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_Toc1150989828 </w:instrText>
      </w:r>
      <w:r>
        <w:rPr>
          <w:rFonts w:hint="default"/>
          <w:lang w:val="en-US" w:eastAsia="zh-CN"/>
        </w:rPr>
        <w:fldChar w:fldCharType="separate"/>
      </w:r>
      <w:r>
        <w:t>1. Project Context and Decision Problem</w:t>
      </w:r>
      <w:r>
        <w:tab/>
      </w:r>
      <w:r>
        <w:fldChar w:fldCharType="begin"/>
      </w:r>
      <w:r>
        <w:instrText xml:space="preserve"> PAGEREF _Toc1150989828 \h </w:instrText>
      </w:r>
      <w:r>
        <w:fldChar w:fldCharType="separate"/>
      </w:r>
      <w:r>
        <w:t>5</w:t>
      </w:r>
      <w:r>
        <w:fldChar w:fldCharType="end"/>
      </w:r>
      <w:r>
        <w:rPr>
          <w:rFonts w:hint="default"/>
          <w:color w:val="000000" w:themeColor="text1"/>
          <w:lang w:val="en-US" w:eastAsia="zh-CN"/>
          <w14:textFill>
            <w14:solidFill>
              <w14:schemeClr w14:val="tx1"/>
            </w14:solidFill>
          </w14:textFill>
        </w:rPr>
        <w:fldChar w:fldCharType="end"/>
      </w:r>
    </w:p>
    <w:p w14:paraId="70FC90B2">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_Toc153347020 </w:instrText>
      </w:r>
      <w:r>
        <w:rPr>
          <w:rFonts w:hint="default"/>
          <w:lang w:val="en-US" w:eastAsia="zh-CN"/>
        </w:rPr>
        <w:fldChar w:fldCharType="separate"/>
      </w:r>
      <w:r>
        <w:t>1.1 Commercial setting</w:t>
      </w:r>
      <w:r>
        <w:tab/>
      </w:r>
      <w:r>
        <w:fldChar w:fldCharType="begin"/>
      </w:r>
      <w:r>
        <w:instrText xml:space="preserve"> PAGEREF _Toc153347020 \h </w:instrText>
      </w:r>
      <w:r>
        <w:fldChar w:fldCharType="separate"/>
      </w:r>
      <w:r>
        <w:t>5</w:t>
      </w:r>
      <w:r>
        <w:fldChar w:fldCharType="end"/>
      </w:r>
      <w:r>
        <w:rPr>
          <w:rFonts w:hint="default"/>
          <w:color w:val="000000" w:themeColor="text1"/>
          <w:lang w:val="en-US" w:eastAsia="zh-CN"/>
          <w14:textFill>
            <w14:solidFill>
              <w14:schemeClr w14:val="tx1"/>
            </w14:solidFill>
          </w14:textFill>
        </w:rPr>
        <w:fldChar w:fldCharType="end"/>
      </w:r>
    </w:p>
    <w:p w14:paraId="04EEBD3F">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_Toc322988740 </w:instrText>
      </w:r>
      <w:r>
        <w:rPr>
          <w:rFonts w:hint="default"/>
          <w:lang w:val="en-US" w:eastAsia="zh-CN"/>
        </w:rPr>
        <w:fldChar w:fldCharType="separate"/>
      </w:r>
      <w:r>
        <w:t>1.2 Project objectives</w:t>
      </w:r>
      <w:r>
        <w:tab/>
      </w:r>
      <w:r>
        <w:fldChar w:fldCharType="begin"/>
      </w:r>
      <w:r>
        <w:instrText xml:space="preserve"> PAGEREF _Toc322988740 \h </w:instrText>
      </w:r>
      <w:r>
        <w:fldChar w:fldCharType="separate"/>
      </w:r>
      <w:r>
        <w:t>5</w:t>
      </w:r>
      <w:r>
        <w:fldChar w:fldCharType="end"/>
      </w:r>
      <w:r>
        <w:rPr>
          <w:rFonts w:hint="default"/>
          <w:color w:val="000000" w:themeColor="text1"/>
          <w:lang w:val="en-US" w:eastAsia="zh-CN"/>
          <w14:textFill>
            <w14:solidFill>
              <w14:schemeClr w14:val="tx1"/>
            </w14:solidFill>
          </w14:textFill>
        </w:rPr>
        <w:fldChar w:fldCharType="end"/>
      </w:r>
    </w:p>
    <w:p w14:paraId="051BD930">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_Toc1780577211 </w:instrText>
      </w:r>
      <w:r>
        <w:rPr>
          <w:rFonts w:hint="default"/>
          <w:lang w:val="en-US" w:eastAsia="zh-CN"/>
        </w:rPr>
        <w:fldChar w:fldCharType="separate"/>
      </w:r>
      <w:r>
        <w:t>2. Report Design and Analytical Framework</w:t>
      </w:r>
      <w:r>
        <w:tab/>
      </w:r>
      <w:r>
        <w:fldChar w:fldCharType="begin"/>
      </w:r>
      <w:r>
        <w:instrText xml:space="preserve"> PAGEREF _Toc1780577211 \h </w:instrText>
      </w:r>
      <w:r>
        <w:fldChar w:fldCharType="separate"/>
      </w:r>
      <w:r>
        <w:t>5</w:t>
      </w:r>
      <w:r>
        <w:fldChar w:fldCharType="end"/>
      </w:r>
      <w:r>
        <w:rPr>
          <w:rFonts w:hint="default"/>
          <w:color w:val="000000" w:themeColor="text1"/>
          <w:lang w:val="en-US" w:eastAsia="zh-CN"/>
          <w14:textFill>
            <w14:solidFill>
              <w14:schemeClr w14:val="tx1"/>
            </w14:solidFill>
          </w14:textFill>
        </w:rPr>
        <w:fldChar w:fldCharType="end"/>
      </w:r>
    </w:p>
    <w:p w14:paraId="16186276">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_Toc976564332 </w:instrText>
      </w:r>
      <w:r>
        <w:rPr>
          <w:rFonts w:hint="default"/>
          <w:lang w:val="en-US" w:eastAsia="zh-CN"/>
        </w:rPr>
        <w:fldChar w:fldCharType="separate"/>
      </w:r>
      <w:r>
        <w:t>2.1 Techno-economic decision framework</w:t>
      </w:r>
      <w:r>
        <w:tab/>
      </w:r>
      <w:r>
        <w:fldChar w:fldCharType="begin"/>
      </w:r>
      <w:r>
        <w:instrText xml:space="preserve"> PAGEREF _Toc976564332 \h </w:instrText>
      </w:r>
      <w:r>
        <w:fldChar w:fldCharType="separate"/>
      </w:r>
      <w:r>
        <w:t>5</w:t>
      </w:r>
      <w:r>
        <w:fldChar w:fldCharType="end"/>
      </w:r>
      <w:r>
        <w:rPr>
          <w:rFonts w:hint="default"/>
          <w:color w:val="000000" w:themeColor="text1"/>
          <w:lang w:val="en-US" w:eastAsia="zh-CN"/>
          <w14:textFill>
            <w14:solidFill>
              <w14:schemeClr w14:val="tx1"/>
            </w14:solidFill>
          </w14:textFill>
        </w:rPr>
        <w:fldChar w:fldCharType="end"/>
      </w:r>
    </w:p>
    <w:p w14:paraId="1DBF59EF">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_Toc2046697550 </w:instrText>
      </w:r>
      <w:r>
        <w:rPr>
          <w:rFonts w:hint="default"/>
          <w:lang w:val="en-US" w:eastAsia="zh-CN"/>
        </w:rPr>
        <w:fldChar w:fldCharType="separate"/>
      </w:r>
      <w:r>
        <w:t>2.2 Analytical workflow</w:t>
      </w:r>
      <w:r>
        <w:tab/>
      </w:r>
      <w:r>
        <w:fldChar w:fldCharType="begin"/>
      </w:r>
      <w:r>
        <w:instrText xml:space="preserve"> PAGEREF _Toc2046697550 \h </w:instrText>
      </w:r>
      <w:r>
        <w:fldChar w:fldCharType="separate"/>
      </w:r>
      <w:r>
        <w:t>5</w:t>
      </w:r>
      <w:r>
        <w:fldChar w:fldCharType="end"/>
      </w:r>
      <w:r>
        <w:rPr>
          <w:rFonts w:hint="default"/>
          <w:color w:val="000000" w:themeColor="text1"/>
          <w:lang w:val="en-US" w:eastAsia="zh-CN"/>
          <w14:textFill>
            <w14:solidFill>
              <w14:schemeClr w14:val="tx1"/>
            </w14:solidFill>
          </w14:textFill>
        </w:rPr>
        <w:fldChar w:fldCharType="end"/>
      </w:r>
    </w:p>
    <w:p w14:paraId="71202BD5">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_Toc452665204 </w:instrText>
      </w:r>
      <w:r>
        <w:rPr>
          <w:rFonts w:hint="default"/>
          <w:lang w:val="en-US" w:eastAsia="zh-CN"/>
        </w:rPr>
        <w:fldChar w:fldCharType="separate"/>
      </w:r>
      <w:r>
        <w:t>3. Data Foundation and Historical Baseline</w:t>
      </w:r>
      <w:r>
        <w:tab/>
      </w:r>
      <w:r>
        <w:fldChar w:fldCharType="begin"/>
      </w:r>
      <w:r>
        <w:instrText xml:space="preserve"> PAGEREF _Toc452665204 \h </w:instrText>
      </w:r>
      <w:r>
        <w:fldChar w:fldCharType="separate"/>
      </w:r>
      <w:r>
        <w:t>6</w:t>
      </w:r>
      <w:r>
        <w:fldChar w:fldCharType="end"/>
      </w:r>
      <w:r>
        <w:rPr>
          <w:rFonts w:hint="default"/>
          <w:color w:val="000000" w:themeColor="text1"/>
          <w:lang w:val="en-US" w:eastAsia="zh-CN"/>
          <w14:textFill>
            <w14:solidFill>
              <w14:schemeClr w14:val="tx1"/>
            </w14:solidFill>
          </w14:textFill>
        </w:rPr>
        <w:fldChar w:fldCharType="end"/>
      </w:r>
    </w:p>
    <w:p w14:paraId="2C62F666">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_Toc1557005954 </w:instrText>
      </w:r>
      <w:r>
        <w:rPr>
          <w:rFonts w:hint="default"/>
          <w:lang w:val="en-US" w:eastAsia="zh-CN"/>
        </w:rPr>
        <w:fldChar w:fldCharType="separate"/>
      </w:r>
      <w:r>
        <w:t>3.1 Utility-account baseline</w:t>
      </w:r>
      <w:r>
        <w:tab/>
      </w:r>
      <w:r>
        <w:fldChar w:fldCharType="begin"/>
      </w:r>
      <w:r>
        <w:instrText xml:space="preserve"> PAGEREF _Toc1557005954 \h </w:instrText>
      </w:r>
      <w:r>
        <w:fldChar w:fldCharType="separate"/>
      </w:r>
      <w:r>
        <w:t>6</w:t>
      </w:r>
      <w:r>
        <w:fldChar w:fldCharType="end"/>
      </w:r>
      <w:r>
        <w:rPr>
          <w:rFonts w:hint="default"/>
          <w:color w:val="000000" w:themeColor="text1"/>
          <w:lang w:val="en-US" w:eastAsia="zh-CN"/>
          <w14:textFill>
            <w14:solidFill>
              <w14:schemeClr w14:val="tx1"/>
            </w14:solidFill>
          </w14:textFill>
        </w:rPr>
        <w:fldChar w:fldCharType="end"/>
      </w:r>
    </w:p>
    <w:p w14:paraId="42D16CA6">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_Toc1510830183 </w:instrText>
      </w:r>
      <w:r>
        <w:rPr>
          <w:rFonts w:hint="default"/>
          <w:lang w:val="en-US" w:eastAsia="zh-CN"/>
        </w:rPr>
        <w:fldChar w:fldCharType="separate"/>
      </w:r>
      <w:r>
        <w:t>3.2 Monthly load profile and demand exposure</w:t>
      </w:r>
      <w:r>
        <w:tab/>
      </w:r>
      <w:r>
        <w:fldChar w:fldCharType="begin"/>
      </w:r>
      <w:r>
        <w:instrText xml:space="preserve"> PAGEREF _Toc1510830183 \h </w:instrText>
      </w:r>
      <w:r>
        <w:fldChar w:fldCharType="separate"/>
      </w:r>
      <w:r>
        <w:t>6</w:t>
      </w:r>
      <w:r>
        <w:fldChar w:fldCharType="end"/>
      </w:r>
      <w:r>
        <w:rPr>
          <w:rFonts w:hint="default"/>
          <w:color w:val="000000" w:themeColor="text1"/>
          <w:lang w:val="en-US" w:eastAsia="zh-CN"/>
          <w14:textFill>
            <w14:solidFill>
              <w14:schemeClr w14:val="tx1"/>
            </w14:solidFill>
          </w14:textFill>
        </w:rPr>
        <w:fldChar w:fldCharType="end"/>
      </w:r>
    </w:p>
    <w:p w14:paraId="54A2A3A1">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_Toc676243553 </w:instrText>
      </w:r>
      <w:r>
        <w:rPr>
          <w:rFonts w:hint="default"/>
          <w:lang w:val="en-US" w:eastAsia="zh-CN"/>
        </w:rPr>
        <w:fldChar w:fldCharType="separate"/>
      </w:r>
      <w:r>
        <w:t>3.3 Data-quality treatment</w:t>
      </w:r>
      <w:r>
        <w:tab/>
      </w:r>
      <w:r>
        <w:fldChar w:fldCharType="begin"/>
      </w:r>
      <w:r>
        <w:instrText xml:space="preserve"> PAGEREF _Toc676243553 \h </w:instrText>
      </w:r>
      <w:r>
        <w:fldChar w:fldCharType="separate"/>
      </w:r>
      <w:r>
        <w:t>7</w:t>
      </w:r>
      <w:r>
        <w:fldChar w:fldCharType="end"/>
      </w:r>
      <w:r>
        <w:rPr>
          <w:rFonts w:hint="default"/>
          <w:color w:val="000000" w:themeColor="text1"/>
          <w:lang w:val="en-US" w:eastAsia="zh-CN"/>
          <w14:textFill>
            <w14:solidFill>
              <w14:schemeClr w14:val="tx1"/>
            </w14:solidFill>
          </w14:textFill>
        </w:rPr>
        <w:fldChar w:fldCharType="end"/>
      </w:r>
    </w:p>
    <w:p w14:paraId="3F4E8491">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_Toc1141935347 </w:instrText>
      </w:r>
      <w:r>
        <w:rPr>
          <w:rFonts w:hint="default"/>
          <w:lang w:val="en-US" w:eastAsia="zh-CN"/>
        </w:rPr>
        <w:fldChar w:fldCharType="separate"/>
      </w:r>
      <w:r>
        <w:t>4. Solar PV Sizing Method</w:t>
      </w:r>
      <w:r>
        <w:tab/>
      </w:r>
      <w:r>
        <w:fldChar w:fldCharType="begin"/>
      </w:r>
      <w:r>
        <w:instrText xml:space="preserve"> PAGEREF _Toc1141935347 \h </w:instrText>
      </w:r>
      <w:r>
        <w:fldChar w:fldCharType="separate"/>
      </w:r>
      <w:r>
        <w:t>7</w:t>
      </w:r>
      <w:r>
        <w:fldChar w:fldCharType="end"/>
      </w:r>
      <w:r>
        <w:rPr>
          <w:rFonts w:hint="default"/>
          <w:color w:val="000000" w:themeColor="text1"/>
          <w:lang w:val="en-US" w:eastAsia="zh-CN"/>
          <w14:textFill>
            <w14:solidFill>
              <w14:schemeClr w14:val="tx1"/>
            </w14:solidFill>
          </w14:textFill>
        </w:rPr>
        <w:fldChar w:fldCharType="end"/>
      </w:r>
    </w:p>
    <w:p w14:paraId="6475F185">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_Toc446023790 </w:instrText>
      </w:r>
      <w:r>
        <w:rPr>
          <w:rFonts w:hint="default"/>
          <w:lang w:val="en-US" w:eastAsia="zh-CN"/>
        </w:rPr>
        <w:fldChar w:fldCharType="separate"/>
      </w:r>
      <w:r>
        <w:t>4.1 Production scaling</w:t>
      </w:r>
      <w:r>
        <w:tab/>
      </w:r>
      <w:r>
        <w:fldChar w:fldCharType="begin"/>
      </w:r>
      <w:r>
        <w:instrText xml:space="preserve"> PAGEREF _Toc446023790 \h </w:instrText>
      </w:r>
      <w:r>
        <w:fldChar w:fldCharType="separate"/>
      </w:r>
      <w:r>
        <w:t>7</w:t>
      </w:r>
      <w:r>
        <w:fldChar w:fldCharType="end"/>
      </w:r>
      <w:r>
        <w:rPr>
          <w:rFonts w:hint="default"/>
          <w:color w:val="000000" w:themeColor="text1"/>
          <w:lang w:val="en-US" w:eastAsia="zh-CN"/>
          <w14:textFill>
            <w14:solidFill>
              <w14:schemeClr w14:val="tx1"/>
            </w14:solidFill>
          </w14:textFill>
        </w:rPr>
        <w:fldChar w:fldCharType="end"/>
      </w:r>
    </w:p>
    <w:p w14:paraId="1E463B47">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_Toc1603910500 </w:instrText>
      </w:r>
      <w:r>
        <w:rPr>
          <w:rFonts w:hint="default"/>
          <w:lang w:val="en-US" w:eastAsia="zh-CN"/>
        </w:rPr>
        <w:fldChar w:fldCharType="separate"/>
      </w:r>
      <w:r>
        <w:t>4.2 Annual coverage versus temporal self-consumption</w:t>
      </w:r>
      <w:r>
        <w:tab/>
      </w:r>
      <w:r>
        <w:fldChar w:fldCharType="begin"/>
      </w:r>
      <w:r>
        <w:instrText xml:space="preserve"> PAGEREF _Toc1603910500 \h </w:instrText>
      </w:r>
      <w:r>
        <w:fldChar w:fldCharType="separate"/>
      </w:r>
      <w:r>
        <w:t>8</w:t>
      </w:r>
      <w:r>
        <w:fldChar w:fldCharType="end"/>
      </w:r>
      <w:r>
        <w:rPr>
          <w:rFonts w:hint="default"/>
          <w:color w:val="000000" w:themeColor="text1"/>
          <w:lang w:val="en-US" w:eastAsia="zh-CN"/>
          <w14:textFill>
            <w14:solidFill>
              <w14:schemeClr w14:val="tx1"/>
            </w14:solidFill>
          </w14:textFill>
        </w:rPr>
        <w:fldChar w:fldCharType="end"/>
      </w:r>
    </w:p>
    <w:p w14:paraId="6CB9A86A">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_Toc1709036356 </w:instrText>
      </w:r>
      <w:r>
        <w:rPr>
          <w:rFonts w:hint="default"/>
          <w:lang w:val="en-US" w:eastAsia="zh-CN"/>
        </w:rPr>
        <w:fldChar w:fldCharType="separate"/>
      </w:r>
      <w:r>
        <w:t>5. Battery Energy Storage Sizing</w:t>
      </w:r>
      <w:r>
        <w:tab/>
      </w:r>
      <w:r>
        <w:fldChar w:fldCharType="begin"/>
      </w:r>
      <w:r>
        <w:instrText xml:space="preserve"> PAGEREF _Toc1709036356 \h </w:instrText>
      </w:r>
      <w:r>
        <w:fldChar w:fldCharType="separate"/>
      </w:r>
      <w:r>
        <w:t>8</w:t>
      </w:r>
      <w:r>
        <w:fldChar w:fldCharType="end"/>
      </w:r>
      <w:r>
        <w:rPr>
          <w:rFonts w:hint="default"/>
          <w:color w:val="000000" w:themeColor="text1"/>
          <w:lang w:val="en-US" w:eastAsia="zh-CN"/>
          <w14:textFill>
            <w14:solidFill>
              <w14:schemeClr w14:val="tx1"/>
            </w14:solidFill>
          </w14:textFill>
        </w:rPr>
        <w:fldChar w:fldCharType="end"/>
      </w:r>
    </w:p>
    <w:p w14:paraId="1A919310">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_Toc1180256667 </w:instrText>
      </w:r>
      <w:r>
        <w:rPr>
          <w:rFonts w:hint="default"/>
          <w:lang w:val="en-US" w:eastAsia="zh-CN"/>
        </w:rPr>
        <w:fldChar w:fldCharType="separate"/>
      </w:r>
      <w:r>
        <w:t>5.1 Battery sizing basis</w:t>
      </w:r>
      <w:r>
        <w:tab/>
      </w:r>
      <w:r>
        <w:fldChar w:fldCharType="begin"/>
      </w:r>
      <w:r>
        <w:instrText xml:space="preserve"> PAGEREF _Toc1180256667 \h </w:instrText>
      </w:r>
      <w:r>
        <w:fldChar w:fldCharType="separate"/>
      </w:r>
      <w:r>
        <w:t>8</w:t>
      </w:r>
      <w:r>
        <w:fldChar w:fldCharType="end"/>
      </w:r>
      <w:r>
        <w:rPr>
          <w:rFonts w:hint="default"/>
          <w:color w:val="000000" w:themeColor="text1"/>
          <w:lang w:val="en-US" w:eastAsia="zh-CN"/>
          <w14:textFill>
            <w14:solidFill>
              <w14:schemeClr w14:val="tx1"/>
            </w14:solidFill>
          </w14:textFill>
        </w:rPr>
        <w:fldChar w:fldCharType="end"/>
      </w:r>
    </w:p>
    <w:p w14:paraId="6A0851E2">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_Toc267354930 </w:instrText>
      </w:r>
      <w:r>
        <w:rPr>
          <w:rFonts w:hint="default"/>
          <w:lang w:val="en-US" w:eastAsia="zh-CN"/>
        </w:rPr>
        <w:fldChar w:fldCharType="separate"/>
      </w:r>
      <w:r>
        <w:t>5.2 Energy requirement versus power requirement</w:t>
      </w:r>
      <w:r>
        <w:tab/>
      </w:r>
      <w:r>
        <w:fldChar w:fldCharType="begin"/>
      </w:r>
      <w:r>
        <w:instrText xml:space="preserve"> PAGEREF _Toc267354930 \h </w:instrText>
      </w:r>
      <w:r>
        <w:fldChar w:fldCharType="separate"/>
      </w:r>
      <w:r>
        <w:t>8</w:t>
      </w:r>
      <w:r>
        <w:fldChar w:fldCharType="end"/>
      </w:r>
      <w:r>
        <w:rPr>
          <w:rFonts w:hint="default"/>
          <w:color w:val="000000" w:themeColor="text1"/>
          <w:lang w:val="en-US" w:eastAsia="zh-CN"/>
          <w14:textFill>
            <w14:solidFill>
              <w14:schemeClr w14:val="tx1"/>
            </w14:solidFill>
          </w14:textFill>
        </w:rPr>
        <w:fldChar w:fldCharType="end"/>
      </w:r>
    </w:p>
    <w:p w14:paraId="254F3606">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_Toc898518986 </w:instrText>
      </w:r>
      <w:r>
        <w:rPr>
          <w:rFonts w:hint="default"/>
          <w:lang w:val="en-US" w:eastAsia="zh-CN"/>
        </w:rPr>
        <w:fldChar w:fldCharType="separate"/>
      </w:r>
      <w:r>
        <w:t>5.3 Demand-charge modeling</w:t>
      </w:r>
      <w:r>
        <w:tab/>
      </w:r>
      <w:r>
        <w:fldChar w:fldCharType="begin"/>
      </w:r>
      <w:r>
        <w:instrText xml:space="preserve"> PAGEREF _Toc898518986 \h </w:instrText>
      </w:r>
      <w:r>
        <w:fldChar w:fldCharType="separate"/>
      </w:r>
      <w:r>
        <w:t>9</w:t>
      </w:r>
      <w:r>
        <w:fldChar w:fldCharType="end"/>
      </w:r>
      <w:r>
        <w:rPr>
          <w:rFonts w:hint="default"/>
          <w:color w:val="000000" w:themeColor="text1"/>
          <w:lang w:val="en-US" w:eastAsia="zh-CN"/>
          <w14:textFill>
            <w14:solidFill>
              <w14:schemeClr w14:val="tx1"/>
            </w14:solidFill>
          </w14:textFill>
        </w:rPr>
        <w:fldChar w:fldCharType="end"/>
      </w:r>
    </w:p>
    <w:p w14:paraId="6487CBCB">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_Toc303591998 </w:instrText>
      </w:r>
      <w:r>
        <w:rPr>
          <w:rFonts w:hint="default"/>
          <w:lang w:val="en-US" w:eastAsia="zh-CN"/>
        </w:rPr>
        <w:fldChar w:fldCharType="separate"/>
      </w:r>
      <w:r>
        <w:t>6. Configuration Scenarios and Recommendation</w:t>
      </w:r>
      <w:r>
        <w:tab/>
      </w:r>
      <w:r>
        <w:fldChar w:fldCharType="begin"/>
      </w:r>
      <w:r>
        <w:instrText xml:space="preserve"> PAGEREF _Toc303591998 \h </w:instrText>
      </w:r>
      <w:r>
        <w:fldChar w:fldCharType="separate"/>
      </w:r>
      <w:r>
        <w:t>9</w:t>
      </w:r>
      <w:r>
        <w:fldChar w:fldCharType="end"/>
      </w:r>
      <w:r>
        <w:rPr>
          <w:rFonts w:hint="default"/>
          <w:color w:val="000000" w:themeColor="text1"/>
          <w:lang w:val="en-US" w:eastAsia="zh-CN"/>
          <w14:textFill>
            <w14:solidFill>
              <w14:schemeClr w14:val="tx1"/>
            </w14:solidFill>
          </w14:textFill>
        </w:rPr>
        <w:fldChar w:fldCharType="end"/>
      </w:r>
    </w:p>
    <w:p w14:paraId="3CC10951">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_Toc49565114 </w:instrText>
      </w:r>
      <w:r>
        <w:rPr>
          <w:rFonts w:hint="default"/>
          <w:lang w:val="en-US" w:eastAsia="zh-CN"/>
        </w:rPr>
        <w:fldChar w:fldCharType="separate"/>
      </w:r>
      <w:r>
        <w:t>7. Electricity-Cost Savings and Bill Impact</w:t>
      </w:r>
      <w:r>
        <w:tab/>
      </w:r>
      <w:r>
        <w:fldChar w:fldCharType="begin"/>
      </w:r>
      <w:r>
        <w:instrText xml:space="preserve"> PAGEREF _Toc49565114 \h </w:instrText>
      </w:r>
      <w:r>
        <w:fldChar w:fldCharType="separate"/>
      </w:r>
      <w:r>
        <w:t>10</w:t>
      </w:r>
      <w:r>
        <w:fldChar w:fldCharType="end"/>
      </w:r>
      <w:r>
        <w:rPr>
          <w:rFonts w:hint="default"/>
          <w:color w:val="000000" w:themeColor="text1"/>
          <w:lang w:val="en-US" w:eastAsia="zh-CN"/>
          <w14:textFill>
            <w14:solidFill>
              <w14:schemeClr w14:val="tx1"/>
            </w14:solidFill>
          </w14:textFill>
        </w:rPr>
        <w:fldChar w:fldCharType="end"/>
      </w:r>
    </w:p>
    <w:p w14:paraId="71F914AB">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_Toc1964699609 </w:instrText>
      </w:r>
      <w:r>
        <w:rPr>
          <w:rFonts w:hint="default"/>
          <w:lang w:val="en-US" w:eastAsia="zh-CN"/>
        </w:rPr>
        <w:fldChar w:fldCharType="separate"/>
      </w:r>
      <w:r>
        <w:t>7.1 Historical bill structure</w:t>
      </w:r>
      <w:r>
        <w:tab/>
      </w:r>
      <w:r>
        <w:fldChar w:fldCharType="begin"/>
      </w:r>
      <w:r>
        <w:instrText xml:space="preserve"> PAGEREF _Toc1964699609 \h </w:instrText>
      </w:r>
      <w:r>
        <w:fldChar w:fldCharType="separate"/>
      </w:r>
      <w:r>
        <w:t>10</w:t>
      </w:r>
      <w:r>
        <w:fldChar w:fldCharType="end"/>
      </w:r>
      <w:r>
        <w:rPr>
          <w:rFonts w:hint="default"/>
          <w:color w:val="000000" w:themeColor="text1"/>
          <w:lang w:val="en-US" w:eastAsia="zh-CN"/>
          <w14:textFill>
            <w14:solidFill>
              <w14:schemeClr w14:val="tx1"/>
            </w14:solidFill>
          </w14:textFill>
        </w:rPr>
        <w:fldChar w:fldCharType="end"/>
      </w:r>
    </w:p>
    <w:p w14:paraId="20F41603">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_Toc997772191 </w:instrText>
      </w:r>
      <w:r>
        <w:rPr>
          <w:rFonts w:hint="default"/>
          <w:lang w:val="en-US" w:eastAsia="zh-CN"/>
        </w:rPr>
        <w:fldChar w:fldCharType="separate"/>
      </w:r>
      <w:r>
        <w:t>7.2 Modeled savings stack</w:t>
      </w:r>
      <w:r>
        <w:tab/>
      </w:r>
      <w:r>
        <w:fldChar w:fldCharType="begin"/>
      </w:r>
      <w:r>
        <w:instrText xml:space="preserve"> PAGEREF _Toc997772191 \h </w:instrText>
      </w:r>
      <w:r>
        <w:fldChar w:fldCharType="separate"/>
      </w:r>
      <w:r>
        <w:t>10</w:t>
      </w:r>
      <w:r>
        <w:fldChar w:fldCharType="end"/>
      </w:r>
      <w:r>
        <w:rPr>
          <w:rFonts w:hint="default"/>
          <w:color w:val="000000" w:themeColor="text1"/>
          <w:lang w:val="en-US" w:eastAsia="zh-CN"/>
          <w14:textFill>
            <w14:solidFill>
              <w14:schemeClr w14:val="tx1"/>
            </w14:solidFill>
          </w14:textFill>
        </w:rPr>
        <w:fldChar w:fldCharType="end"/>
      </w:r>
    </w:p>
    <w:p w14:paraId="3B822C5D">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_Toc2004898361 </w:instrText>
      </w:r>
      <w:r>
        <w:rPr>
          <w:rFonts w:hint="default"/>
          <w:lang w:val="en-US" w:eastAsia="zh-CN"/>
        </w:rPr>
        <w:fldChar w:fldCharType="separate"/>
      </w:r>
      <w:r>
        <w:t>7.3 Grid-charging logic</w:t>
      </w:r>
      <w:r>
        <w:tab/>
      </w:r>
      <w:r>
        <w:fldChar w:fldCharType="begin"/>
      </w:r>
      <w:r>
        <w:instrText xml:space="preserve"> PAGEREF _Toc2004898361 \h </w:instrText>
      </w:r>
      <w:r>
        <w:fldChar w:fldCharType="separate"/>
      </w:r>
      <w:r>
        <w:t>11</w:t>
      </w:r>
      <w:r>
        <w:fldChar w:fldCharType="end"/>
      </w:r>
      <w:r>
        <w:rPr>
          <w:rFonts w:hint="default"/>
          <w:color w:val="000000" w:themeColor="text1"/>
          <w:lang w:val="en-US" w:eastAsia="zh-CN"/>
          <w14:textFill>
            <w14:solidFill>
              <w14:schemeClr w14:val="tx1"/>
            </w14:solidFill>
          </w14:textFill>
        </w:rPr>
        <w:fldChar w:fldCharType="end"/>
      </w:r>
    </w:p>
    <w:p w14:paraId="630BA405">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_Toc160848250 </w:instrText>
      </w:r>
      <w:r>
        <w:rPr>
          <w:rFonts w:hint="default"/>
          <w:lang w:val="en-US" w:eastAsia="zh-CN"/>
        </w:rPr>
        <w:fldChar w:fldCharType="separate"/>
      </w:r>
      <w:r>
        <w:t>8. Financial Evaluation</w:t>
      </w:r>
      <w:r>
        <w:tab/>
      </w:r>
      <w:r>
        <w:fldChar w:fldCharType="begin"/>
      </w:r>
      <w:r>
        <w:instrText xml:space="preserve"> PAGEREF _Toc160848250 \h </w:instrText>
      </w:r>
      <w:r>
        <w:fldChar w:fldCharType="separate"/>
      </w:r>
      <w:r>
        <w:t>11</w:t>
      </w:r>
      <w:r>
        <w:fldChar w:fldCharType="end"/>
      </w:r>
      <w:r>
        <w:rPr>
          <w:rFonts w:hint="default"/>
          <w:color w:val="000000" w:themeColor="text1"/>
          <w:lang w:val="en-US" w:eastAsia="zh-CN"/>
          <w14:textFill>
            <w14:solidFill>
              <w14:schemeClr w14:val="tx1"/>
            </w14:solidFill>
          </w14:textFill>
        </w:rPr>
        <w:fldChar w:fldCharType="end"/>
      </w:r>
    </w:p>
    <w:p w14:paraId="307D54A6">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_Toc1842109824 </w:instrText>
      </w:r>
      <w:r>
        <w:rPr>
          <w:rFonts w:hint="default"/>
          <w:lang w:val="en-US" w:eastAsia="zh-CN"/>
        </w:rPr>
        <w:fldChar w:fldCharType="separate"/>
      </w:r>
      <w:r>
        <w:t>8.1 Capital cost and modeled tax benefits</w:t>
      </w:r>
      <w:r>
        <w:tab/>
      </w:r>
      <w:r>
        <w:fldChar w:fldCharType="begin"/>
      </w:r>
      <w:r>
        <w:instrText xml:space="preserve"> PAGEREF _Toc1842109824 \h </w:instrText>
      </w:r>
      <w:r>
        <w:fldChar w:fldCharType="separate"/>
      </w:r>
      <w:r>
        <w:t>11</w:t>
      </w:r>
      <w:r>
        <w:fldChar w:fldCharType="end"/>
      </w:r>
      <w:r>
        <w:rPr>
          <w:rFonts w:hint="default"/>
          <w:color w:val="000000" w:themeColor="text1"/>
          <w:lang w:val="en-US" w:eastAsia="zh-CN"/>
          <w14:textFill>
            <w14:solidFill>
              <w14:schemeClr w14:val="tx1"/>
            </w14:solidFill>
          </w14:textFill>
        </w:rPr>
        <w:fldChar w:fldCharType="end"/>
      </w:r>
    </w:p>
    <w:p w14:paraId="0B5FAFE2">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_Toc68073169 </w:instrText>
      </w:r>
      <w:r>
        <w:rPr>
          <w:rFonts w:hint="default"/>
          <w:lang w:val="en-US" w:eastAsia="zh-CN"/>
        </w:rPr>
        <w:fldChar w:fldCharType="separate"/>
      </w:r>
      <w:r>
        <w:t>8.2 Long-term financial performance</w:t>
      </w:r>
      <w:r>
        <w:tab/>
      </w:r>
      <w:r>
        <w:fldChar w:fldCharType="begin"/>
      </w:r>
      <w:r>
        <w:instrText xml:space="preserve"> PAGEREF _Toc68073169 \h </w:instrText>
      </w:r>
      <w:r>
        <w:fldChar w:fldCharType="separate"/>
      </w:r>
      <w:r>
        <w:t>12</w:t>
      </w:r>
      <w:r>
        <w:fldChar w:fldCharType="end"/>
      </w:r>
      <w:r>
        <w:rPr>
          <w:rFonts w:hint="default"/>
          <w:color w:val="000000" w:themeColor="text1"/>
          <w:lang w:val="en-US" w:eastAsia="zh-CN"/>
          <w14:textFill>
            <w14:solidFill>
              <w14:schemeClr w14:val="tx1"/>
            </w14:solidFill>
          </w14:textFill>
        </w:rPr>
        <w:fldChar w:fldCharType="end"/>
      </w:r>
    </w:p>
    <w:p w14:paraId="0DD5B3F4">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_Toc1644451179 </w:instrText>
      </w:r>
      <w:r>
        <w:rPr>
          <w:rFonts w:hint="default"/>
          <w:lang w:val="en-US" w:eastAsia="zh-CN"/>
        </w:rPr>
        <w:fldChar w:fldCharType="separate"/>
      </w:r>
      <w:r>
        <w:t>9. Environmental Benefits</w:t>
      </w:r>
      <w:r>
        <w:tab/>
      </w:r>
      <w:r>
        <w:fldChar w:fldCharType="begin"/>
      </w:r>
      <w:r>
        <w:instrText xml:space="preserve"> PAGEREF _Toc1644451179 \h </w:instrText>
      </w:r>
      <w:r>
        <w:fldChar w:fldCharType="separate"/>
      </w:r>
      <w:r>
        <w:t>12</w:t>
      </w:r>
      <w:r>
        <w:fldChar w:fldCharType="end"/>
      </w:r>
      <w:r>
        <w:rPr>
          <w:rFonts w:hint="default"/>
          <w:color w:val="000000" w:themeColor="text1"/>
          <w:lang w:val="en-US" w:eastAsia="zh-CN"/>
          <w14:textFill>
            <w14:solidFill>
              <w14:schemeClr w14:val="tx1"/>
            </w14:solidFill>
          </w14:textFill>
        </w:rPr>
        <w:fldChar w:fldCharType="end"/>
      </w:r>
    </w:p>
    <w:p w14:paraId="06FCF798">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_Toc176428563 </w:instrText>
      </w:r>
      <w:r>
        <w:rPr>
          <w:rFonts w:hint="default"/>
          <w:lang w:val="en-US" w:eastAsia="zh-CN"/>
        </w:rPr>
        <w:fldChar w:fldCharType="separate"/>
      </w:r>
      <w:r>
        <w:t>10. Business Interpretation and Project Impact</w:t>
      </w:r>
      <w:r>
        <w:tab/>
      </w:r>
      <w:r>
        <w:fldChar w:fldCharType="begin"/>
      </w:r>
      <w:r>
        <w:instrText xml:space="preserve"> PAGEREF _Toc176428563 \h </w:instrText>
      </w:r>
      <w:r>
        <w:fldChar w:fldCharType="separate"/>
      </w:r>
      <w:r>
        <w:t>12</w:t>
      </w:r>
      <w:r>
        <w:fldChar w:fldCharType="end"/>
      </w:r>
      <w:r>
        <w:rPr>
          <w:rFonts w:hint="default"/>
          <w:color w:val="000000" w:themeColor="text1"/>
          <w:lang w:val="en-US" w:eastAsia="zh-CN"/>
          <w14:textFill>
            <w14:solidFill>
              <w14:schemeClr w14:val="tx1"/>
            </w14:solidFill>
          </w14:textFill>
        </w:rPr>
        <w:fldChar w:fldCharType="end"/>
      </w:r>
    </w:p>
    <w:p w14:paraId="7A2202E4">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_Toc1707425481 </w:instrText>
      </w:r>
      <w:r>
        <w:rPr>
          <w:rFonts w:hint="default"/>
          <w:lang w:val="en-US" w:eastAsia="zh-CN"/>
        </w:rPr>
        <w:fldChar w:fldCharType="separate"/>
      </w:r>
      <w:r>
        <w:t>10.1 Why the combined PV + ESS configuration creates value</w:t>
      </w:r>
      <w:r>
        <w:tab/>
      </w:r>
      <w:r>
        <w:fldChar w:fldCharType="begin"/>
      </w:r>
      <w:r>
        <w:instrText xml:space="preserve"> PAGEREF _Toc1707425481 \h </w:instrText>
      </w:r>
      <w:r>
        <w:fldChar w:fldCharType="separate"/>
      </w:r>
      <w:r>
        <w:t>12</w:t>
      </w:r>
      <w:r>
        <w:fldChar w:fldCharType="end"/>
      </w:r>
      <w:r>
        <w:rPr>
          <w:rFonts w:hint="default"/>
          <w:color w:val="000000" w:themeColor="text1"/>
          <w:lang w:val="en-US" w:eastAsia="zh-CN"/>
          <w14:textFill>
            <w14:solidFill>
              <w14:schemeClr w14:val="tx1"/>
            </w14:solidFill>
          </w14:textFill>
        </w:rPr>
        <w:fldChar w:fldCharType="end"/>
      </w:r>
    </w:p>
    <w:p w14:paraId="10448682">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_Toc2023567953 </w:instrText>
      </w:r>
      <w:r>
        <w:rPr>
          <w:rFonts w:hint="default"/>
          <w:lang w:val="en-US" w:eastAsia="zh-CN"/>
        </w:rPr>
        <w:fldChar w:fldCharType="separate"/>
      </w:r>
      <w:r>
        <w:t>10.2 Decision value of minimum-feasible sizing</w:t>
      </w:r>
      <w:r>
        <w:tab/>
      </w:r>
      <w:r>
        <w:fldChar w:fldCharType="begin"/>
      </w:r>
      <w:r>
        <w:instrText xml:space="preserve"> PAGEREF _Toc2023567953 \h </w:instrText>
      </w:r>
      <w:r>
        <w:fldChar w:fldCharType="separate"/>
      </w:r>
      <w:r>
        <w:t>12</w:t>
      </w:r>
      <w:r>
        <w:fldChar w:fldCharType="end"/>
      </w:r>
      <w:r>
        <w:rPr>
          <w:rFonts w:hint="default"/>
          <w:color w:val="000000" w:themeColor="text1"/>
          <w:lang w:val="en-US" w:eastAsia="zh-CN"/>
          <w14:textFill>
            <w14:solidFill>
              <w14:schemeClr w14:val="tx1"/>
            </w14:solidFill>
          </w14:textFill>
        </w:rPr>
        <w:fldChar w:fldCharType="end"/>
      </w:r>
    </w:p>
    <w:p w14:paraId="2DA6B7FB">
      <w:pPr>
        <w:pStyle w:val="38"/>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_Toc408068532 </w:instrText>
      </w:r>
      <w:r>
        <w:rPr>
          <w:rFonts w:hint="default"/>
          <w:lang w:val="en-US" w:eastAsia="zh-CN"/>
        </w:rPr>
        <w:fldChar w:fldCharType="separate"/>
      </w:r>
      <w:r>
        <w:t>10.3 Process and stakeholder implications</w:t>
      </w:r>
      <w:r>
        <w:tab/>
      </w:r>
      <w:r>
        <w:fldChar w:fldCharType="begin"/>
      </w:r>
      <w:r>
        <w:instrText xml:space="preserve"> PAGEREF _Toc408068532 \h </w:instrText>
      </w:r>
      <w:r>
        <w:fldChar w:fldCharType="separate"/>
      </w:r>
      <w:r>
        <w:t>12</w:t>
      </w:r>
      <w:r>
        <w:fldChar w:fldCharType="end"/>
      </w:r>
      <w:r>
        <w:rPr>
          <w:rFonts w:hint="default"/>
          <w:color w:val="000000" w:themeColor="text1"/>
          <w:lang w:val="en-US" w:eastAsia="zh-CN"/>
          <w14:textFill>
            <w14:solidFill>
              <w14:schemeClr w14:val="tx1"/>
            </w14:solidFill>
          </w14:textFill>
        </w:rPr>
        <w:fldChar w:fldCharType="end"/>
      </w:r>
    </w:p>
    <w:p w14:paraId="1971BAF3">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_Toc1492532453 </w:instrText>
      </w:r>
      <w:r>
        <w:rPr>
          <w:rFonts w:hint="default"/>
          <w:lang w:val="en-US" w:eastAsia="zh-CN"/>
        </w:rPr>
        <w:fldChar w:fldCharType="separate"/>
      </w:r>
      <w:r>
        <w:t>11. Project Execution and Individual Contribution</w:t>
      </w:r>
      <w:r>
        <w:tab/>
      </w:r>
      <w:r>
        <w:fldChar w:fldCharType="begin"/>
      </w:r>
      <w:r>
        <w:instrText xml:space="preserve"> PAGEREF _Toc1492532453 \h </w:instrText>
      </w:r>
      <w:r>
        <w:fldChar w:fldCharType="separate"/>
      </w:r>
      <w:r>
        <w:t>13</w:t>
      </w:r>
      <w:r>
        <w:fldChar w:fldCharType="end"/>
      </w:r>
      <w:r>
        <w:rPr>
          <w:rFonts w:hint="default"/>
          <w:color w:val="000000" w:themeColor="text1"/>
          <w:lang w:val="en-US" w:eastAsia="zh-CN"/>
          <w14:textFill>
            <w14:solidFill>
              <w14:schemeClr w14:val="tx1"/>
            </w14:solidFill>
          </w14:textFill>
        </w:rPr>
        <w:fldChar w:fldCharType="end"/>
      </w:r>
    </w:p>
    <w:p w14:paraId="46D37344">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_Toc236456964 </w:instrText>
      </w:r>
      <w:r>
        <w:rPr>
          <w:rFonts w:hint="default"/>
          <w:lang w:val="en-US" w:eastAsia="zh-CN"/>
        </w:rPr>
        <w:fldChar w:fldCharType="separate"/>
      </w:r>
      <w:r>
        <w:t>12. Limitations and Verification Requirements</w:t>
      </w:r>
      <w:r>
        <w:tab/>
      </w:r>
      <w:r>
        <w:fldChar w:fldCharType="begin"/>
      </w:r>
      <w:r>
        <w:instrText xml:space="preserve"> PAGEREF _Toc236456964 \h </w:instrText>
      </w:r>
      <w:r>
        <w:fldChar w:fldCharType="separate"/>
      </w:r>
      <w:r>
        <w:t>13</w:t>
      </w:r>
      <w:r>
        <w:fldChar w:fldCharType="end"/>
      </w:r>
      <w:r>
        <w:rPr>
          <w:rFonts w:hint="default"/>
          <w:color w:val="000000" w:themeColor="text1"/>
          <w:lang w:val="en-US" w:eastAsia="zh-CN"/>
          <w14:textFill>
            <w14:solidFill>
              <w14:schemeClr w14:val="tx1"/>
            </w14:solidFill>
          </w14:textFill>
        </w:rPr>
        <w:fldChar w:fldCharType="end"/>
      </w:r>
    </w:p>
    <w:p w14:paraId="71EFC1C6">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_Toc1287446998 </w:instrText>
      </w:r>
      <w:r>
        <w:rPr>
          <w:rFonts w:hint="default"/>
          <w:lang w:val="en-US" w:eastAsia="zh-CN"/>
        </w:rPr>
        <w:fldChar w:fldCharType="separate"/>
      </w:r>
      <w:r>
        <w:t>13. Conclusion</w:t>
      </w:r>
      <w:r>
        <w:tab/>
      </w:r>
      <w:r>
        <w:fldChar w:fldCharType="begin"/>
      </w:r>
      <w:r>
        <w:instrText xml:space="preserve"> PAGEREF _Toc1287446998 \h </w:instrText>
      </w:r>
      <w:r>
        <w:fldChar w:fldCharType="separate"/>
      </w:r>
      <w:r>
        <w:t>13</w:t>
      </w:r>
      <w:r>
        <w:fldChar w:fldCharType="end"/>
      </w:r>
      <w:r>
        <w:rPr>
          <w:rFonts w:hint="default"/>
          <w:color w:val="000000" w:themeColor="text1"/>
          <w:lang w:val="en-US" w:eastAsia="zh-CN"/>
          <w14:textFill>
            <w14:solidFill>
              <w14:schemeClr w14:val="tx1"/>
            </w14:solidFill>
          </w14:textFill>
        </w:rPr>
        <w:fldChar w:fldCharType="end"/>
      </w:r>
    </w:p>
    <w:p w14:paraId="2FA32D6B">
      <w:pPr>
        <w:pStyle w:val="37"/>
        <w:tabs>
          <w:tab w:val="right" w:leader="dot" w:pos="9792"/>
        </w:tabs>
      </w:pPr>
      <w:r>
        <w:rPr>
          <w:rFonts w:hint="default"/>
          <w:color w:val="000000" w:themeColor="text1"/>
          <w:lang w:val="en-US" w:eastAsia="zh-CN"/>
          <w14:textFill>
            <w14:solidFill>
              <w14:schemeClr w14:val="tx1"/>
            </w14:solidFill>
          </w14:textFill>
        </w:rPr>
        <w:fldChar w:fldCharType="begin"/>
      </w:r>
      <w:r>
        <w:rPr>
          <w:rFonts w:hint="default"/>
          <w:lang w:val="en-US" w:eastAsia="zh-CN"/>
        </w:rPr>
        <w:instrText xml:space="preserve"> HYPERLINK \l _Toc76468214 </w:instrText>
      </w:r>
      <w:r>
        <w:rPr>
          <w:rFonts w:hint="default"/>
          <w:lang w:val="en-US" w:eastAsia="zh-CN"/>
        </w:rPr>
        <w:fldChar w:fldCharType="separate"/>
      </w:r>
      <w:r>
        <w:t>References and Source Notes</w:t>
      </w:r>
      <w:r>
        <w:tab/>
      </w:r>
      <w:r>
        <w:fldChar w:fldCharType="begin"/>
      </w:r>
      <w:r>
        <w:instrText xml:space="preserve"> PAGEREF _Toc76468214 \h </w:instrText>
      </w:r>
      <w:r>
        <w:fldChar w:fldCharType="separate"/>
      </w:r>
      <w:r>
        <w:t>14</w:t>
      </w:r>
      <w:r>
        <w:fldChar w:fldCharType="end"/>
      </w:r>
      <w:r>
        <w:rPr>
          <w:rFonts w:hint="default"/>
          <w:color w:val="000000" w:themeColor="text1"/>
          <w:lang w:val="en-US" w:eastAsia="zh-CN"/>
          <w14:textFill>
            <w14:solidFill>
              <w14:schemeClr w14:val="tx1"/>
            </w14:solidFill>
          </w14:textFill>
        </w:rPr>
        <w:fldChar w:fldCharType="end"/>
      </w:r>
    </w:p>
    <w:p w14:paraId="2353DD45">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fldChar w:fldCharType="end"/>
      </w:r>
    </w:p>
    <w:p w14:paraId="68FF8EE0">
      <w:pPr>
        <w:rPr>
          <w:rFonts w:hint="default"/>
          <w:color w:val="000000" w:themeColor="text1"/>
          <w:lang w:val="en-US" w:eastAsia="zh-CN"/>
          <w14:textFill>
            <w14:solidFill>
              <w14:schemeClr w14:val="tx1"/>
            </w14:solidFill>
          </w14:textFill>
        </w:rPr>
        <w:sectPr>
          <w:pgSz w:w="12240" w:h="15840"/>
          <w:pgMar w:top="1080" w:right="1224" w:bottom="1008" w:left="1224" w:header="720" w:footer="720" w:gutter="0"/>
          <w:cols w:space="720" w:num="1"/>
          <w:docGrid w:linePitch="360" w:charSpace="0"/>
        </w:sectPr>
      </w:pPr>
    </w:p>
    <w:p w14:paraId="17BA3D81">
      <w:pPr>
        <w:pStyle w:val="2"/>
        <w:rPr>
          <w:color w:val="000000" w:themeColor="text1"/>
          <w14:textFill>
            <w14:solidFill>
              <w14:schemeClr w14:val="tx1"/>
            </w14:solidFill>
          </w14:textFill>
        </w:rPr>
      </w:pPr>
      <w:bookmarkStart w:id="2" w:name="_Toc1150989828"/>
      <w:r>
        <w:rPr>
          <w:color w:val="000000" w:themeColor="text1"/>
          <w14:textFill>
            <w14:solidFill>
              <w14:schemeClr w14:val="tx1"/>
            </w14:solidFill>
          </w14:textFill>
        </w:rPr>
        <w:t>1. Project Context and Decision Problem</w:t>
      </w:r>
      <w:bookmarkEnd w:id="2"/>
    </w:p>
    <w:p w14:paraId="01A592DD">
      <w:pPr>
        <w:pStyle w:val="3"/>
        <w:rPr>
          <w:color w:val="000000" w:themeColor="text1"/>
          <w14:textFill>
            <w14:solidFill>
              <w14:schemeClr w14:val="tx1"/>
            </w14:solidFill>
          </w14:textFill>
        </w:rPr>
      </w:pPr>
      <w:bookmarkStart w:id="3" w:name="_Toc153347020"/>
      <w:r>
        <w:rPr>
          <w:color w:val="000000" w:themeColor="text1"/>
          <w14:textFill>
            <w14:solidFill>
              <w14:schemeClr w14:val="tx1"/>
            </w14:solidFill>
          </w14:textFill>
        </w:rPr>
        <w:t>1.1 Commercial setting</w:t>
      </w:r>
      <w:bookmarkEnd w:id="3"/>
    </w:p>
    <w:p w14:paraId="09EEC3B7">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Commercial solar-plus-storage</w:t>
      </w:r>
      <w:r>
        <w:rPr>
          <w:color w:val="000000" w:themeColor="text1"/>
          <w14:textFill>
            <w14:solidFill>
              <w14:schemeClr w14:val="tx1"/>
            </w14:solidFill>
          </w14:textFill>
        </w:rPr>
        <w:t xml:space="preserve"> decisions differ from simple annual-energy comparisons because customer value is determined by the interaction among load timing, PV production timing, TOU energy prices, demand charges, storage duration, power capability, export compensation, capital cost, and incentives. Research and professional practice on behind-the-meter solar-plus-storage similarly treat utility tariff structure, building load, technology cost, and policy as major economic drivers. NREL's commercial solar-plus-storage work emphasizes that </w:t>
      </w:r>
      <w:r>
        <w:rPr>
          <w:rFonts w:hint="default" w:ascii="Times New Roman Bold" w:hAnsi="Times New Roman Bold" w:cs="Times New Roman Bold"/>
          <w:b/>
          <w:bCs/>
          <w:color w:val="000000" w:themeColor="text1"/>
          <w14:textFill>
            <w14:solidFill>
              <w14:schemeClr w14:val="tx1"/>
            </w14:solidFill>
          </w14:textFill>
        </w:rPr>
        <w:t xml:space="preserve">storage </w:t>
      </w:r>
      <w:r>
        <w:rPr>
          <w:color w:val="000000" w:themeColor="text1"/>
          <w14:textFill>
            <w14:solidFill>
              <w14:schemeClr w14:val="tx1"/>
            </w14:solidFill>
          </w14:textFill>
        </w:rPr>
        <w:t xml:space="preserve">can create value through </w:t>
      </w:r>
      <w:r>
        <w:rPr>
          <w:rFonts w:hint="default" w:ascii="Times New Roman Bold" w:hAnsi="Times New Roman Bold" w:cs="Times New Roman Bold"/>
          <w:b/>
          <w:bCs/>
          <w:color w:val="000000" w:themeColor="text1"/>
          <w14:textFill>
            <w14:solidFill>
              <w14:schemeClr w14:val="tx1"/>
            </w14:solidFill>
          </w14:textFill>
        </w:rPr>
        <w:t>peak-demand reduction</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time shifting</w:t>
      </w:r>
      <w:r>
        <w:rPr>
          <w:color w:val="000000" w:themeColor="text1"/>
          <w14:textFill>
            <w14:solidFill>
              <w14:schemeClr w14:val="tx1"/>
            </w14:solidFill>
          </w14:textFill>
        </w:rPr>
        <w:t xml:space="preserve">, while </w:t>
      </w:r>
      <w:r>
        <w:rPr>
          <w:rFonts w:hint="default" w:ascii="Times New Roman Bold" w:hAnsi="Times New Roman Bold" w:cs="Times New Roman Bold"/>
          <w:b/>
          <w:bCs/>
          <w:color w:val="000000" w:themeColor="text1"/>
          <w14:textFill>
            <w14:solidFill>
              <w14:schemeClr w14:val="tx1"/>
            </w14:solidFill>
          </w14:textFill>
        </w:rPr>
        <w:t xml:space="preserve">PV </w:t>
      </w:r>
      <w:r>
        <w:rPr>
          <w:color w:val="000000" w:themeColor="text1"/>
          <w14:textFill>
            <w14:solidFill>
              <w14:schemeClr w14:val="tx1"/>
            </w14:solidFill>
          </w14:textFill>
        </w:rPr>
        <w:t xml:space="preserve">contributes substantial </w:t>
      </w:r>
      <w:r>
        <w:rPr>
          <w:rFonts w:hint="default" w:ascii="Times New Roman Bold" w:hAnsi="Times New Roman Bold" w:cs="Times New Roman Bold"/>
          <w:b/>
          <w:bCs/>
          <w:color w:val="000000" w:themeColor="text1"/>
          <w14:textFill>
            <w14:solidFill>
              <w14:schemeClr w14:val="tx1"/>
            </w14:solidFill>
          </w14:textFill>
        </w:rPr>
        <w:t>energy-charge savings</w:t>
      </w:r>
      <w:r>
        <w:rPr>
          <w:color w:val="000000" w:themeColor="text1"/>
          <w14:textFill>
            <w14:solidFill>
              <w14:schemeClr w14:val="tx1"/>
            </w14:solidFill>
          </w14:textFill>
        </w:rPr>
        <w:t>.</w:t>
      </w:r>
    </w:p>
    <w:p w14:paraId="5901EEC7">
      <w:pPr>
        <w:rPr>
          <w:rFonts w:hint="default" w:ascii="Times New Roman Bold" w:hAnsi="Times New Roman Bold" w:cs="Times New Roman Bold"/>
          <w:b/>
          <w:bCs/>
          <w:color w:val="000000" w:themeColor="text1"/>
          <w14:textFill>
            <w14:solidFill>
              <w14:schemeClr w14:val="tx1"/>
            </w14:solidFill>
          </w14:textFill>
        </w:rPr>
      </w:pPr>
      <w:r>
        <w:rPr>
          <w:color w:val="000000" w:themeColor="text1"/>
          <w14:textFill>
            <w14:solidFill>
              <w14:schemeClr w14:val="tx1"/>
            </w14:solidFill>
          </w14:textFill>
        </w:rPr>
        <w:t xml:space="preserve">For this </w:t>
      </w:r>
      <w:r>
        <w:rPr>
          <w:rFonts w:hint="default" w:ascii="Times New Roman Bold" w:hAnsi="Times New Roman Bold" w:cs="Times New Roman Bold"/>
          <w:b/>
          <w:bCs/>
          <w:color w:val="000000" w:themeColor="text1"/>
          <w14:textFill>
            <w14:solidFill>
              <w14:schemeClr w14:val="tx1"/>
            </w14:solidFill>
          </w14:textFill>
        </w:rPr>
        <w:t>Barstow case</w:t>
      </w:r>
      <w:r>
        <w:rPr>
          <w:color w:val="000000" w:themeColor="text1"/>
          <w14:textFill>
            <w14:solidFill>
              <w14:schemeClr w14:val="tx1"/>
            </w14:solidFill>
          </w14:textFill>
        </w:rPr>
        <w:t xml:space="preserve">, the practical business question was therefore not merely how many solar panels would match annual consumption. The project required a sequence of linked decisions: </w:t>
      </w:r>
      <w:r>
        <w:rPr>
          <w:rFonts w:hint="default" w:ascii="Times New Roman Bold" w:hAnsi="Times New Roman Bold" w:cs="Times New Roman Bold"/>
          <w:b/>
          <w:bCs/>
          <w:color w:val="000000" w:themeColor="text1"/>
          <w14:textFill>
            <w14:solidFill>
              <w14:schemeClr w14:val="tx1"/>
            </w14:solidFill>
          </w14:textFill>
        </w:rPr>
        <w:t>establish a defensible historical baseline</w:t>
      </w:r>
      <w:r>
        <w:rPr>
          <w:rFonts w:hint="default" w:ascii="Times New Roman" w:hAnsi="Times New Roman" w:cs="Times New Roman"/>
          <w:b w:val="0"/>
          <w:bCs w:val="0"/>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identify the minimum PV capacity</w:t>
      </w:r>
      <w:r>
        <w:rPr>
          <w:rFonts w:hint="default" w:ascii="Times New Roman" w:hAnsi="Times New Roman" w:cs="Times New Roman"/>
          <w:b w:val="0"/>
          <w:bCs w:val="0"/>
          <w:color w:val="000000" w:themeColor="text1"/>
          <w14:textFill>
            <w14:solidFill>
              <w14:schemeClr w14:val="tx1"/>
            </w14:solidFill>
          </w14:textFill>
        </w:rPr>
        <w:t xml:space="preserve"> meeting the annual-generation constraint; </w:t>
      </w:r>
      <w:r>
        <w:rPr>
          <w:rFonts w:hint="default" w:ascii="Times New Roman Bold" w:hAnsi="Times New Roman Bold" w:cs="Times New Roman Bold"/>
          <w:b/>
          <w:bCs/>
          <w:color w:val="000000" w:themeColor="text1"/>
          <w14:textFill>
            <w14:solidFill>
              <w14:schemeClr w14:val="tx1"/>
            </w14:solidFill>
          </w14:textFill>
        </w:rPr>
        <w:t xml:space="preserve">determine whether storage sizing </w:t>
      </w:r>
      <w:r>
        <w:rPr>
          <w:rFonts w:hint="default" w:ascii="Times New Roman" w:hAnsi="Times New Roman" w:cs="Times New Roman"/>
          <w:b w:val="0"/>
          <w:bCs w:val="0"/>
          <w:color w:val="000000" w:themeColor="text1"/>
          <w14:textFill>
            <w14:solidFill>
              <w14:schemeClr w14:val="tx1"/>
            </w14:solidFill>
          </w14:textFill>
        </w:rPr>
        <w:t>is driven by peak-window energy or power;</w:t>
      </w:r>
      <w:r>
        <w:rPr>
          <w:rFonts w:hint="default" w:ascii="Times New Roman Bold" w:hAnsi="Times New Roman Bold" w:cs="Times New Roman Bold"/>
          <w:b/>
          <w:bCs/>
          <w:color w:val="000000" w:themeColor="text1"/>
          <w14:textFill>
            <w14:solidFill>
              <w14:schemeClr w14:val="tx1"/>
            </w14:solidFill>
          </w14:textFill>
        </w:rPr>
        <w:t xml:space="preserve"> quantify demand-charge and TOU value streams; compare alternative configurations; </w:t>
      </w:r>
      <w:r>
        <w:rPr>
          <w:rFonts w:hint="default" w:ascii="Times New Roman" w:hAnsi="Times New Roman" w:cs="Times New Roman"/>
          <w:b w:val="0"/>
          <w:bCs w:val="0"/>
          <w:color w:val="000000" w:themeColor="text1"/>
          <w14:textFill>
            <w14:solidFill>
              <w14:schemeClr w14:val="tx1"/>
            </w14:solidFill>
          </w14:textFill>
        </w:rPr>
        <w:t xml:space="preserve">and </w:t>
      </w:r>
      <w:r>
        <w:rPr>
          <w:rFonts w:hint="default" w:ascii="Times New Roman Bold" w:hAnsi="Times New Roman Bold" w:cs="Times New Roman Bold"/>
          <w:b/>
          <w:bCs/>
          <w:color w:val="000000" w:themeColor="text1"/>
          <w14:textFill>
            <w14:solidFill>
              <w14:schemeClr w14:val="tx1"/>
            </w14:solidFill>
          </w14:textFill>
        </w:rPr>
        <w:t>translate the technical result into a client-facing financial proposal.</w:t>
      </w:r>
    </w:p>
    <w:p w14:paraId="1ACA1EC3">
      <w:pPr>
        <w:pStyle w:val="3"/>
        <w:rPr>
          <w:color w:val="000000" w:themeColor="text1"/>
          <w14:textFill>
            <w14:solidFill>
              <w14:schemeClr w14:val="tx1"/>
            </w14:solidFill>
          </w14:textFill>
        </w:rPr>
      </w:pPr>
      <w:bookmarkStart w:id="4" w:name="_Toc322988740"/>
      <w:r>
        <w:rPr>
          <w:color w:val="000000" w:themeColor="text1"/>
          <w14:textFill>
            <w14:solidFill>
              <w14:schemeClr w14:val="tx1"/>
            </w14:solidFill>
          </w14:textFill>
        </w:rPr>
        <w:t>1.2 Project objectives</w:t>
      </w:r>
      <w:bookmarkEnd w:id="4"/>
    </w:p>
    <w:p w14:paraId="11E01E98">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Establish </w:t>
      </w:r>
      <w:r>
        <w:rPr>
          <w:rFonts w:hint="default" w:ascii="Times New Roman Bold" w:hAnsi="Times New Roman Bold" w:cs="Times New Roman Bold"/>
          <w:b/>
          <w:bCs/>
          <w:color w:val="000000" w:themeColor="text1"/>
          <w14:textFill>
            <w14:solidFill>
              <w14:schemeClr w14:val="tx1"/>
            </w14:solidFill>
          </w14:textFill>
        </w:rPr>
        <w:t>annual electricity consumption</w:t>
      </w:r>
      <w:r>
        <w:rPr>
          <w:color w:val="000000" w:themeColor="text1"/>
          <w14:textFill>
            <w14:solidFill>
              <w14:schemeClr w14:val="tx1"/>
            </w14:solidFill>
          </w14:textFill>
        </w:rPr>
        <w:t xml:space="preserve"> from two analyzed utility accounts.</w:t>
      </w:r>
    </w:p>
    <w:p w14:paraId="5D7858DD">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Characterize </w:t>
      </w:r>
      <w:r>
        <w:rPr>
          <w:rFonts w:hint="default" w:ascii="Times New Roman Bold" w:hAnsi="Times New Roman Bold" w:cs="Times New Roman Bold"/>
          <w:b/>
          <w:bCs/>
          <w:color w:val="000000" w:themeColor="text1"/>
          <w14:textFill>
            <w14:solidFill>
              <w14:schemeClr w14:val="tx1"/>
            </w14:solidFill>
          </w14:textFill>
        </w:rPr>
        <w:t>monthly load</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TOU energy use</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demand-charge</w:t>
      </w:r>
      <w:r>
        <w:rPr>
          <w:color w:val="000000" w:themeColor="text1"/>
          <w14:textFill>
            <w14:solidFill>
              <w14:schemeClr w14:val="tx1"/>
            </w14:solidFill>
          </w14:textFill>
        </w:rPr>
        <w:t xml:space="preserve"> exposure.</w:t>
      </w:r>
    </w:p>
    <w:p w14:paraId="1BCA3E32">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Size a </w:t>
      </w:r>
      <w:r>
        <w:rPr>
          <w:rFonts w:hint="default" w:ascii="Times New Roman Bold" w:hAnsi="Times New Roman Bold" w:cs="Times New Roman Bold"/>
          <w:b/>
          <w:bCs/>
          <w:color w:val="000000" w:themeColor="text1"/>
          <w14:textFill>
            <w14:solidFill>
              <w14:schemeClr w14:val="tx1"/>
            </w14:solidFill>
          </w14:textFill>
        </w:rPr>
        <w:t>PV system</w:t>
      </w:r>
      <w:r>
        <w:rPr>
          <w:color w:val="000000" w:themeColor="text1"/>
          <w14:textFill>
            <w14:solidFill>
              <w14:schemeClr w14:val="tx1"/>
            </w14:solidFill>
          </w14:textFill>
        </w:rPr>
        <w:t xml:space="preserve"> using a 485-W panel basis and a historical modeled production profile.</w:t>
      </w:r>
    </w:p>
    <w:p w14:paraId="0EBE8FED">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Screen </w:t>
      </w:r>
      <w:r>
        <w:rPr>
          <w:rFonts w:hint="default" w:ascii="Times New Roman Bold" w:hAnsi="Times New Roman Bold" w:cs="Times New Roman Bold"/>
          <w:b/>
          <w:bCs/>
          <w:color w:val="000000" w:themeColor="text1"/>
          <w14:textFill>
            <w14:solidFill>
              <w14:schemeClr w14:val="tx1"/>
            </w14:solidFill>
          </w14:textFill>
        </w:rPr>
        <w:t>ESS requirements</w:t>
      </w:r>
      <w:r>
        <w:rPr>
          <w:color w:val="000000" w:themeColor="text1"/>
          <w14:textFill>
            <w14:solidFill>
              <w14:schemeClr w14:val="tx1"/>
            </w14:solidFill>
          </w14:textFill>
        </w:rPr>
        <w:t xml:space="preserve"> using peak-window energy, a fixed 100-kW demand-shave target, usable-energy assumptions, and product-source battery specifications.</w:t>
      </w:r>
    </w:p>
    <w:p w14:paraId="3A2F56A3">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Evaluate </w:t>
      </w:r>
      <w:r>
        <w:rPr>
          <w:rFonts w:hint="default" w:ascii="Times New Roman Bold" w:hAnsi="Times New Roman Bold" w:cs="Times New Roman Bold"/>
          <w:b/>
          <w:bCs/>
          <w:color w:val="000000" w:themeColor="text1"/>
          <w14:textFill>
            <w14:solidFill>
              <w14:schemeClr w14:val="tx1"/>
            </w14:solidFill>
          </w14:textFill>
        </w:rPr>
        <w:t>alternative PV/ESS configurations</w:t>
      </w:r>
      <w:r>
        <w:rPr>
          <w:color w:val="000000" w:themeColor="text1"/>
          <w14:textFill>
            <w14:solidFill>
              <w14:schemeClr w14:val="tx1"/>
            </w14:solidFill>
          </w14:textFill>
        </w:rPr>
        <w:t xml:space="preserve"> and select the </w:t>
      </w:r>
      <w:r>
        <w:rPr>
          <w:rFonts w:hint="default" w:ascii="Times New Roman Bold" w:hAnsi="Times New Roman Bold" w:cs="Times New Roman Bold"/>
          <w:b/>
          <w:bCs/>
          <w:color w:val="000000" w:themeColor="text1"/>
          <w14:textFill>
            <w14:solidFill>
              <w14:schemeClr w14:val="tx1"/>
            </w14:solidFill>
          </w14:textFill>
        </w:rPr>
        <w:t>lowest-cost scenario</w:t>
      </w:r>
      <w:r>
        <w:rPr>
          <w:color w:val="000000" w:themeColor="text1"/>
          <w14:textFill>
            <w14:solidFill>
              <w14:schemeClr w14:val="tx1"/>
            </w14:solidFill>
          </w14:textFill>
        </w:rPr>
        <w:t xml:space="preserve"> satisfying the defined technical constraints.</w:t>
      </w:r>
    </w:p>
    <w:p w14:paraId="3CDEF857">
      <w:pPr>
        <w:pStyle w:val="23"/>
        <w:rPr>
          <w:color w:val="000000" w:themeColor="text1"/>
          <w14:textFill>
            <w14:solidFill>
              <w14:schemeClr w14:val="tx1"/>
            </w14:solidFill>
          </w14:textFill>
        </w:rPr>
      </w:pPr>
      <w:r>
        <w:rPr>
          <w:color w:val="000000" w:themeColor="text1"/>
          <w14:textFill>
            <w14:solidFill>
              <w14:schemeClr w14:val="tx1"/>
            </w14:solidFill>
          </w14:textFill>
        </w:rPr>
        <w:t>Estimate Year-1 electricity-</w:t>
      </w:r>
      <w:r>
        <w:rPr>
          <w:rFonts w:hint="default" w:ascii="Times New Roman Bold" w:hAnsi="Times New Roman Bold" w:cs="Times New Roman Bold"/>
          <w:b/>
          <w:bCs/>
          <w:color w:val="000000" w:themeColor="text1"/>
          <w14:textFill>
            <w14:solidFill>
              <w14:schemeClr w14:val="tx1"/>
            </w14:solidFill>
          </w14:textFill>
        </w:rPr>
        <w:t>cost savings</w:t>
      </w:r>
      <w:r>
        <w:rPr>
          <w:color w:val="000000" w:themeColor="text1"/>
          <w14:textFill>
            <w14:solidFill>
              <w14:schemeClr w14:val="tx1"/>
            </w14:solidFill>
          </w14:textFill>
        </w:rPr>
        <w:t xml:space="preserve"> and long-term </w:t>
      </w:r>
      <w:r>
        <w:rPr>
          <w:rFonts w:hint="default" w:ascii="Times New Roman Bold" w:hAnsi="Times New Roman Bold" w:cs="Times New Roman Bold"/>
          <w:b/>
          <w:bCs/>
          <w:color w:val="000000" w:themeColor="text1"/>
          <w14:textFill>
            <w14:solidFill>
              <w14:schemeClr w14:val="tx1"/>
            </w14:solidFill>
          </w14:textFill>
        </w:rPr>
        <w:t>financial outcomes</w:t>
      </w:r>
      <w:r>
        <w:rPr>
          <w:color w:val="000000" w:themeColor="text1"/>
          <w14:textFill>
            <w14:solidFill>
              <w14:schemeClr w14:val="tx1"/>
            </w14:solidFill>
          </w14:textFill>
        </w:rPr>
        <w:t>.</w:t>
      </w:r>
    </w:p>
    <w:p w14:paraId="443A7432">
      <w:pPr>
        <w:pStyle w:val="23"/>
        <w:rPr>
          <w:color w:val="000000" w:themeColor="text1"/>
          <w14:textFill>
            <w14:solidFill>
              <w14:schemeClr w14:val="tx1"/>
            </w14:solidFill>
          </w14:textFill>
        </w:rPr>
      </w:pPr>
      <w:r>
        <w:rPr>
          <w:color w:val="000000" w:themeColor="text1"/>
          <w14:textFill>
            <w14:solidFill>
              <w14:schemeClr w14:val="tx1"/>
            </w14:solidFill>
          </w14:textFill>
        </w:rPr>
        <w:t xml:space="preserve">Document </w:t>
      </w:r>
      <w:r>
        <w:rPr>
          <w:rFonts w:hint="default" w:ascii="Times New Roman Bold" w:hAnsi="Times New Roman Bold" w:cs="Times New Roman Bold"/>
          <w:b/>
          <w:bCs/>
          <w:color w:val="000000" w:themeColor="text1"/>
          <w14:textFill>
            <w14:solidFill>
              <w14:schemeClr w14:val="tx1"/>
            </w14:solidFill>
          </w14:textFill>
        </w:rPr>
        <w:t>environmental benefits</w:t>
      </w:r>
      <w:r>
        <w:rPr>
          <w:color w:val="000000" w:themeColor="text1"/>
          <w14:textFill>
            <w14:solidFill>
              <w14:schemeClr w14:val="tx1"/>
            </w14:solidFill>
          </w14:textFill>
        </w:rPr>
        <w:t xml:space="preserve"> and the principal limitations requiring engineering or commercial verification.</w:t>
      </w:r>
    </w:p>
    <w:p w14:paraId="32CA9B1B">
      <w:pPr>
        <w:pStyle w:val="2"/>
        <w:rPr>
          <w:color w:val="000000" w:themeColor="text1"/>
          <w14:textFill>
            <w14:solidFill>
              <w14:schemeClr w14:val="tx1"/>
            </w14:solidFill>
          </w14:textFill>
        </w:rPr>
      </w:pPr>
      <w:bookmarkStart w:id="5" w:name="_Toc1780577211"/>
      <w:r>
        <w:rPr>
          <w:color w:val="000000" w:themeColor="text1"/>
          <w14:textFill>
            <w14:solidFill>
              <w14:schemeClr w14:val="tx1"/>
            </w14:solidFill>
          </w14:textFill>
        </w:rPr>
        <w:t>2. Report Design and Analytical Framework</w:t>
      </w:r>
      <w:bookmarkEnd w:id="5"/>
    </w:p>
    <w:p w14:paraId="37D18704">
      <w:pPr>
        <w:pStyle w:val="3"/>
        <w:rPr>
          <w:color w:val="000000" w:themeColor="text1"/>
          <w14:textFill>
            <w14:solidFill>
              <w14:schemeClr w14:val="tx1"/>
            </w14:solidFill>
          </w14:textFill>
        </w:rPr>
      </w:pPr>
      <w:bookmarkStart w:id="6" w:name="_Toc976564332"/>
      <w:r>
        <w:rPr>
          <w:color w:val="000000" w:themeColor="text1"/>
          <w14:textFill>
            <w14:solidFill>
              <w14:schemeClr w14:val="tx1"/>
            </w14:solidFill>
          </w14:textFill>
        </w:rPr>
        <w:t>2.1 Techno-economic decision framework</w:t>
      </w:r>
      <w:bookmarkEnd w:id="6"/>
    </w:p>
    <w:p w14:paraId="34B106BC">
      <w:pPr>
        <w:rPr>
          <w:color w:val="000000" w:themeColor="text1"/>
          <w14:textFill>
            <w14:solidFill>
              <w14:schemeClr w14:val="tx1"/>
            </w14:solidFill>
          </w14:textFill>
        </w:rPr>
      </w:pPr>
      <w:r>
        <w:rPr>
          <w:color w:val="000000" w:themeColor="text1"/>
          <w14:textFill>
            <w14:solidFill>
              <w14:schemeClr w14:val="tx1"/>
            </w14:solidFill>
          </w14:textFill>
        </w:rPr>
        <w:t xml:space="preserve">The project uses a techno-economic decision framework that links </w:t>
      </w:r>
      <w:r>
        <w:rPr>
          <w:rFonts w:hint="default" w:ascii="Times New Roman Bold" w:hAnsi="Times New Roman Bold" w:cs="Times New Roman Bold"/>
          <w:b/>
          <w:bCs/>
          <w:color w:val="000000" w:themeColor="text1"/>
          <w14:textFill>
            <w14:solidFill>
              <w14:schemeClr w14:val="tx1"/>
            </w14:solidFill>
          </w14:textFill>
        </w:rPr>
        <w:t xml:space="preserve">site electricity use, tariff structure, PV and ESS sizing, operating savings, capital cost, </w:t>
      </w:r>
      <w:r>
        <w:rPr>
          <w:rFonts w:hint="default" w:ascii="Times New Roman" w:hAnsi="Times New Roman" w:cs="Times New Roman"/>
          <w:b w:val="0"/>
          <w:bCs w:val="0"/>
          <w:color w:val="000000" w:themeColor="text1"/>
          <w14:textFill>
            <w14:solidFill>
              <w14:schemeClr w14:val="tx1"/>
            </w14:solidFill>
          </w14:textFill>
        </w:rPr>
        <w:t xml:space="preserve">and </w:t>
      </w:r>
      <w:r>
        <w:rPr>
          <w:rFonts w:hint="default" w:ascii="Times New Roman Bold" w:hAnsi="Times New Roman Bold" w:cs="Times New Roman Bold"/>
          <w:b/>
          <w:bCs/>
          <w:color w:val="000000" w:themeColor="text1"/>
          <w14:textFill>
            <w14:solidFill>
              <w14:schemeClr w14:val="tx1"/>
            </w14:solidFill>
          </w14:textFill>
        </w:rPr>
        <w:t>long-term financial performance</w:t>
      </w:r>
      <w:r>
        <w:rPr>
          <w:color w:val="000000" w:themeColor="text1"/>
          <w14:textFill>
            <w14:solidFill>
              <w14:schemeClr w14:val="tx1"/>
            </w14:solidFill>
          </w14:textFill>
        </w:rPr>
        <w:t>. The analysis proceeds from measured billing information to technical configuration and then to commercial outcomes, allowing each sizing decision and value stream to be traced through the model.</w:t>
      </w:r>
    </w:p>
    <w:p w14:paraId="0BB582C0">
      <w:pPr>
        <w:rPr>
          <w:color w:val="000000" w:themeColor="text1"/>
          <w14:textFill>
            <w14:solidFill>
              <w14:schemeClr w14:val="tx1"/>
            </w14:solidFill>
          </w14:textFill>
        </w:rPr>
      </w:pPr>
      <w:r>
        <w:rPr>
          <w:color w:val="000000" w:themeColor="text1"/>
          <w14:textFill>
            <w14:solidFill>
              <w14:schemeClr w14:val="tx1"/>
            </w14:solidFill>
          </w14:textFill>
        </w:rPr>
        <w:t xml:space="preserve">This approach is consistent with professional </w:t>
      </w:r>
      <w:r>
        <w:rPr>
          <w:rFonts w:hint="default" w:ascii="Times New Roman Bold" w:hAnsi="Times New Roman Bold" w:cs="Times New Roman Bold"/>
          <w:b/>
          <w:bCs/>
          <w:color w:val="000000" w:themeColor="text1"/>
          <w14:textFill>
            <w14:solidFill>
              <w14:schemeClr w14:val="tx1"/>
            </w14:solidFill>
          </w14:textFill>
        </w:rPr>
        <w:t>solar-plus-storage analysis</w:t>
      </w:r>
      <w:r>
        <w:rPr>
          <w:color w:val="000000" w:themeColor="text1"/>
          <w14:textFill>
            <w14:solidFill>
              <w14:schemeClr w14:val="tx1"/>
            </w14:solidFill>
          </w14:textFill>
        </w:rPr>
        <w:t xml:space="preserve"> practice. NREL's techno-economic work evaluates technology configuration jointly with utility rates, load profiles, costs, and financial metrics such as NPV and IRR; U.S. Department of Energy case-study materials similarly connect system design with operating savings and owner value. The </w:t>
      </w:r>
      <w:r>
        <w:rPr>
          <w:rFonts w:hint="default" w:ascii="Times New Roman Bold" w:hAnsi="Times New Roman Bold" w:cs="Times New Roman Bold"/>
          <w:b/>
          <w:bCs/>
          <w:color w:val="000000" w:themeColor="text1"/>
          <w14:textFill>
            <w14:solidFill>
              <w14:schemeClr w14:val="tx1"/>
            </w14:solidFill>
          </w14:textFill>
        </w:rPr>
        <w:t>Barstow-specific</w:t>
      </w:r>
      <w:r>
        <w:rPr>
          <w:color w:val="000000" w:themeColor="text1"/>
          <w14:textFill>
            <w14:solidFill>
              <w14:schemeClr w14:val="tx1"/>
            </w14:solidFill>
          </w14:textFill>
        </w:rPr>
        <w:t xml:space="preserve"> quantities and results in this report come from the </w:t>
      </w:r>
      <w:r>
        <w:rPr>
          <w:rFonts w:hint="default" w:ascii="Times New Roman Bold" w:hAnsi="Times New Roman Bold" w:cs="Times New Roman Bold"/>
          <w:b/>
          <w:bCs/>
          <w:color w:val="000000" w:themeColor="text1"/>
          <w14:textFill>
            <w14:solidFill>
              <w14:schemeClr w14:val="tx1"/>
            </w14:solidFill>
          </w14:textFill>
        </w:rPr>
        <w:t>project workbook and proposal</w:t>
      </w:r>
      <w:r>
        <w:rPr>
          <w:color w:val="000000" w:themeColor="text1"/>
          <w14:textFill>
            <w14:solidFill>
              <w14:schemeClr w14:val="tx1"/>
            </w14:solidFill>
          </w14:textFill>
        </w:rPr>
        <w:t>.</w:t>
      </w:r>
    </w:p>
    <w:p w14:paraId="29B6E91B">
      <w:pPr>
        <w:rPr>
          <w:color w:val="000000" w:themeColor="text1"/>
          <w14:textFill>
            <w14:solidFill>
              <w14:schemeClr w14:val="tx1"/>
            </w14:solidFill>
          </w14:textFill>
        </w:rPr>
      </w:pPr>
    </w:p>
    <w:p w14:paraId="493B300E">
      <w:pPr>
        <w:rPr>
          <w:color w:val="000000" w:themeColor="text1"/>
          <w14:textFill>
            <w14:solidFill>
              <w14:schemeClr w14:val="tx1"/>
            </w14:solidFill>
          </w14:textFill>
        </w:rPr>
      </w:pPr>
    </w:p>
    <w:p w14:paraId="4A6B6394">
      <w:pPr>
        <w:pStyle w:val="3"/>
        <w:rPr>
          <w:color w:val="000000" w:themeColor="text1"/>
          <w14:textFill>
            <w14:solidFill>
              <w14:schemeClr w14:val="tx1"/>
            </w14:solidFill>
          </w14:textFill>
        </w:rPr>
      </w:pPr>
      <w:bookmarkStart w:id="7" w:name="_Toc2046697550"/>
      <w:r>
        <w:rPr>
          <w:color w:val="000000" w:themeColor="text1"/>
          <w14:textFill>
            <w14:solidFill>
              <w14:schemeClr w14:val="tx1"/>
            </w14:solidFill>
          </w14:textFill>
        </w:rPr>
        <w:t>2.2 Analytical workflow</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17F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3200FF7B">
            <w:pPr>
              <w:spacing w:before="0"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Stage</w:t>
            </w:r>
          </w:p>
        </w:tc>
        <w:tc>
          <w:tcPr>
            <w:tcW w:w="3264" w:type="dxa"/>
            <w:tcMar>
              <w:top w:w="50" w:type="dxa"/>
              <w:left w:w="50" w:type="dxa"/>
              <w:bottom w:w="50" w:type="dxa"/>
              <w:right w:w="50" w:type="dxa"/>
            </w:tcMar>
            <w:vAlign w:val="center"/>
          </w:tcPr>
          <w:p w14:paraId="4E455272">
            <w:pPr>
              <w:spacing w:before="0"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Analytical task</w:t>
            </w:r>
          </w:p>
        </w:tc>
        <w:tc>
          <w:tcPr>
            <w:tcW w:w="3264" w:type="dxa"/>
            <w:tcMar>
              <w:top w:w="50" w:type="dxa"/>
              <w:left w:w="50" w:type="dxa"/>
              <w:bottom w:w="50" w:type="dxa"/>
              <w:right w:w="50" w:type="dxa"/>
            </w:tcMar>
            <w:vAlign w:val="center"/>
          </w:tcPr>
          <w:p w14:paraId="350A0405">
            <w:pPr>
              <w:spacing w:before="0" w:after="0" w:line="240" w:lineRule="auto"/>
              <w:rPr>
                <w:color w:val="000000" w:themeColor="text1"/>
                <w14:textFill>
                  <w14:solidFill>
                    <w14:schemeClr w14:val="tx1"/>
                  </w14:solidFill>
                </w14:textFill>
              </w:rPr>
            </w:pPr>
            <w:r>
              <w:rPr>
                <w:rFonts w:ascii="Times New Roman" w:hAnsi="Times New Roman"/>
                <w:b/>
                <w:color w:val="000000" w:themeColor="text1"/>
                <w:sz w:val="16"/>
                <w14:textFill>
                  <w14:solidFill>
                    <w14:schemeClr w14:val="tx1"/>
                  </w14:solidFill>
                </w14:textFill>
              </w:rPr>
              <w:t>Decision output</w:t>
            </w:r>
          </w:p>
        </w:tc>
      </w:tr>
      <w:tr w14:paraId="07B3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562E14F4">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1</w:t>
            </w:r>
          </w:p>
        </w:tc>
        <w:tc>
          <w:tcPr>
            <w:tcW w:w="3264" w:type="dxa"/>
            <w:tcMar>
              <w:top w:w="50" w:type="dxa"/>
              <w:left w:w="50" w:type="dxa"/>
              <w:bottom w:w="50" w:type="dxa"/>
              <w:right w:w="50" w:type="dxa"/>
            </w:tcMar>
            <w:vAlign w:val="center"/>
          </w:tcPr>
          <w:p w14:paraId="4A44AC91">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bCs/>
                <w:color w:val="000000" w:themeColor="text1"/>
                <w:sz w:val="16"/>
                <w:szCs w:val="16"/>
                <w14:textFill>
                  <w14:solidFill>
                    <w14:schemeClr w14:val="tx1"/>
                  </w14:solidFill>
                </w14:textFill>
              </w:rPr>
              <w:t>Utility baseline</w:t>
            </w:r>
          </w:p>
        </w:tc>
        <w:tc>
          <w:tcPr>
            <w:tcW w:w="3264" w:type="dxa"/>
            <w:tcMar>
              <w:top w:w="50" w:type="dxa"/>
              <w:left w:w="50" w:type="dxa"/>
              <w:bottom w:w="50" w:type="dxa"/>
              <w:right w:w="50" w:type="dxa"/>
            </w:tcMar>
            <w:vAlign w:val="center"/>
          </w:tcPr>
          <w:p w14:paraId="0985A09C">
            <w:pPr>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color w:val="000000" w:themeColor="text1"/>
                <w:sz w:val="16"/>
                <w:szCs w:val="16"/>
                <w14:textFill>
                  <w14:solidFill>
                    <w14:schemeClr w14:val="tx1"/>
                  </w14:solidFill>
                </w14:textFill>
              </w:rPr>
              <w:t>Two account-level billing histories → 12-period load and bill baseline</w:t>
            </w:r>
          </w:p>
        </w:tc>
      </w:tr>
      <w:tr w14:paraId="01BB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62AD0C5E">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2</w:t>
            </w:r>
          </w:p>
        </w:tc>
        <w:tc>
          <w:tcPr>
            <w:tcW w:w="3264" w:type="dxa"/>
            <w:tcMar>
              <w:top w:w="50" w:type="dxa"/>
              <w:left w:w="50" w:type="dxa"/>
              <w:bottom w:w="50" w:type="dxa"/>
              <w:right w:w="50" w:type="dxa"/>
            </w:tcMar>
            <w:vAlign w:val="center"/>
          </w:tcPr>
          <w:p w14:paraId="72330CBE">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bCs/>
                <w:color w:val="000000" w:themeColor="text1"/>
                <w:sz w:val="16"/>
                <w:szCs w:val="16"/>
                <w14:textFill>
                  <w14:solidFill>
                    <w14:schemeClr w14:val="tx1"/>
                  </w14:solidFill>
                </w14:textFill>
              </w:rPr>
              <w:t>TOU characterization</w:t>
            </w:r>
          </w:p>
        </w:tc>
        <w:tc>
          <w:tcPr>
            <w:tcW w:w="3264" w:type="dxa"/>
            <w:tcMar>
              <w:top w:w="50" w:type="dxa"/>
              <w:left w:w="50" w:type="dxa"/>
              <w:bottom w:w="50" w:type="dxa"/>
              <w:right w:w="50" w:type="dxa"/>
            </w:tcMar>
            <w:vAlign w:val="center"/>
          </w:tcPr>
          <w:p w14:paraId="519BC839">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val="0"/>
                <w:color w:val="000000" w:themeColor="text1"/>
                <w:sz w:val="16"/>
                <w:szCs w:val="16"/>
                <w14:textFill>
                  <w14:solidFill>
                    <w14:schemeClr w14:val="tx1"/>
                  </w14:solidFill>
                </w14:textFill>
              </w:rPr>
              <w:t>Energy-use categories, demand indicators, energy charges, demand charges, residual charges</w:t>
            </w:r>
          </w:p>
        </w:tc>
      </w:tr>
      <w:tr w14:paraId="0AD7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737EE671">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3</w:t>
            </w:r>
          </w:p>
        </w:tc>
        <w:tc>
          <w:tcPr>
            <w:tcW w:w="3264" w:type="dxa"/>
            <w:tcMar>
              <w:top w:w="50" w:type="dxa"/>
              <w:left w:w="50" w:type="dxa"/>
              <w:bottom w:w="50" w:type="dxa"/>
              <w:right w:w="50" w:type="dxa"/>
            </w:tcMar>
            <w:vAlign w:val="center"/>
          </w:tcPr>
          <w:p w14:paraId="052A5CA6">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Bold" w:hAnsi="Times New Roman Bold" w:cs="Times New Roman Bold"/>
                <w:b/>
                <w:bCs/>
                <w:color w:val="000000" w:themeColor="text1"/>
                <w:sz w:val="16"/>
                <w:szCs w:val="16"/>
                <w14:textFill>
                  <w14:solidFill>
                    <w14:schemeClr w14:val="tx1"/>
                  </w14:solidFill>
                </w14:textFill>
              </w:rPr>
              <w:t>PV sizing</w:t>
            </w:r>
          </w:p>
        </w:tc>
        <w:tc>
          <w:tcPr>
            <w:tcW w:w="3264" w:type="dxa"/>
            <w:tcMar>
              <w:top w:w="50" w:type="dxa"/>
              <w:left w:w="50" w:type="dxa"/>
              <w:bottom w:w="50" w:type="dxa"/>
              <w:right w:w="50" w:type="dxa"/>
            </w:tcMar>
            <w:vAlign w:val="center"/>
          </w:tcPr>
          <w:p w14:paraId="56E59730">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val="0"/>
                <w:color w:val="000000" w:themeColor="text1"/>
                <w:sz w:val="16"/>
                <w:szCs w:val="16"/>
                <w14:textFill>
                  <w14:solidFill>
                    <w14:schemeClr w14:val="tx1"/>
                  </w14:solidFill>
                </w14:textFill>
              </w:rPr>
              <w:t>485-W panel basis + historical 485-kW production profile → minimum annual-coverage configuration</w:t>
            </w:r>
          </w:p>
        </w:tc>
      </w:tr>
      <w:tr w14:paraId="06DB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5D2D8377">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4</w:t>
            </w:r>
          </w:p>
        </w:tc>
        <w:tc>
          <w:tcPr>
            <w:tcW w:w="3264" w:type="dxa"/>
            <w:tcMar>
              <w:top w:w="50" w:type="dxa"/>
              <w:left w:w="50" w:type="dxa"/>
              <w:bottom w:w="50" w:type="dxa"/>
              <w:right w:w="50" w:type="dxa"/>
            </w:tcMar>
            <w:vAlign w:val="center"/>
          </w:tcPr>
          <w:p w14:paraId="729F31D9">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bCs/>
                <w:color w:val="000000" w:themeColor="text1"/>
                <w:sz w:val="16"/>
                <w:szCs w:val="16"/>
                <w14:textFill>
                  <w14:solidFill>
                    <w14:schemeClr w14:val="tx1"/>
                  </w14:solidFill>
                </w14:textFill>
              </w:rPr>
              <w:t>ESS sizing</w:t>
            </w:r>
          </w:p>
        </w:tc>
        <w:tc>
          <w:tcPr>
            <w:tcW w:w="3264" w:type="dxa"/>
            <w:tcMar>
              <w:top w:w="50" w:type="dxa"/>
              <w:left w:w="50" w:type="dxa"/>
              <w:bottom w:w="50" w:type="dxa"/>
              <w:right w:w="50" w:type="dxa"/>
            </w:tcMar>
            <w:vAlign w:val="center"/>
          </w:tcPr>
          <w:p w14:paraId="7A3F079E">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val="0"/>
                <w:color w:val="000000" w:themeColor="text1"/>
                <w:sz w:val="16"/>
                <w:szCs w:val="16"/>
                <w14:textFill>
                  <w14:solidFill>
                    <w14:schemeClr w14:val="tx1"/>
                  </w14:solidFill>
                </w14:textFill>
              </w:rPr>
              <w:t>Peak-window energy + fixed 100-kW demand-shave target → units required by energy and power</w:t>
            </w:r>
          </w:p>
        </w:tc>
      </w:tr>
      <w:tr w14:paraId="1590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60D2619D">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5</w:t>
            </w:r>
          </w:p>
        </w:tc>
        <w:tc>
          <w:tcPr>
            <w:tcW w:w="3264" w:type="dxa"/>
            <w:tcMar>
              <w:top w:w="50" w:type="dxa"/>
              <w:left w:w="50" w:type="dxa"/>
              <w:bottom w:w="50" w:type="dxa"/>
              <w:right w:w="50" w:type="dxa"/>
            </w:tcMar>
            <w:vAlign w:val="center"/>
          </w:tcPr>
          <w:p w14:paraId="0E86479F">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bCs/>
                <w:color w:val="000000" w:themeColor="text1"/>
                <w:sz w:val="16"/>
                <w:szCs w:val="16"/>
                <w14:textFill>
                  <w14:solidFill>
                    <w14:schemeClr w14:val="tx1"/>
                  </w14:solidFill>
                </w14:textFill>
              </w:rPr>
              <w:t>Scenario analysis</w:t>
            </w:r>
          </w:p>
        </w:tc>
        <w:tc>
          <w:tcPr>
            <w:tcW w:w="3264" w:type="dxa"/>
            <w:tcMar>
              <w:top w:w="50" w:type="dxa"/>
              <w:left w:w="50" w:type="dxa"/>
              <w:bottom w:w="50" w:type="dxa"/>
              <w:right w:w="50" w:type="dxa"/>
            </w:tcMar>
            <w:vAlign w:val="center"/>
          </w:tcPr>
          <w:p w14:paraId="5ABE208B">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val="0"/>
                <w:color w:val="000000" w:themeColor="text1"/>
                <w:sz w:val="16"/>
                <w:szCs w:val="16"/>
                <w14:textFill>
                  <w14:solidFill>
                    <w14:schemeClr w14:val="tx1"/>
                  </w14:solidFill>
                </w14:textFill>
              </w:rPr>
              <w:t>PV/ESS alternatives compared on constraint compliance, installed cost, and screening savings</w:t>
            </w:r>
          </w:p>
        </w:tc>
      </w:tr>
      <w:tr w14:paraId="6A9B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12D25F01">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6</w:t>
            </w:r>
          </w:p>
        </w:tc>
        <w:tc>
          <w:tcPr>
            <w:tcW w:w="3264" w:type="dxa"/>
            <w:tcMar>
              <w:top w:w="50" w:type="dxa"/>
              <w:left w:w="50" w:type="dxa"/>
              <w:bottom w:w="50" w:type="dxa"/>
              <w:right w:w="50" w:type="dxa"/>
            </w:tcMar>
            <w:vAlign w:val="center"/>
          </w:tcPr>
          <w:p w14:paraId="3482D215">
            <w:pPr>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bCs/>
                <w:color w:val="000000" w:themeColor="text1"/>
                <w:sz w:val="16"/>
                <w:szCs w:val="16"/>
                <w14:textFill>
                  <w14:solidFill>
                    <w14:schemeClr w14:val="tx1"/>
                  </w14:solidFill>
                </w14:textFill>
              </w:rPr>
              <w:t>Electricity-bill analysis</w:t>
            </w:r>
          </w:p>
        </w:tc>
        <w:tc>
          <w:tcPr>
            <w:tcW w:w="3264" w:type="dxa"/>
            <w:tcMar>
              <w:top w:w="50" w:type="dxa"/>
              <w:left w:w="50" w:type="dxa"/>
              <w:bottom w:w="50" w:type="dxa"/>
              <w:right w:w="50" w:type="dxa"/>
            </w:tcMar>
            <w:vAlign w:val="center"/>
          </w:tcPr>
          <w:p w14:paraId="7CCA89D4">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val="0"/>
                <w:color w:val="000000" w:themeColor="text1"/>
                <w:sz w:val="16"/>
                <w:szCs w:val="16"/>
                <w14:textFill>
                  <w14:solidFill>
                    <w14:schemeClr w14:val="tx1"/>
                  </w14:solidFill>
                </w14:textFill>
              </w:rPr>
              <w:t>PV energy + demand + export + grid-arbitrage value streams → modeled new bill</w:t>
            </w:r>
          </w:p>
        </w:tc>
      </w:tr>
      <w:tr w14:paraId="5B3C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264" w:type="dxa"/>
            <w:tcMar>
              <w:top w:w="50" w:type="dxa"/>
              <w:left w:w="50" w:type="dxa"/>
              <w:bottom w:w="50" w:type="dxa"/>
              <w:right w:w="50" w:type="dxa"/>
            </w:tcMar>
            <w:vAlign w:val="center"/>
          </w:tcPr>
          <w:p w14:paraId="172A8BBC">
            <w:pPr>
              <w:spacing w:before="0" w:after="0" w:line="240" w:lineRule="auto"/>
              <w:rPr>
                <w:color w:val="000000" w:themeColor="text1"/>
                <w14:textFill>
                  <w14:solidFill>
                    <w14:schemeClr w14:val="tx1"/>
                  </w14:solidFill>
                </w14:textFill>
              </w:rPr>
            </w:pPr>
            <w:r>
              <w:rPr>
                <w:rFonts w:ascii="Times New Roman" w:hAnsi="Times New Roman"/>
                <w:b w:val="0"/>
                <w:color w:val="000000" w:themeColor="text1"/>
                <w:sz w:val="16"/>
                <w14:textFill>
                  <w14:solidFill>
                    <w14:schemeClr w14:val="tx1"/>
                  </w14:solidFill>
                </w14:textFill>
              </w:rPr>
              <w:t>7</w:t>
            </w:r>
          </w:p>
        </w:tc>
        <w:tc>
          <w:tcPr>
            <w:tcW w:w="3264" w:type="dxa"/>
            <w:tcMar>
              <w:top w:w="50" w:type="dxa"/>
              <w:left w:w="50" w:type="dxa"/>
              <w:bottom w:w="50" w:type="dxa"/>
              <w:right w:w="50" w:type="dxa"/>
            </w:tcMar>
            <w:vAlign w:val="center"/>
          </w:tcPr>
          <w:p w14:paraId="024D289B">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bCs/>
                <w:color w:val="000000" w:themeColor="text1"/>
                <w:sz w:val="16"/>
                <w:szCs w:val="16"/>
                <w14:textFill>
                  <w14:solidFill>
                    <w14:schemeClr w14:val="tx1"/>
                  </w14:solidFill>
                </w14:textFill>
              </w:rPr>
              <w:t>Financial analysis</w:t>
            </w:r>
          </w:p>
        </w:tc>
        <w:tc>
          <w:tcPr>
            <w:tcW w:w="3264" w:type="dxa"/>
            <w:tcMar>
              <w:top w:w="50" w:type="dxa"/>
              <w:left w:w="50" w:type="dxa"/>
              <w:bottom w:w="50" w:type="dxa"/>
              <w:right w:w="50" w:type="dxa"/>
            </w:tcMar>
            <w:vAlign w:val="center"/>
          </w:tcPr>
          <w:p w14:paraId="60F77396">
            <w:pPr>
              <w:spacing w:before="0" w:after="0" w:line="240" w:lineRule="auto"/>
              <w:rPr>
                <w:rFonts w:hint="default" w:ascii="Times New Roman Regular" w:hAnsi="Times New Roman Regular" w:cs="Times New Roman Regular"/>
                <w:color w:val="000000" w:themeColor="text1"/>
                <w:sz w:val="16"/>
                <w:szCs w:val="16"/>
                <w14:textFill>
                  <w14:solidFill>
                    <w14:schemeClr w14:val="tx1"/>
                  </w14:solidFill>
                </w14:textFill>
              </w:rPr>
            </w:pPr>
            <w:r>
              <w:rPr>
                <w:rFonts w:hint="default" w:ascii="Times New Roman Regular" w:hAnsi="Times New Roman Regular" w:cs="Times New Roman Regular"/>
                <w:b w:val="0"/>
                <w:color w:val="000000" w:themeColor="text1"/>
                <w:sz w:val="16"/>
                <w:szCs w:val="16"/>
                <w14:textFill>
                  <w14:solidFill>
                    <w14:schemeClr w14:val="tx1"/>
                  </w14:solidFill>
                </w14:textFill>
              </w:rPr>
              <w:t>Capital cost, modeled tax benefits, cash flows, NPV, IRR, payback, 30-year savings</w:t>
            </w:r>
          </w:p>
        </w:tc>
      </w:tr>
    </w:tbl>
    <w:p w14:paraId="40800053">
      <w:pPr>
        <w:rPr>
          <w:color w:val="000000" w:themeColor="text1"/>
          <w14:textFill>
            <w14:solidFill>
              <w14:schemeClr w14:val="tx1"/>
            </w14:solidFill>
          </w14:textFill>
        </w:rPr>
      </w:pPr>
    </w:p>
    <w:p w14:paraId="543C8717">
      <w:pPr>
        <w:pStyle w:val="2"/>
        <w:rPr>
          <w:color w:val="000000" w:themeColor="text1"/>
          <w14:textFill>
            <w14:solidFill>
              <w14:schemeClr w14:val="tx1"/>
            </w14:solidFill>
          </w14:textFill>
        </w:rPr>
      </w:pPr>
      <w:bookmarkStart w:id="8" w:name="_Toc452665204"/>
      <w:r>
        <w:rPr>
          <w:color w:val="000000" w:themeColor="text1"/>
          <w14:textFill>
            <w14:solidFill>
              <w14:schemeClr w14:val="tx1"/>
            </w14:solidFill>
          </w14:textFill>
        </w:rPr>
        <w:t>3. Data Foundation and Historical Baseline</w:t>
      </w:r>
      <w:bookmarkEnd w:id="8"/>
    </w:p>
    <w:p w14:paraId="4D693D21">
      <w:pPr>
        <w:pStyle w:val="3"/>
        <w:rPr>
          <w:color w:val="000000" w:themeColor="text1"/>
          <w14:textFill>
            <w14:solidFill>
              <w14:schemeClr w14:val="tx1"/>
            </w14:solidFill>
          </w14:textFill>
        </w:rPr>
      </w:pPr>
      <w:bookmarkStart w:id="9" w:name="_Toc1557005954"/>
      <w:r>
        <w:rPr>
          <w:color w:val="000000" w:themeColor="text1"/>
          <w14:textFill>
            <w14:solidFill>
              <w14:schemeClr w14:val="tx1"/>
            </w14:solidFill>
          </w14:textFill>
        </w:rPr>
        <w:t>3.1 Utility-account baseline</w:t>
      </w:r>
      <w:bookmarkEnd w:id="9"/>
    </w:p>
    <w:p w14:paraId="05CA5554">
      <w:pPr>
        <w:rPr>
          <w:color w:val="000000" w:themeColor="text1"/>
          <w14:textFill>
            <w14:solidFill>
              <w14:schemeClr w14:val="tx1"/>
            </w14:solidFill>
          </w14:textFill>
        </w:rPr>
      </w:pPr>
      <w:r>
        <w:rPr>
          <w:color w:val="000000" w:themeColor="text1"/>
          <w14:textFill>
            <w14:solidFill>
              <w14:schemeClr w14:val="tx1"/>
            </w14:solidFill>
          </w14:textFill>
        </w:rPr>
        <w:t xml:space="preserve">The electricity baseline covers </w:t>
      </w:r>
      <w:r>
        <w:rPr>
          <w:rFonts w:hint="default" w:ascii="Times New Roman Bold" w:hAnsi="Times New Roman Bold" w:cs="Times New Roman Bold"/>
          <w:b/>
          <w:bCs/>
          <w:color w:val="000000" w:themeColor="text1"/>
          <w14:textFill>
            <w14:solidFill>
              <w14:schemeClr w14:val="tx1"/>
            </w14:solidFill>
          </w14:textFill>
        </w:rPr>
        <w:t>12 billing cycles</w:t>
      </w:r>
      <w:r>
        <w:rPr>
          <w:color w:val="000000" w:themeColor="text1"/>
          <w14:textFill>
            <w14:solidFill>
              <w14:schemeClr w14:val="tx1"/>
            </w14:solidFill>
          </w14:textFill>
        </w:rPr>
        <w:t xml:space="preserve"> ending from October 2023 through September 2024. Two specifically analyzed utility accounts were combined: </w:t>
      </w:r>
      <w:r>
        <w:rPr>
          <w:rFonts w:hint="default" w:ascii="Times New Roman Bold" w:hAnsi="Times New Roman Bold" w:cs="Times New Roman Bold"/>
          <w:b/>
          <w:bCs/>
          <w:color w:val="000000" w:themeColor="text1"/>
          <w14:textFill>
            <w14:solidFill>
              <w14:schemeClr w14:val="tx1"/>
            </w14:solidFill>
          </w14:textFill>
        </w:rPr>
        <w:t>Meter 1</w:t>
      </w:r>
      <w:r>
        <w:rPr>
          <w:color w:val="000000" w:themeColor="text1"/>
          <w14:textFill>
            <w14:solidFill>
              <w14:schemeClr w14:val="tx1"/>
            </w14:solidFill>
          </w14:textFill>
        </w:rPr>
        <w:t xml:space="preserve"> contributed 117,058 kWh and </w:t>
      </w:r>
      <w:r>
        <w:rPr>
          <w:rFonts w:hint="default" w:ascii="Times New Roman Bold" w:hAnsi="Times New Roman Bold" w:cs="Times New Roman Bold"/>
          <w:b/>
          <w:bCs/>
          <w:color w:val="000000" w:themeColor="text1"/>
          <w14:textFill>
            <w14:solidFill>
              <w14:schemeClr w14:val="tx1"/>
            </w14:solidFill>
          </w14:textFill>
        </w:rPr>
        <w:t xml:space="preserve">Meter 2 </w:t>
      </w:r>
      <w:r>
        <w:rPr>
          <w:color w:val="000000" w:themeColor="text1"/>
          <w14:textFill>
            <w14:solidFill>
              <w14:schemeClr w14:val="tx1"/>
            </w14:solidFill>
          </w14:textFill>
        </w:rPr>
        <w:t xml:space="preserve">contributed 592,443 kWh, producing verified annual electricity consumption of </w:t>
      </w:r>
      <w:r>
        <w:rPr>
          <w:rFonts w:hint="default" w:ascii="Times New Roman Bold" w:hAnsi="Times New Roman Bold" w:cs="Times New Roman Bold"/>
          <w:b/>
          <w:bCs/>
          <w:color w:val="000000" w:themeColor="text1"/>
          <w14:textFill>
            <w14:solidFill>
              <w14:schemeClr w14:val="tx1"/>
            </w14:solidFill>
          </w14:textFill>
        </w:rPr>
        <w:t>709,501 kWh</w:t>
      </w:r>
      <w:r>
        <w:rPr>
          <w:color w:val="000000" w:themeColor="text1"/>
          <w14:textFill>
            <w14:solidFill>
              <w14:schemeClr w14:val="tx1"/>
            </w14:solidFill>
          </w14:textFill>
        </w:rPr>
        <w:t>. This value represents electricity load for the two analyzed accounts; it is not PV generation and should not be generalized to unobserved meters or other site loads.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C30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64" w:type="dxa"/>
            <w:vAlign w:val="center"/>
          </w:tcPr>
          <w:p w14:paraId="231BDC3F">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Account</w:t>
            </w:r>
          </w:p>
        </w:tc>
        <w:tc>
          <w:tcPr>
            <w:tcW w:w="3264" w:type="dxa"/>
            <w:vAlign w:val="center"/>
          </w:tcPr>
          <w:p w14:paraId="6D1D6A02">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Annual load (kWh)</w:t>
            </w:r>
          </w:p>
        </w:tc>
        <w:tc>
          <w:tcPr>
            <w:tcW w:w="3264" w:type="dxa"/>
            <w:vAlign w:val="center"/>
          </w:tcPr>
          <w:p w14:paraId="08544310">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Share of analyzed load</w:t>
            </w:r>
          </w:p>
        </w:tc>
      </w:tr>
      <w:tr w14:paraId="7DE9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64" w:type="dxa"/>
            <w:vAlign w:val="center"/>
          </w:tcPr>
          <w:p w14:paraId="39E012E1">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Meter 1</w:t>
            </w:r>
          </w:p>
        </w:tc>
        <w:tc>
          <w:tcPr>
            <w:tcW w:w="3264" w:type="dxa"/>
            <w:vAlign w:val="center"/>
          </w:tcPr>
          <w:p w14:paraId="4DC97344">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117,058</w:t>
            </w:r>
          </w:p>
        </w:tc>
        <w:tc>
          <w:tcPr>
            <w:tcW w:w="3264" w:type="dxa"/>
            <w:vAlign w:val="center"/>
          </w:tcPr>
          <w:p w14:paraId="7D58DA12">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16.5%</w:t>
            </w:r>
          </w:p>
        </w:tc>
      </w:tr>
      <w:tr w14:paraId="6515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64" w:type="dxa"/>
            <w:vAlign w:val="center"/>
          </w:tcPr>
          <w:p w14:paraId="4F25B158">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Meter 2</w:t>
            </w:r>
          </w:p>
        </w:tc>
        <w:tc>
          <w:tcPr>
            <w:tcW w:w="3264" w:type="dxa"/>
            <w:vAlign w:val="center"/>
          </w:tcPr>
          <w:p w14:paraId="530227C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592,443</w:t>
            </w:r>
          </w:p>
        </w:tc>
        <w:tc>
          <w:tcPr>
            <w:tcW w:w="3264" w:type="dxa"/>
            <w:vAlign w:val="center"/>
          </w:tcPr>
          <w:p w14:paraId="25B9D038">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83.5%</w:t>
            </w:r>
          </w:p>
        </w:tc>
      </w:tr>
      <w:tr w14:paraId="54D5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64" w:type="dxa"/>
            <w:vAlign w:val="center"/>
          </w:tcPr>
          <w:p w14:paraId="082B8C33">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Combined</w:t>
            </w:r>
          </w:p>
        </w:tc>
        <w:tc>
          <w:tcPr>
            <w:tcW w:w="3264" w:type="dxa"/>
            <w:vAlign w:val="center"/>
          </w:tcPr>
          <w:p w14:paraId="3F30A0B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709,501</w:t>
            </w:r>
          </w:p>
        </w:tc>
        <w:tc>
          <w:tcPr>
            <w:tcW w:w="3264" w:type="dxa"/>
            <w:vAlign w:val="center"/>
          </w:tcPr>
          <w:p w14:paraId="343048D1">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100.0%</w:t>
            </w:r>
          </w:p>
        </w:tc>
      </w:tr>
    </w:tbl>
    <w:p w14:paraId="0060A961">
      <w:pPr>
        <w:rPr>
          <w:color w:val="000000" w:themeColor="text1"/>
          <w14:textFill>
            <w14:solidFill>
              <w14:schemeClr w14:val="tx1"/>
            </w14:solidFill>
          </w14:textFill>
        </w:rPr>
      </w:pPr>
    </w:p>
    <w:p w14:paraId="368DF53E">
      <w:pPr>
        <w:pStyle w:val="3"/>
        <w:rPr>
          <w:color w:val="000000" w:themeColor="text1"/>
          <w14:textFill>
            <w14:solidFill>
              <w14:schemeClr w14:val="tx1"/>
            </w14:solidFill>
          </w14:textFill>
        </w:rPr>
      </w:pPr>
      <w:bookmarkStart w:id="10" w:name="_Toc1510830183"/>
      <w:r>
        <w:rPr>
          <w:color w:val="000000" w:themeColor="text1"/>
          <w14:textFill>
            <w14:solidFill>
              <w14:schemeClr w14:val="tx1"/>
            </w14:solidFill>
          </w14:textFill>
        </w:rPr>
        <w:t>3.2 Monthly load profile and demand exposure</w:t>
      </w:r>
      <w:bookmarkEnd w:id="10"/>
    </w:p>
    <w:p w14:paraId="4429FDBF">
      <w:pPr>
        <w:rPr>
          <w:color w:val="000000" w:themeColor="text1"/>
          <w14:textFill>
            <w14:solidFill>
              <w14:schemeClr w14:val="tx1"/>
            </w14:solidFill>
          </w14:textFill>
        </w:rPr>
      </w:pPr>
      <w:r>
        <w:rPr>
          <w:color w:val="000000" w:themeColor="text1"/>
          <w14:textFill>
            <w14:solidFill>
              <w14:schemeClr w14:val="tx1"/>
            </w14:solidFill>
          </w14:textFill>
        </w:rPr>
        <w:t xml:space="preserve">The load profile is </w:t>
      </w:r>
      <w:r>
        <w:rPr>
          <w:rFonts w:hint="default" w:ascii="Times New Roman Bold" w:hAnsi="Times New Roman Bold" w:cs="Times New Roman Bold"/>
          <w:b/>
          <w:bCs/>
          <w:color w:val="000000" w:themeColor="text1"/>
          <w14:textFill>
            <w14:solidFill>
              <w14:schemeClr w14:val="tx1"/>
            </w14:solidFill>
          </w14:textFill>
        </w:rPr>
        <w:t>seasonal</w:t>
      </w:r>
      <w:r>
        <w:rPr>
          <w:color w:val="000000" w:themeColor="text1"/>
          <w14:textFill>
            <w14:solidFill>
              <w14:schemeClr w14:val="tx1"/>
            </w14:solidFill>
          </w14:textFill>
        </w:rPr>
        <w:t xml:space="preserve">. Monthly combined consumption ranges from 40,752 kWh in April 2024 to 84,369 kWh in September 2024, with </w:t>
      </w:r>
      <w:r>
        <w:rPr>
          <w:rFonts w:hint="default" w:ascii="Times New Roman Bold" w:hAnsi="Times New Roman Bold" w:cs="Times New Roman Bold"/>
          <w:b/>
          <w:bCs/>
          <w:color w:val="000000" w:themeColor="text1"/>
          <w14:textFill>
            <w14:solidFill>
              <w14:schemeClr w14:val="tx1"/>
            </w14:solidFill>
          </w14:textFill>
        </w:rPr>
        <w:t>July through September</w:t>
      </w:r>
      <w:r>
        <w:rPr>
          <w:color w:val="000000" w:themeColor="text1"/>
          <w14:textFill>
            <w14:solidFill>
              <w14:schemeClr w14:val="tx1"/>
            </w14:solidFill>
          </w14:textFill>
        </w:rPr>
        <w:t xml:space="preserve"> forming the highest-consumption portion of the observed year. The site max-demand indicator, defined as the maximum of the two account-level monthly maximum demands rather than a coincident sum, reaches 730 kW. This distinction is important because the available bills do not provide timestamped coincident demand across both accounts.</w:t>
      </w:r>
    </w:p>
    <w:p w14:paraId="67E0804D">
      <w:pPr>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956300" cy="2978150"/>
            <wp:effectExtent l="0" t="0" r="1270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56300" cy="2978150"/>
                    </a:xfrm>
                    <a:prstGeom prst="rect">
                      <a:avLst/>
                    </a:prstGeom>
                  </pic:spPr>
                </pic:pic>
              </a:graphicData>
            </a:graphic>
          </wp:inline>
        </w:drawing>
      </w:r>
    </w:p>
    <w:p w14:paraId="4CE4B7D0">
      <w:pPr>
        <w:pStyle w:val="166"/>
        <w:jc w:val="center"/>
        <w:rPr>
          <w:color w:val="000000" w:themeColor="text1"/>
          <w14:textFill>
            <w14:solidFill>
              <w14:schemeClr w14:val="tx1"/>
            </w14:solidFill>
          </w14:textFill>
        </w:rPr>
      </w:pPr>
      <w:r>
        <w:rPr>
          <w:color w:val="000000" w:themeColor="text1"/>
          <w14:textFill>
            <w14:solidFill>
              <w14:schemeClr w14:val="tx1"/>
            </w14:solidFill>
          </w14:textFill>
        </w:rPr>
        <w:t xml:space="preserve">Figure 1. Monthly historical electricity load and modeled production of the recommended 406.43-kW DC PV system. </w:t>
      </w:r>
    </w:p>
    <w:p w14:paraId="261B05FF">
      <w:pPr>
        <w:pStyle w:val="166"/>
        <w:jc w:val="center"/>
        <w:rPr>
          <w:color w:val="000000" w:themeColor="text1"/>
          <w14:textFill>
            <w14:solidFill>
              <w14:schemeClr w14:val="tx1"/>
            </w14:solidFill>
          </w14:textFill>
        </w:rPr>
      </w:pPr>
      <w:r>
        <w:rPr>
          <w:color w:val="000000" w:themeColor="text1"/>
          <w14:textFill>
            <w14:solidFill>
              <w14:schemeClr w14:val="tx1"/>
            </w14:solidFill>
          </w14:textFill>
        </w:rPr>
        <w:t>Source: project workbook.</w:t>
      </w:r>
    </w:p>
    <w:p w14:paraId="164256B2">
      <w:pPr>
        <w:pStyle w:val="3"/>
        <w:rPr>
          <w:color w:val="000000" w:themeColor="text1"/>
          <w14:textFill>
            <w14:solidFill>
              <w14:schemeClr w14:val="tx1"/>
            </w14:solidFill>
          </w14:textFill>
        </w:rPr>
      </w:pPr>
      <w:bookmarkStart w:id="11" w:name="_Toc676243553"/>
      <w:r>
        <w:rPr>
          <w:color w:val="000000" w:themeColor="text1"/>
          <w14:textFill>
            <w14:solidFill>
              <w14:schemeClr w14:val="tx1"/>
            </w14:solidFill>
          </w14:textFill>
        </w:rPr>
        <w:t>3.3 Data-quality treatment</w:t>
      </w:r>
      <w:bookmarkEnd w:id="11"/>
    </w:p>
    <w:p w14:paraId="6789A3C2">
      <w:pPr>
        <w:rPr>
          <w:color w:val="000000" w:themeColor="text1"/>
          <w14:textFill>
            <w14:solidFill>
              <w14:schemeClr w14:val="tx1"/>
            </w14:solidFill>
          </w14:textFill>
        </w:rPr>
      </w:pPr>
      <w:r>
        <w:rPr>
          <w:color w:val="000000" w:themeColor="text1"/>
          <w14:textFill>
            <w14:solidFill>
              <w14:schemeClr w14:val="tx1"/>
            </w14:solidFill>
          </w14:textFill>
        </w:rPr>
        <w:t>The workbook distinguishes observed data from estimated fields. Meter 1's May 2024 total load of 6,057 kWh and bill total are observed, while the missing TOU detail is estimated from adjacent April and June periods and proportionally aligned with the observed May total. The month is retained to preserve the complete annual baseline and is flagged explicitly in the documentation and ESS-sizing sheets. The annual load total is therefore treated as observed, while the May TOU composition is treated as an approximation.</w:t>
      </w:r>
    </w:p>
    <w:p w14:paraId="23CC4707">
      <w:pPr>
        <w:pStyle w:val="2"/>
        <w:rPr>
          <w:color w:val="000000" w:themeColor="text1"/>
          <w14:textFill>
            <w14:solidFill>
              <w14:schemeClr w14:val="tx1"/>
            </w14:solidFill>
          </w14:textFill>
        </w:rPr>
      </w:pPr>
      <w:bookmarkStart w:id="12" w:name="_Toc1141935347"/>
      <w:r>
        <w:rPr>
          <w:color w:val="000000" w:themeColor="text1"/>
          <w14:textFill>
            <w14:solidFill>
              <w14:schemeClr w14:val="tx1"/>
            </w14:solidFill>
          </w14:textFill>
        </w:rPr>
        <w:t>4. Solar PV Sizing Method</w:t>
      </w:r>
      <w:bookmarkEnd w:id="12"/>
    </w:p>
    <w:p w14:paraId="67CE3464">
      <w:pPr>
        <w:pStyle w:val="3"/>
        <w:rPr>
          <w:color w:val="000000" w:themeColor="text1"/>
          <w14:textFill>
            <w14:solidFill>
              <w14:schemeClr w14:val="tx1"/>
            </w14:solidFill>
          </w14:textFill>
        </w:rPr>
      </w:pPr>
      <w:bookmarkStart w:id="13" w:name="_Toc446023790"/>
      <w:r>
        <w:rPr>
          <w:color w:val="000000" w:themeColor="text1"/>
          <w14:textFill>
            <w14:solidFill>
              <w14:schemeClr w14:val="tx1"/>
            </w14:solidFill>
          </w14:textFill>
        </w:rPr>
        <w:t>4.1 Production scaling</w:t>
      </w:r>
      <w:bookmarkEnd w:id="13"/>
    </w:p>
    <w:p w14:paraId="16BF694E">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PV sizing</w:t>
      </w:r>
      <w:r>
        <w:rPr>
          <w:color w:val="000000" w:themeColor="text1"/>
          <w14:textFill>
            <w14:solidFill>
              <w14:schemeClr w14:val="tx1"/>
            </w14:solidFill>
          </w14:textFill>
        </w:rPr>
        <w:t xml:space="preserve"> uses a </w:t>
      </w:r>
      <w:r>
        <w:rPr>
          <w:rFonts w:hint="default" w:ascii="Times New Roman Bold" w:hAnsi="Times New Roman Bold" w:cs="Times New Roman Bold"/>
          <w:b/>
          <w:bCs/>
          <w:color w:val="000000" w:themeColor="text1"/>
          <w14:textFill>
            <w14:solidFill>
              <w14:schemeClr w14:val="tx1"/>
            </w14:solidFill>
          </w14:textFill>
        </w:rPr>
        <w:t>485-W module</w:t>
      </w:r>
      <w:r>
        <w:rPr>
          <w:color w:val="000000" w:themeColor="text1"/>
          <w14:textFill>
            <w14:solidFill>
              <w14:schemeClr w14:val="tx1"/>
            </w14:solidFill>
          </w14:textFill>
        </w:rPr>
        <w:t xml:space="preserve"> basis. The design constraint is annual modeled PV generation </w:t>
      </w:r>
      <w:r>
        <w:rPr>
          <w:rFonts w:hint="default" w:ascii="Times New Roman Bold" w:hAnsi="Times New Roman Bold" w:cs="Times New Roman Bold"/>
          <w:b/>
          <w:bCs/>
          <w:color w:val="000000" w:themeColor="text1"/>
          <w14:textFill>
            <w14:solidFill>
              <w14:schemeClr w14:val="tx1"/>
            </w14:solidFill>
          </w14:textFill>
        </w:rPr>
        <w:t>greater than or equal to</w:t>
      </w:r>
      <w:r>
        <w:rPr>
          <w:color w:val="000000" w:themeColor="text1"/>
          <w14:textFill>
            <w14:solidFill>
              <w14:schemeClr w14:val="tx1"/>
            </w14:solidFill>
          </w14:textFill>
        </w:rPr>
        <w:t xml:space="preserve"> the verified annual load of </w:t>
      </w:r>
      <w:r>
        <w:rPr>
          <w:rFonts w:hint="default" w:ascii="Times New Roman Bold" w:hAnsi="Times New Roman Bold" w:cs="Times New Roman Bold"/>
          <w:b/>
          <w:bCs/>
          <w:color w:val="000000" w:themeColor="text1"/>
          <w14:textFill>
            <w14:solidFill>
              <w14:schemeClr w14:val="tx1"/>
            </w14:solidFill>
          </w14:textFill>
        </w:rPr>
        <w:t>709,501 kWh</w:t>
      </w:r>
      <w:r>
        <w:rPr>
          <w:color w:val="000000" w:themeColor="text1"/>
          <w14:textFill>
            <w14:solidFill>
              <w14:schemeClr w14:val="tx1"/>
            </w14:solidFill>
          </w14:textFill>
        </w:rPr>
        <w:t>.</w:t>
      </w:r>
    </w:p>
    <w:p w14:paraId="66279D40">
      <w:pPr>
        <w:rPr>
          <w:color w:val="000000" w:themeColor="text1"/>
          <w14:textFill>
            <w14:solidFill>
              <w14:schemeClr w14:val="tx1"/>
            </w14:solidFill>
          </w14:textFill>
        </w:rPr>
      </w:pPr>
      <w:r>
        <w:rPr>
          <w:color w:val="000000" w:themeColor="text1"/>
          <w14:textFill>
            <w14:solidFill>
              <w14:schemeClr w14:val="tx1"/>
            </w14:solidFill>
          </w14:textFill>
        </w:rPr>
        <w:t xml:space="preserve">The minimum integer panel count satisfying this constraint is </w:t>
      </w:r>
      <w:r>
        <w:rPr>
          <w:rFonts w:hint="default" w:ascii="Times New Roman Bold" w:hAnsi="Times New Roman Bold" w:cs="Times New Roman Bold"/>
          <w:b/>
          <w:bCs/>
          <w:color w:val="000000" w:themeColor="text1"/>
          <w14:textFill>
            <w14:solidFill>
              <w14:schemeClr w14:val="tx1"/>
            </w14:solidFill>
          </w14:textFill>
        </w:rPr>
        <w:t>838 panels</w:t>
      </w:r>
      <w:r>
        <w:rPr>
          <w:color w:val="000000" w:themeColor="text1"/>
          <w14:textFill>
            <w14:solidFill>
              <w14:schemeClr w14:val="tx1"/>
            </w14:solidFill>
          </w14:textFill>
        </w:rPr>
        <w:t xml:space="preserve">. At 0.485 kW per panel, the resulting DC capacity is </w:t>
      </w:r>
      <w:r>
        <w:rPr>
          <w:rFonts w:hint="default" w:ascii="Times New Roman Bold" w:hAnsi="Times New Roman Bold" w:cs="Times New Roman Bold"/>
          <w:b/>
          <w:bCs/>
          <w:color w:val="000000" w:themeColor="text1"/>
          <w14:textFill>
            <w14:solidFill>
              <w14:schemeClr w14:val="tx1"/>
            </w14:solidFill>
          </w14:textFill>
        </w:rPr>
        <w:t>406.43 kW</w:t>
      </w:r>
      <w:r>
        <w:rPr>
          <w:color w:val="000000" w:themeColor="text1"/>
          <w14:textFill>
            <w14:solidFill>
              <w14:schemeClr w14:val="tx1"/>
            </w14:solidFill>
          </w14:textFill>
        </w:rPr>
        <w:t xml:space="preserve">. Modeled annual production is </w:t>
      </w:r>
      <w:r>
        <w:rPr>
          <w:rFonts w:hint="default" w:ascii="Times New Roman Bold" w:hAnsi="Times New Roman Bold" w:cs="Times New Roman Bold"/>
          <w:b/>
          <w:bCs/>
          <w:color w:val="000000" w:themeColor="text1"/>
          <w14:textFill>
            <w14:solidFill>
              <w14:schemeClr w14:val="tx1"/>
            </w14:solidFill>
          </w14:textFill>
        </w:rPr>
        <w:t>710,207.5 kWh</w:t>
      </w:r>
      <w:r>
        <w:rPr>
          <w:color w:val="000000" w:themeColor="text1"/>
          <w14:textFill>
            <w14:solidFill>
              <w14:schemeClr w14:val="tx1"/>
            </w14:solidFill>
          </w14:textFill>
        </w:rPr>
        <w:t xml:space="preserve">, equivalent to </w:t>
      </w:r>
      <w:r>
        <w:rPr>
          <w:rFonts w:hint="default" w:ascii="Times New Roman Bold" w:hAnsi="Times New Roman Bold" w:cs="Times New Roman Bold"/>
          <w:b/>
          <w:bCs/>
          <w:color w:val="000000" w:themeColor="text1"/>
          <w14:textFill>
            <w14:solidFill>
              <w14:schemeClr w14:val="tx1"/>
            </w14:solidFill>
          </w14:textFill>
        </w:rPr>
        <w:t>100.10%</w:t>
      </w:r>
      <w:r>
        <w:rPr>
          <w:color w:val="000000" w:themeColor="text1"/>
          <w14:textFill>
            <w14:solidFill>
              <w14:schemeClr w14:val="tx1"/>
            </w14:solidFill>
          </w14:textFill>
        </w:rPr>
        <w:t xml:space="preserve"> annual generation coverage. A system with one fewer panel would fall below the annual-load constraint, making 838 panels the minimum feasible panel count under the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509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07043BAB">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PV metric</w:t>
            </w:r>
          </w:p>
        </w:tc>
        <w:tc>
          <w:tcPr>
            <w:tcW w:w="4896" w:type="dxa"/>
            <w:vAlign w:val="center"/>
          </w:tcPr>
          <w:p w14:paraId="3B45E392">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Recommended configuration</w:t>
            </w:r>
          </w:p>
        </w:tc>
      </w:tr>
      <w:tr w14:paraId="6AD3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2E5B863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Panel rating</w:t>
            </w:r>
          </w:p>
        </w:tc>
        <w:tc>
          <w:tcPr>
            <w:tcW w:w="4896" w:type="dxa"/>
            <w:vAlign w:val="center"/>
          </w:tcPr>
          <w:p w14:paraId="2477801E">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485 W DC</w:t>
            </w:r>
          </w:p>
        </w:tc>
      </w:tr>
      <w:tr w14:paraId="56C3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5774172">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Panel count</w:t>
            </w:r>
          </w:p>
        </w:tc>
        <w:tc>
          <w:tcPr>
            <w:tcW w:w="4896" w:type="dxa"/>
            <w:vAlign w:val="center"/>
          </w:tcPr>
          <w:p w14:paraId="765E7BFD">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838</w:t>
            </w:r>
          </w:p>
        </w:tc>
      </w:tr>
      <w:tr w14:paraId="16851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8CD1CB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PV DC capacity</w:t>
            </w:r>
          </w:p>
        </w:tc>
        <w:tc>
          <w:tcPr>
            <w:tcW w:w="4896" w:type="dxa"/>
            <w:vAlign w:val="center"/>
          </w:tcPr>
          <w:p w14:paraId="3748976E">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406.43 kW</w:t>
            </w:r>
          </w:p>
        </w:tc>
      </w:tr>
      <w:tr w14:paraId="2511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0A75C46">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Modeled annual PV generation</w:t>
            </w:r>
          </w:p>
        </w:tc>
        <w:tc>
          <w:tcPr>
            <w:tcW w:w="4896" w:type="dxa"/>
            <w:vAlign w:val="center"/>
          </w:tcPr>
          <w:p w14:paraId="4283226C">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710,207.5 kWh</w:t>
            </w:r>
          </w:p>
        </w:tc>
      </w:tr>
      <w:tr w14:paraId="23D7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3BF4ADE">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Historical annual load</w:t>
            </w:r>
          </w:p>
        </w:tc>
        <w:tc>
          <w:tcPr>
            <w:tcW w:w="4896" w:type="dxa"/>
            <w:vAlign w:val="center"/>
          </w:tcPr>
          <w:p w14:paraId="2565B0CB">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709,501 kWh</w:t>
            </w:r>
          </w:p>
        </w:tc>
      </w:tr>
      <w:tr w14:paraId="4108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DABB5E1">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Annual generation coverage</w:t>
            </w:r>
          </w:p>
        </w:tc>
        <w:tc>
          <w:tcPr>
            <w:tcW w:w="4896" w:type="dxa"/>
            <w:vAlign w:val="center"/>
          </w:tcPr>
          <w:p w14:paraId="5DFC857A">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100.10%</w:t>
            </w:r>
          </w:p>
        </w:tc>
      </w:tr>
      <w:tr w14:paraId="3A4C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074E278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Annual net generation surplus</w:t>
            </w:r>
          </w:p>
        </w:tc>
        <w:tc>
          <w:tcPr>
            <w:tcW w:w="4896" w:type="dxa"/>
            <w:vAlign w:val="center"/>
          </w:tcPr>
          <w:p w14:paraId="2F503348">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706.5 kWh</w:t>
            </w:r>
          </w:p>
        </w:tc>
      </w:tr>
    </w:tbl>
    <w:p w14:paraId="7BBD4D3B">
      <w:pPr>
        <w:rPr>
          <w:color w:val="000000" w:themeColor="text1"/>
          <w14:textFill>
            <w14:solidFill>
              <w14:schemeClr w14:val="tx1"/>
            </w14:solidFill>
          </w14:textFill>
        </w:rPr>
      </w:pPr>
    </w:p>
    <w:p w14:paraId="61B0DF6E">
      <w:pPr>
        <w:pStyle w:val="3"/>
        <w:rPr>
          <w:color w:val="000000" w:themeColor="text1"/>
          <w14:textFill>
            <w14:solidFill>
              <w14:schemeClr w14:val="tx1"/>
            </w14:solidFill>
          </w14:textFill>
        </w:rPr>
      </w:pPr>
      <w:bookmarkStart w:id="14" w:name="_Toc1603910500"/>
      <w:r>
        <w:rPr>
          <w:color w:val="000000" w:themeColor="text1"/>
          <w14:textFill>
            <w14:solidFill>
              <w14:schemeClr w14:val="tx1"/>
            </w14:solidFill>
          </w14:textFill>
        </w:rPr>
        <w:t>4.2 Annual coverage versus temporal self-consumption</w:t>
      </w:r>
      <w:bookmarkEnd w:id="14"/>
    </w:p>
    <w:p w14:paraId="5A05A43F">
      <w:pPr>
        <w:rPr>
          <w:color w:val="000000" w:themeColor="text1"/>
          <w14:textFill>
            <w14:solidFill>
              <w14:schemeClr w14:val="tx1"/>
            </w14:solidFill>
          </w14:textFill>
        </w:rPr>
      </w:pPr>
      <w:r>
        <w:rPr>
          <w:color w:val="000000" w:themeColor="text1"/>
          <w14:textFill>
            <w14:solidFill>
              <w14:schemeClr w14:val="tx1"/>
            </w14:solidFill>
          </w14:textFill>
        </w:rPr>
        <w:t xml:space="preserve">Annual energy balance does not imply that the facility is electrically self-sufficient in every month or hour. The monthly model shows large </w:t>
      </w:r>
      <w:r>
        <w:rPr>
          <w:rFonts w:hint="default" w:ascii="Times New Roman Bold" w:hAnsi="Times New Roman Bold" w:cs="Times New Roman Bold"/>
          <w:b/>
          <w:bCs/>
          <w:color w:val="000000" w:themeColor="text1"/>
          <w14:textFill>
            <w14:solidFill>
              <w14:schemeClr w14:val="tx1"/>
            </w14:solidFill>
          </w14:textFill>
        </w:rPr>
        <w:t>spring and early-summer production surpluses</w:t>
      </w:r>
      <w:r>
        <w:rPr>
          <w:color w:val="000000" w:themeColor="text1"/>
          <w14:textFill>
            <w14:solidFill>
              <w14:schemeClr w14:val="tx1"/>
            </w14:solidFill>
          </w14:textFill>
        </w:rPr>
        <w:t xml:space="preserve"> but </w:t>
      </w:r>
      <w:r>
        <w:rPr>
          <w:rFonts w:hint="default" w:ascii="Times New Roman Bold" w:hAnsi="Times New Roman Bold" w:cs="Times New Roman Bold"/>
          <w:b/>
          <w:bCs/>
          <w:color w:val="000000" w:themeColor="text1"/>
          <w14:textFill>
            <w14:solidFill>
              <w14:schemeClr w14:val="tx1"/>
            </w14:solidFill>
          </w14:textFill>
        </w:rPr>
        <w:t>deficits in winter and late summer</w:t>
      </w:r>
      <w:r>
        <w:rPr>
          <w:color w:val="000000" w:themeColor="text1"/>
          <w14:textFill>
            <w14:solidFill>
              <w14:schemeClr w14:val="tx1"/>
            </w14:solidFill>
          </w14:textFill>
        </w:rPr>
        <w:t>. The workbook's monthly self-consumption proxy totals 615,927.4 kWh and its gross surplus proxy totals 94,280.1 kWh..</w:t>
      </w:r>
    </w:p>
    <w:p w14:paraId="067816CB">
      <w:pPr>
        <w:rPr>
          <w:color w:val="000000" w:themeColor="text1"/>
          <w14:textFill>
            <w14:solidFill>
              <w14:schemeClr w14:val="tx1"/>
            </w14:solidFill>
          </w14:textFill>
        </w:rPr>
      </w:pPr>
      <w:r>
        <w:rPr>
          <w:color w:val="000000" w:themeColor="text1"/>
          <w14:textFill>
            <w14:solidFill>
              <w14:schemeClr w14:val="tx1"/>
            </w14:solidFill>
          </w14:textFill>
        </w:rPr>
        <w:t xml:space="preserve">This </w:t>
      </w:r>
      <w:r>
        <w:rPr>
          <w:rFonts w:hint="default" w:ascii="Times New Roman Bold" w:hAnsi="Times New Roman Bold" w:cs="Times New Roman Bold"/>
          <w:b/>
          <w:bCs/>
          <w:color w:val="000000" w:themeColor="text1"/>
          <w14:textFill>
            <w14:solidFill>
              <w14:schemeClr w14:val="tx1"/>
            </w14:solidFill>
          </w14:textFill>
        </w:rPr>
        <w:t>timing effect</w:t>
      </w:r>
      <w:r>
        <w:rPr>
          <w:color w:val="000000" w:themeColor="text1"/>
          <w14:textFill>
            <w14:solidFill>
              <w14:schemeClr w14:val="tx1"/>
            </w14:solidFill>
          </w14:textFill>
        </w:rPr>
        <w:t xml:space="preserve"> explains why a system can produce approximately 100% of annual consumption while the customer still imports electricity </w:t>
      </w:r>
      <w:r>
        <w:rPr>
          <w:rFonts w:hint="default" w:ascii="Times New Roman Bold" w:hAnsi="Times New Roman Bold" w:cs="Times New Roman Bold"/>
          <w:b/>
          <w:bCs/>
          <w:color w:val="000000" w:themeColor="text1"/>
          <w14:textFill>
            <w14:solidFill>
              <w14:schemeClr w14:val="tx1"/>
            </w14:solidFill>
          </w14:textFill>
        </w:rPr>
        <w:t>from the grid</w:t>
      </w:r>
      <w:r>
        <w:rPr>
          <w:color w:val="000000" w:themeColor="text1"/>
          <w14:textFill>
            <w14:solidFill>
              <w14:schemeClr w14:val="tx1"/>
            </w14:solidFill>
          </w14:textFill>
        </w:rPr>
        <w:t>. Solar generation and customer demand do not occur at identical times; storage can shift part of the available energy and can also be dispatched for demand management.</w:t>
      </w:r>
    </w:p>
    <w:p w14:paraId="658AEB1F">
      <w:pPr>
        <w:pStyle w:val="2"/>
        <w:rPr>
          <w:color w:val="000000" w:themeColor="text1"/>
          <w14:textFill>
            <w14:solidFill>
              <w14:schemeClr w14:val="tx1"/>
            </w14:solidFill>
          </w14:textFill>
        </w:rPr>
      </w:pPr>
      <w:bookmarkStart w:id="15" w:name="_Toc1709036356"/>
      <w:r>
        <w:rPr>
          <w:color w:val="000000" w:themeColor="text1"/>
          <w14:textFill>
            <w14:solidFill>
              <w14:schemeClr w14:val="tx1"/>
            </w14:solidFill>
          </w14:textFill>
        </w:rPr>
        <w:t>5. Battery Energy Storage Sizing</w:t>
      </w:r>
      <w:bookmarkEnd w:id="15"/>
    </w:p>
    <w:p w14:paraId="6393ED41">
      <w:pPr>
        <w:pStyle w:val="3"/>
        <w:rPr>
          <w:color w:val="000000" w:themeColor="text1"/>
          <w14:textFill>
            <w14:solidFill>
              <w14:schemeClr w14:val="tx1"/>
            </w14:solidFill>
          </w14:textFill>
        </w:rPr>
      </w:pPr>
      <w:bookmarkStart w:id="16" w:name="_Toc1180256667"/>
      <w:r>
        <w:rPr>
          <w:color w:val="000000" w:themeColor="text1"/>
          <w14:textFill>
            <w14:solidFill>
              <w14:schemeClr w14:val="tx1"/>
            </w14:solidFill>
          </w14:textFill>
        </w:rPr>
        <w:t>5.1 Battery sizing basis</w:t>
      </w:r>
      <w:bookmarkEnd w:id="16"/>
    </w:p>
    <w:p w14:paraId="1FF4C571">
      <w:pPr>
        <w:rPr>
          <w:color w:val="000000" w:themeColor="text1"/>
          <w14:textFill>
            <w14:solidFill>
              <w14:schemeClr w14:val="tx1"/>
            </w14:solidFill>
          </w14:textFill>
        </w:rPr>
      </w:pPr>
      <w:r>
        <w:rPr>
          <w:color w:val="000000" w:themeColor="text1"/>
          <w14:textFill>
            <w14:solidFill>
              <w14:schemeClr w14:val="tx1"/>
            </w14:solidFill>
          </w14:textFill>
        </w:rPr>
        <w:t xml:space="preserve">The ESS platform is the </w:t>
      </w:r>
      <w:r>
        <w:rPr>
          <w:rFonts w:hint="default" w:ascii="Times New Roman Bold" w:hAnsi="Times New Roman Bold" w:cs="Times New Roman Bold"/>
          <w:b/>
          <w:bCs/>
          <w:color w:val="000000" w:themeColor="text1"/>
          <w14:textFill>
            <w14:solidFill>
              <w14:schemeClr w14:val="tx1"/>
            </w14:solidFill>
          </w14:textFill>
        </w:rPr>
        <w:t>SPT6800 commercial energy-storage system</w:t>
      </w:r>
      <w:r>
        <w:rPr>
          <w:color w:val="000000" w:themeColor="text1"/>
          <w14:textFill>
            <w14:solidFill>
              <w14:schemeClr w14:val="tx1"/>
            </w14:solidFill>
          </w14:textFill>
        </w:rPr>
        <w:t xml:space="preserve">. The battery energy sizing unit used in the model is </w:t>
      </w:r>
      <w:r>
        <w:rPr>
          <w:rFonts w:hint="default" w:ascii="Times New Roman Bold" w:hAnsi="Times New Roman Bold" w:cs="Times New Roman Bold"/>
          <w:b/>
          <w:bCs/>
          <w:color w:val="000000" w:themeColor="text1"/>
          <w14:textFill>
            <w14:solidFill>
              <w14:schemeClr w14:val="tx1"/>
            </w14:solidFill>
          </w14:textFill>
        </w:rPr>
        <w:t>215.04 kWh</w:t>
      </w:r>
      <w:r>
        <w:rPr>
          <w:color w:val="000000" w:themeColor="text1"/>
          <w14:textFill>
            <w14:solidFill>
              <w14:schemeClr w14:val="tx1"/>
            </w14:solidFill>
          </w14:textFill>
        </w:rPr>
        <w:t>, and the available product material provides a 0.5C design discharge-rate basis for that battery cluster. The corresponding battery-side theoretical power is</w:t>
      </w:r>
      <w:r>
        <w:rPr>
          <w:b w:val="0"/>
          <w:bCs w:val="0"/>
          <w:color w:val="000000" w:themeColor="text1"/>
          <w14:textFill>
            <w14:solidFill>
              <w14:schemeClr w14:val="tx1"/>
            </w14:solidFill>
          </w14:textFill>
        </w:rPr>
        <w:t xml:space="preserve"> </w:t>
      </w:r>
      <w:r>
        <w:rPr>
          <w:rFonts w:hint="default" w:ascii="Times New Roman" w:hAnsi="Times New Roman" w:cs="Times New Roman"/>
          <w:b w:val="0"/>
          <w:bCs w:val="0"/>
          <w:color w:val="000000" w:themeColor="text1"/>
          <w14:textFill>
            <w14:solidFill>
              <w14:schemeClr w14:val="tx1"/>
            </w14:solidFill>
          </w14:textFill>
        </w:rPr>
        <w:t>107.52 kW per unit</w:t>
      </w:r>
      <w:r>
        <w:rPr>
          <w:b w:val="0"/>
          <w:bCs w:val="0"/>
          <w:color w:val="000000" w:themeColor="text1"/>
          <w14:textFill>
            <w14:solidFill>
              <w14:schemeClr w14:val="tx1"/>
            </w14:solidFill>
          </w14:textFill>
        </w:rPr>
        <w:t xml:space="preserve">. </w:t>
      </w:r>
      <w:r>
        <w:rPr>
          <w:color w:val="000000" w:themeColor="text1"/>
          <w14:textFill>
            <w14:solidFill>
              <w14:schemeClr w14:val="tx1"/>
            </w14:solidFill>
          </w14:textFill>
        </w:rPr>
        <w:t>Two operating parameters are explicitly modeled assumptions: a 90% usable-energy fraction and 95% discharge efficiency. Together they yield 183.8592 kWh of modeled delivered energy per sizing unit.</w:t>
      </w:r>
    </w:p>
    <w:p w14:paraId="7C620C03">
      <w:pPr>
        <w:rPr>
          <w:color w:val="000000" w:themeColor="text1"/>
          <w14:textFill>
            <w14:solidFill>
              <w14:schemeClr w14:val="tx1"/>
            </w14:solidFill>
          </w14:textFill>
        </w:rPr>
      </w:pPr>
      <w:r>
        <w:rPr>
          <w:color w:val="000000" w:themeColor="text1"/>
          <w14:textFill>
            <w14:solidFill>
              <w14:schemeClr w14:val="tx1"/>
            </w14:solidFill>
          </w14:textFill>
        </w:rPr>
        <w:t>The AC power conversion system is treated separately from battery-side C-rate. The proposal model assumes 100 kW AC PCS per 215.04-kWh sizing unit based on a comparable-product benchmark, resulting in 200 kW estimated AC for two units.</w:t>
      </w:r>
    </w:p>
    <w:p w14:paraId="302F317B">
      <w:pPr>
        <w:pStyle w:val="3"/>
        <w:rPr>
          <w:color w:val="000000" w:themeColor="text1"/>
          <w14:textFill>
            <w14:solidFill>
              <w14:schemeClr w14:val="tx1"/>
            </w14:solidFill>
          </w14:textFill>
        </w:rPr>
      </w:pPr>
      <w:bookmarkStart w:id="17" w:name="_Toc267354930"/>
      <w:r>
        <w:rPr>
          <w:color w:val="000000" w:themeColor="text1"/>
          <w14:textFill>
            <w14:solidFill>
              <w14:schemeClr w14:val="tx1"/>
            </w14:solidFill>
          </w14:textFill>
        </w:rPr>
        <w:t>5.2 Energy requirement versus power requirement</w:t>
      </w:r>
      <w:bookmarkEnd w:id="17"/>
    </w:p>
    <w:p w14:paraId="4307E828">
      <w:pPr>
        <w:rPr>
          <w:color w:val="000000" w:themeColor="text1"/>
          <w14:textFill>
            <w14:solidFill>
              <w14:schemeClr w14:val="tx1"/>
            </w14:solidFill>
          </w14:textFill>
        </w:rPr>
      </w:pPr>
      <w:r>
        <w:rPr>
          <w:color w:val="000000" w:themeColor="text1"/>
          <w14:textFill>
            <w14:solidFill>
              <w14:schemeClr w14:val="tx1"/>
            </w14:solidFill>
          </w14:textFill>
        </w:rPr>
        <w:t xml:space="preserve">Storage sizing combines two constraints. The energy constraint is based on average daily </w:t>
      </w:r>
      <w:r>
        <w:rPr>
          <w:rFonts w:hint="default" w:ascii="Times New Roman Bold" w:hAnsi="Times New Roman Bold" w:cs="Times New Roman Bold"/>
          <w:b/>
          <w:bCs/>
          <w:color w:val="000000" w:themeColor="text1"/>
          <w14:textFill>
            <w14:solidFill>
              <w14:schemeClr w14:val="tx1"/>
            </w14:solidFill>
          </w14:textFill>
        </w:rPr>
        <w:t>On-Peak plus Mid-Peak energy</w:t>
      </w:r>
      <w:r>
        <w:rPr>
          <w:color w:val="000000" w:themeColor="text1"/>
          <w14:textFill>
            <w14:solidFill>
              <w14:schemeClr w14:val="tx1"/>
            </w14:solidFill>
          </w14:textFill>
        </w:rPr>
        <w:t xml:space="preserve">. The highest observed average daily peak-window energy occurs in August 2024 at approximately 190.45 kWh/day. Because one unit provides 183.86 kWh of modeled delivered energy, the energy criterion requires </w:t>
      </w:r>
      <w:r>
        <w:rPr>
          <w:rFonts w:hint="default" w:ascii="Times New Roman" w:hAnsi="Times New Roman" w:cs="Times New Roman"/>
          <w:b w:val="0"/>
          <w:bCs w:val="0"/>
          <w:color w:val="000000" w:themeColor="text1"/>
          <w14:textFill>
            <w14:solidFill>
              <w14:schemeClr w14:val="tx1"/>
            </w14:solidFill>
          </w14:textFill>
        </w:rPr>
        <w:t xml:space="preserve">two units </w:t>
      </w:r>
      <w:r>
        <w:rPr>
          <w:color w:val="000000" w:themeColor="text1"/>
          <w14:textFill>
            <w14:solidFill>
              <w14:schemeClr w14:val="tx1"/>
            </w14:solidFill>
          </w14:textFill>
        </w:rPr>
        <w:t>in that month. The proposal power criterion uses a fixed 100-kW demand-shave target. At 100 kW per assumed AC PCS unit, the power criterion alone requires one unit. The final requirement is therefore the maximum of the energy- and power-based unit counts:</w:t>
      </w:r>
      <w:r>
        <w:rPr>
          <w:rFonts w:hint="default" w:ascii="Times New Roman Bold" w:hAnsi="Times New Roman Bold" w:cs="Times New Roman Bold"/>
          <w:b/>
          <w:bCs/>
          <w:color w:val="000000" w:themeColor="text1"/>
          <w14:textFill>
            <w14:solidFill>
              <w14:schemeClr w14:val="tx1"/>
            </w14:solidFill>
          </w14:textFill>
        </w:rPr>
        <w:t xml:space="preserve"> two units.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7C60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E8BF68A">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ESS metric</w:t>
            </w:r>
          </w:p>
        </w:tc>
        <w:tc>
          <w:tcPr>
            <w:tcW w:w="4896" w:type="dxa"/>
            <w:vAlign w:val="center"/>
          </w:tcPr>
          <w:p w14:paraId="0DBE19FF">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Result</w:t>
            </w:r>
          </w:p>
        </w:tc>
      </w:tr>
      <w:tr w14:paraId="375D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02D8B083">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Battery sizing unit</w:t>
            </w:r>
          </w:p>
        </w:tc>
        <w:tc>
          <w:tcPr>
            <w:tcW w:w="4896" w:type="dxa"/>
            <w:vAlign w:val="center"/>
          </w:tcPr>
          <w:p w14:paraId="731B8EF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215.04 kWh</w:t>
            </w:r>
          </w:p>
        </w:tc>
      </w:tr>
      <w:tr w14:paraId="5710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6E6E1C4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Units required by energy</w:t>
            </w:r>
          </w:p>
        </w:tc>
        <w:tc>
          <w:tcPr>
            <w:tcW w:w="4896" w:type="dxa"/>
            <w:vAlign w:val="center"/>
          </w:tcPr>
          <w:p w14:paraId="7A9848F7">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w:t>
            </w:r>
          </w:p>
        </w:tc>
      </w:tr>
      <w:tr w14:paraId="1F3B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13FBA71">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Units required by power</w:t>
            </w:r>
          </w:p>
        </w:tc>
        <w:tc>
          <w:tcPr>
            <w:tcW w:w="4896" w:type="dxa"/>
            <w:vAlign w:val="center"/>
          </w:tcPr>
          <w:p w14:paraId="718F9197">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w:t>
            </w:r>
          </w:p>
        </w:tc>
      </w:tr>
      <w:tr w14:paraId="16BB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C808280">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Required units</w:t>
            </w:r>
          </w:p>
        </w:tc>
        <w:tc>
          <w:tcPr>
            <w:tcW w:w="4896" w:type="dxa"/>
            <w:vAlign w:val="center"/>
          </w:tcPr>
          <w:p w14:paraId="3F4034D4">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2</w:t>
            </w:r>
          </w:p>
        </w:tc>
      </w:tr>
      <w:tr w14:paraId="7755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6EA6129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Nominal ESS energy</w:t>
            </w:r>
          </w:p>
        </w:tc>
        <w:tc>
          <w:tcPr>
            <w:tcW w:w="4896" w:type="dxa"/>
            <w:vAlign w:val="center"/>
          </w:tcPr>
          <w:p w14:paraId="751BFFD8">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430.08 kWh</w:t>
            </w:r>
          </w:p>
        </w:tc>
      </w:tr>
      <w:tr w14:paraId="01D0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2085DE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Modeled delivered energy</w:t>
            </w:r>
          </w:p>
        </w:tc>
        <w:tc>
          <w:tcPr>
            <w:tcW w:w="4896" w:type="dxa"/>
            <w:vAlign w:val="center"/>
          </w:tcPr>
          <w:p w14:paraId="1471D3CF">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367.72 kWh</w:t>
            </w:r>
          </w:p>
        </w:tc>
      </w:tr>
      <w:tr w14:paraId="5806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27E77C56">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Estimated AC PCS rating</w:t>
            </w:r>
          </w:p>
        </w:tc>
        <w:tc>
          <w:tcPr>
            <w:tcW w:w="4896" w:type="dxa"/>
            <w:vAlign w:val="center"/>
          </w:tcPr>
          <w:p w14:paraId="508F437B">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200 kW</w:t>
            </w:r>
          </w:p>
        </w:tc>
      </w:tr>
      <w:tr w14:paraId="15C7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A731C5D">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Proposal demand-shave target</w:t>
            </w:r>
          </w:p>
        </w:tc>
        <w:tc>
          <w:tcPr>
            <w:tcW w:w="4896" w:type="dxa"/>
            <w:vAlign w:val="center"/>
          </w:tcPr>
          <w:p w14:paraId="0E191D00">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 kW</w:t>
            </w:r>
          </w:p>
        </w:tc>
      </w:tr>
      <w:tr w14:paraId="2875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464AE16E">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Approx. duration at 100-kW target</w:t>
            </w:r>
          </w:p>
        </w:tc>
        <w:tc>
          <w:tcPr>
            <w:tcW w:w="4896" w:type="dxa"/>
            <w:vAlign w:val="center"/>
          </w:tcPr>
          <w:p w14:paraId="32FB349C">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3.68 h</w:t>
            </w:r>
          </w:p>
        </w:tc>
      </w:tr>
    </w:tbl>
    <w:p w14:paraId="2C1A7C3C">
      <w:pPr>
        <w:rPr>
          <w:color w:val="000000" w:themeColor="text1"/>
          <w14:textFill>
            <w14:solidFill>
              <w14:schemeClr w14:val="tx1"/>
            </w14:solidFill>
          </w14:textFill>
        </w:rPr>
      </w:pPr>
    </w:p>
    <w:p w14:paraId="2BED5AEA">
      <w:pPr>
        <w:pStyle w:val="3"/>
        <w:rPr>
          <w:color w:val="000000" w:themeColor="text1"/>
          <w14:textFill>
            <w14:solidFill>
              <w14:schemeClr w14:val="tx1"/>
            </w14:solidFill>
          </w14:textFill>
        </w:rPr>
      </w:pPr>
      <w:bookmarkStart w:id="18" w:name="_Toc898518986"/>
      <w:r>
        <w:rPr>
          <w:color w:val="000000" w:themeColor="text1"/>
          <w14:textFill>
            <w14:solidFill>
              <w14:schemeClr w14:val="tx1"/>
            </w14:solidFill>
          </w14:textFill>
        </w:rPr>
        <w:t>5.3 Demand-charge modeling</w:t>
      </w:r>
      <w:bookmarkEnd w:id="18"/>
    </w:p>
    <w:p w14:paraId="6E002091">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Demand charges</w:t>
      </w:r>
      <w:r>
        <w:rPr>
          <w:color w:val="000000" w:themeColor="text1"/>
          <w14:textFill>
            <w14:solidFill>
              <w14:schemeClr w14:val="tx1"/>
            </w14:solidFill>
          </w14:textFill>
        </w:rPr>
        <w:t xml:space="preserve"> are modeled account-specifically rather than by summing noncoincident meter peaks. </w:t>
      </w:r>
      <w:r>
        <w:rPr>
          <w:rFonts w:hint="default" w:ascii="Times New Roman Bold" w:hAnsi="Times New Roman Bold" w:cs="Times New Roman Bold"/>
          <w:b/>
          <w:bCs/>
          <w:color w:val="000000" w:themeColor="text1"/>
          <w14:textFill>
            <w14:solidFill>
              <w14:schemeClr w14:val="tx1"/>
            </w14:solidFill>
          </w14:textFill>
        </w:rPr>
        <w:t>Meter 2</w:t>
      </w:r>
      <w:r>
        <w:rPr>
          <w:color w:val="000000" w:themeColor="text1"/>
          <w14:textFill>
            <w14:solidFill>
              <w14:schemeClr w14:val="tx1"/>
            </w14:solidFill>
          </w14:textFill>
        </w:rPr>
        <w:t xml:space="preserve"> is the proposal modeling basis because it carries the dominant demand-charge exposure. For each billing period, the model derives effective base-demand and TOU-demand rates from observed bill charges and billed demand, then applies the 100-kW shave target subject to the relevant monthly demand quantity. The resulting annual base-demand savings are $29,634.80 and annual TOU-demand savings are $9,737.95, for total modeled </w:t>
      </w:r>
      <w:r>
        <w:rPr>
          <w:rFonts w:hint="default" w:ascii="Times New Roman Bold" w:hAnsi="Times New Roman Bold" w:cs="Times New Roman Bold"/>
          <w:b/>
          <w:bCs/>
          <w:color w:val="000000" w:themeColor="text1"/>
          <w14:textFill>
            <w14:solidFill>
              <w14:schemeClr w14:val="tx1"/>
            </w14:solidFill>
          </w14:textFill>
        </w:rPr>
        <w:t>demand savings</w:t>
      </w:r>
      <w:r>
        <w:rPr>
          <w:color w:val="000000" w:themeColor="text1"/>
          <w14:textFill>
            <w14:solidFill>
              <w14:schemeClr w14:val="tx1"/>
            </w14:solidFill>
          </w14:textFill>
        </w:rPr>
        <w:t xml:space="preserve"> of </w:t>
      </w:r>
      <w:r>
        <w:rPr>
          <w:rFonts w:hint="default" w:ascii="Times New Roman Bold" w:hAnsi="Times New Roman Bold" w:cs="Times New Roman Bold"/>
          <w:b/>
          <w:bCs/>
          <w:color w:val="000000" w:themeColor="text1"/>
          <w14:textFill>
            <w14:solidFill>
              <w14:schemeClr w14:val="tx1"/>
            </w14:solidFill>
          </w14:textFill>
        </w:rPr>
        <w:t>$39,372.75.</w:t>
      </w:r>
    </w:p>
    <w:p w14:paraId="75F610BD">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30226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3022600"/>
                    </a:xfrm>
                    <a:prstGeom prst="rect">
                      <a:avLst/>
                    </a:prstGeom>
                  </pic:spPr>
                </pic:pic>
              </a:graphicData>
            </a:graphic>
          </wp:inline>
        </w:drawing>
      </w:r>
    </w:p>
    <w:p w14:paraId="64AB23C0">
      <w:pPr>
        <w:pStyle w:val="166"/>
        <w:jc w:val="center"/>
        <w:rPr>
          <w:color w:val="000000" w:themeColor="text1"/>
          <w14:textFill>
            <w14:solidFill>
              <w14:schemeClr w14:val="tx1"/>
            </w14:solidFill>
          </w14:textFill>
        </w:rPr>
      </w:pPr>
      <w:r>
        <w:rPr>
          <w:color w:val="000000" w:themeColor="text1"/>
          <w14:textFill>
            <w14:solidFill>
              <w14:schemeClr w14:val="tx1"/>
            </w14:solidFill>
          </w14:textFill>
        </w:rPr>
        <w:t>Figure 2. Demand-charge savings sensitivity. The 100-kW point is the recommended proposal base case; higher values are screening sensitivities rather than verified dispatch outcomes.</w:t>
      </w:r>
    </w:p>
    <w:p w14:paraId="04CA27B9">
      <w:pPr>
        <w:pStyle w:val="2"/>
        <w:rPr>
          <w:color w:val="000000" w:themeColor="text1"/>
          <w14:textFill>
            <w14:solidFill>
              <w14:schemeClr w14:val="tx1"/>
            </w14:solidFill>
          </w14:textFill>
        </w:rPr>
      </w:pPr>
      <w:bookmarkStart w:id="19" w:name="_Toc303591998"/>
      <w:r>
        <w:rPr>
          <w:color w:val="000000" w:themeColor="text1"/>
          <w14:textFill>
            <w14:solidFill>
              <w14:schemeClr w14:val="tx1"/>
            </w14:solidFill>
          </w14:textFill>
        </w:rPr>
        <w:t>6. Configuration Scenarios and Recommendation</w:t>
      </w:r>
      <w:bookmarkEnd w:id="19"/>
    </w:p>
    <w:p w14:paraId="1C5D57BE">
      <w:pPr>
        <w:rPr>
          <w:color w:val="000000" w:themeColor="text1"/>
          <w14:textFill>
            <w14:solidFill>
              <w14:schemeClr w14:val="tx1"/>
            </w14:solidFill>
          </w14:textFill>
        </w:rPr>
      </w:pPr>
      <w:r>
        <w:rPr>
          <w:color w:val="000000" w:themeColor="text1"/>
          <w14:textFill>
            <w14:solidFill>
              <w14:schemeClr w14:val="tx1"/>
            </w14:solidFill>
          </w14:textFill>
        </w:rPr>
        <w:t xml:space="preserve">Five </w:t>
      </w:r>
      <w:r>
        <w:rPr>
          <w:rFonts w:hint="default" w:ascii="Times New Roman Bold" w:hAnsi="Times New Roman Bold" w:cs="Times New Roman Bold"/>
          <w:b/>
          <w:bCs/>
          <w:color w:val="000000" w:themeColor="text1"/>
          <w14:textFill>
            <w14:solidFill>
              <w14:schemeClr w14:val="tx1"/>
            </w14:solidFill>
          </w14:textFill>
        </w:rPr>
        <w:t>PV/ESS configurations</w:t>
      </w:r>
      <w:r>
        <w:rPr>
          <w:color w:val="000000" w:themeColor="text1"/>
          <w14:textFill>
            <w14:solidFill>
              <w14:schemeClr w14:val="tx1"/>
            </w14:solidFill>
          </w14:textFill>
        </w:rPr>
        <w:t xml:space="preserve"> were compared. All satisfy the model's annual PV-coverage and storage-sizing constraints, but </w:t>
      </w:r>
      <w:r>
        <w:rPr>
          <w:rFonts w:hint="default" w:ascii="Times New Roman Bold" w:hAnsi="Times New Roman Bold" w:cs="Times New Roman Bold"/>
          <w:b/>
          <w:bCs/>
          <w:color w:val="000000" w:themeColor="text1"/>
          <w14:textFill>
            <w14:solidFill>
              <w14:schemeClr w14:val="tx1"/>
            </w14:solidFill>
          </w14:textFill>
        </w:rPr>
        <w:t>installed cost rises</w:t>
      </w:r>
      <w:r>
        <w:rPr>
          <w:color w:val="000000" w:themeColor="text1"/>
          <w14:textFill>
            <w14:solidFill>
              <w14:schemeClr w14:val="tx1"/>
            </w14:solidFill>
          </w14:textFill>
        </w:rPr>
        <w:t xml:space="preserve"> faster than modeled Year-1 savings as capacity increases. The decision rule therefore selects </w:t>
      </w:r>
      <w:r>
        <w:rPr>
          <w:rFonts w:hint="default" w:ascii="Times New Roman Bold" w:hAnsi="Times New Roman Bold" w:cs="Times New Roman Bold"/>
          <w:b/>
          <w:bCs/>
          <w:color w:val="000000" w:themeColor="text1"/>
          <w14:textFill>
            <w14:solidFill>
              <w14:schemeClr w14:val="tx1"/>
            </w14:solidFill>
          </w14:textFill>
        </w:rPr>
        <w:t>the lowest-cost</w:t>
      </w:r>
      <w:r>
        <w:rPr>
          <w:color w:val="000000" w:themeColor="text1"/>
          <w14:textFill>
            <w14:solidFill>
              <w14:schemeClr w14:val="tx1"/>
            </w14:solidFill>
          </w14:textFill>
        </w:rPr>
        <w:t xml:space="preserve"> passing scenario rather than maximizing gross generation or storage capacity.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32"/>
        <w:gridCol w:w="1632"/>
        <w:gridCol w:w="1632"/>
        <w:gridCol w:w="1632"/>
        <w:gridCol w:w="1632"/>
      </w:tblGrid>
      <w:tr w14:paraId="5FF9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vAlign w:val="center"/>
          </w:tcPr>
          <w:p w14:paraId="44F7E289">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Scenario</w:t>
            </w:r>
          </w:p>
        </w:tc>
        <w:tc>
          <w:tcPr>
            <w:tcW w:w="1632" w:type="dxa"/>
            <w:vAlign w:val="center"/>
          </w:tcPr>
          <w:p w14:paraId="29B580CB">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PV panels</w:t>
            </w:r>
          </w:p>
        </w:tc>
        <w:tc>
          <w:tcPr>
            <w:tcW w:w="1632" w:type="dxa"/>
            <w:vAlign w:val="center"/>
          </w:tcPr>
          <w:p w14:paraId="1D9D64F7">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PV kW DC</w:t>
            </w:r>
          </w:p>
        </w:tc>
        <w:tc>
          <w:tcPr>
            <w:tcW w:w="1632" w:type="dxa"/>
            <w:vAlign w:val="center"/>
          </w:tcPr>
          <w:p w14:paraId="7DBD0B14">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ESS units</w:t>
            </w:r>
          </w:p>
        </w:tc>
        <w:tc>
          <w:tcPr>
            <w:tcW w:w="1632" w:type="dxa"/>
            <w:vAlign w:val="center"/>
          </w:tcPr>
          <w:p w14:paraId="7CDC69FA">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ESS kWh</w:t>
            </w:r>
          </w:p>
        </w:tc>
        <w:tc>
          <w:tcPr>
            <w:tcW w:w="1632" w:type="dxa"/>
            <w:vAlign w:val="center"/>
          </w:tcPr>
          <w:p w14:paraId="53D6B8A4">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Screening installed cost</w:t>
            </w:r>
          </w:p>
        </w:tc>
      </w:tr>
      <w:tr w14:paraId="1296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vAlign w:val="center"/>
          </w:tcPr>
          <w:p w14:paraId="7F4879D6">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Minimum</w:t>
            </w:r>
          </w:p>
        </w:tc>
        <w:tc>
          <w:tcPr>
            <w:tcW w:w="1632" w:type="dxa"/>
            <w:vAlign w:val="center"/>
          </w:tcPr>
          <w:p w14:paraId="396B05EB">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838</w:t>
            </w:r>
          </w:p>
        </w:tc>
        <w:tc>
          <w:tcPr>
            <w:tcW w:w="1632" w:type="dxa"/>
            <w:vAlign w:val="center"/>
          </w:tcPr>
          <w:p w14:paraId="54C043DF">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406.43</w:t>
            </w:r>
          </w:p>
        </w:tc>
        <w:tc>
          <w:tcPr>
            <w:tcW w:w="1632" w:type="dxa"/>
            <w:vAlign w:val="center"/>
          </w:tcPr>
          <w:p w14:paraId="6E04A23A">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2</w:t>
            </w:r>
          </w:p>
        </w:tc>
        <w:tc>
          <w:tcPr>
            <w:tcW w:w="1632" w:type="dxa"/>
            <w:vAlign w:val="center"/>
          </w:tcPr>
          <w:p w14:paraId="32B80F77">
            <w:pPr>
              <w:rPr>
                <w:color w:val="000000" w:themeColor="text1"/>
                <w14:textFill>
                  <w14:solidFill>
                    <w14:schemeClr w14:val="tx1"/>
                  </w14:solidFill>
                </w14:textFill>
              </w:rPr>
            </w:pPr>
            <w:r>
              <w:rPr>
                <w:rFonts w:ascii="Times New Roman" w:hAnsi="Times New Roman"/>
                <w:b/>
                <w:bCs/>
                <w:color w:val="000000" w:themeColor="text1"/>
                <w:sz w:val="18"/>
                <w14:textFill>
                  <w14:solidFill>
                    <w14:schemeClr w14:val="tx1"/>
                  </w14:solidFill>
                </w14:textFill>
              </w:rPr>
              <w:t>4</w:t>
            </w:r>
            <w:r>
              <w:rPr>
                <w:rFonts w:hint="default" w:ascii="Times New Roman Bold" w:hAnsi="Times New Roman Bold" w:cs="Times New Roman Bold"/>
                <w:b/>
                <w:bCs/>
                <w:color w:val="000000" w:themeColor="text1"/>
                <w:sz w:val="18"/>
                <w14:textFill>
                  <w14:solidFill>
                    <w14:schemeClr w14:val="tx1"/>
                  </w14:solidFill>
                </w14:textFill>
              </w:rPr>
              <w:t>30.08</w:t>
            </w:r>
          </w:p>
        </w:tc>
        <w:tc>
          <w:tcPr>
            <w:tcW w:w="1632" w:type="dxa"/>
            <w:vAlign w:val="center"/>
          </w:tcPr>
          <w:p w14:paraId="029BFF1E">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$1,074,972</w:t>
            </w:r>
          </w:p>
        </w:tc>
      </w:tr>
      <w:tr w14:paraId="0FF3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vAlign w:val="center"/>
          </w:tcPr>
          <w:p w14:paraId="71ABD198">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Balanced A</w:t>
            </w:r>
          </w:p>
        </w:tc>
        <w:tc>
          <w:tcPr>
            <w:tcW w:w="1632" w:type="dxa"/>
            <w:vAlign w:val="center"/>
          </w:tcPr>
          <w:p w14:paraId="74AB1017">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850</w:t>
            </w:r>
          </w:p>
        </w:tc>
        <w:tc>
          <w:tcPr>
            <w:tcW w:w="1632" w:type="dxa"/>
            <w:vAlign w:val="center"/>
          </w:tcPr>
          <w:p w14:paraId="600777BD">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412.25</w:t>
            </w:r>
          </w:p>
        </w:tc>
        <w:tc>
          <w:tcPr>
            <w:tcW w:w="1632" w:type="dxa"/>
            <w:vAlign w:val="center"/>
          </w:tcPr>
          <w:p w14:paraId="11379F46">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w:t>
            </w:r>
          </w:p>
        </w:tc>
        <w:tc>
          <w:tcPr>
            <w:tcW w:w="1632" w:type="dxa"/>
            <w:vAlign w:val="center"/>
          </w:tcPr>
          <w:p w14:paraId="3D7C66FB">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430.08</w:t>
            </w:r>
          </w:p>
        </w:tc>
        <w:tc>
          <w:tcPr>
            <w:tcW w:w="1632" w:type="dxa"/>
            <w:vAlign w:val="center"/>
          </w:tcPr>
          <w:p w14:paraId="24B2CC63">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$1,086,671</w:t>
            </w:r>
          </w:p>
        </w:tc>
      </w:tr>
      <w:tr w14:paraId="03A5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vAlign w:val="center"/>
          </w:tcPr>
          <w:p w14:paraId="08389B5D">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Balanced B</w:t>
            </w:r>
          </w:p>
        </w:tc>
        <w:tc>
          <w:tcPr>
            <w:tcW w:w="1632" w:type="dxa"/>
            <w:vAlign w:val="center"/>
          </w:tcPr>
          <w:p w14:paraId="1CAF19DF">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875</w:t>
            </w:r>
          </w:p>
        </w:tc>
        <w:tc>
          <w:tcPr>
            <w:tcW w:w="1632" w:type="dxa"/>
            <w:vAlign w:val="center"/>
          </w:tcPr>
          <w:p w14:paraId="540048A6">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424.38</w:t>
            </w:r>
          </w:p>
        </w:tc>
        <w:tc>
          <w:tcPr>
            <w:tcW w:w="1632" w:type="dxa"/>
            <w:vAlign w:val="center"/>
          </w:tcPr>
          <w:p w14:paraId="3260AC53">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w:t>
            </w:r>
          </w:p>
        </w:tc>
        <w:tc>
          <w:tcPr>
            <w:tcW w:w="1632" w:type="dxa"/>
            <w:vAlign w:val="center"/>
          </w:tcPr>
          <w:p w14:paraId="442F937B">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645.12</w:t>
            </w:r>
          </w:p>
        </w:tc>
        <w:tc>
          <w:tcPr>
            <w:tcW w:w="1632" w:type="dxa"/>
            <w:vAlign w:val="center"/>
          </w:tcPr>
          <w:p w14:paraId="7A331B5F">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$1,240,066</w:t>
            </w:r>
          </w:p>
        </w:tc>
      </w:tr>
      <w:tr w14:paraId="2CEE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vAlign w:val="center"/>
          </w:tcPr>
          <w:p w14:paraId="77EB265D">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Higher Storage</w:t>
            </w:r>
          </w:p>
        </w:tc>
        <w:tc>
          <w:tcPr>
            <w:tcW w:w="1632" w:type="dxa"/>
            <w:vAlign w:val="center"/>
          </w:tcPr>
          <w:p w14:paraId="2BB96160">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900</w:t>
            </w:r>
          </w:p>
        </w:tc>
        <w:tc>
          <w:tcPr>
            <w:tcW w:w="1632" w:type="dxa"/>
            <w:vAlign w:val="center"/>
          </w:tcPr>
          <w:p w14:paraId="7085888B">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436.50</w:t>
            </w:r>
          </w:p>
        </w:tc>
        <w:tc>
          <w:tcPr>
            <w:tcW w:w="1632" w:type="dxa"/>
            <w:vAlign w:val="center"/>
          </w:tcPr>
          <w:p w14:paraId="099F146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w:t>
            </w:r>
          </w:p>
        </w:tc>
        <w:tc>
          <w:tcPr>
            <w:tcW w:w="1632" w:type="dxa"/>
            <w:vAlign w:val="center"/>
          </w:tcPr>
          <w:p w14:paraId="32F15222">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860.16</w:t>
            </w:r>
          </w:p>
        </w:tc>
        <w:tc>
          <w:tcPr>
            <w:tcW w:w="1632" w:type="dxa"/>
            <w:vAlign w:val="center"/>
          </w:tcPr>
          <w:p w14:paraId="0D0DCD48">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$1,393,461</w:t>
            </w:r>
          </w:p>
        </w:tc>
      </w:tr>
      <w:tr w14:paraId="4084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vAlign w:val="center"/>
          </w:tcPr>
          <w:p w14:paraId="0C73398F">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Historical PV Scale</w:t>
            </w:r>
          </w:p>
        </w:tc>
        <w:tc>
          <w:tcPr>
            <w:tcW w:w="1632" w:type="dxa"/>
            <w:vAlign w:val="center"/>
          </w:tcPr>
          <w:p w14:paraId="42B6879A">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1,000</w:t>
            </w:r>
          </w:p>
        </w:tc>
        <w:tc>
          <w:tcPr>
            <w:tcW w:w="1632" w:type="dxa"/>
            <w:vAlign w:val="center"/>
          </w:tcPr>
          <w:p w14:paraId="1CEE3063">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485.00</w:t>
            </w:r>
          </w:p>
        </w:tc>
        <w:tc>
          <w:tcPr>
            <w:tcW w:w="1632" w:type="dxa"/>
            <w:vAlign w:val="center"/>
          </w:tcPr>
          <w:p w14:paraId="0C4E0807">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w:t>
            </w:r>
          </w:p>
        </w:tc>
        <w:tc>
          <w:tcPr>
            <w:tcW w:w="1632" w:type="dxa"/>
            <w:vAlign w:val="center"/>
          </w:tcPr>
          <w:p w14:paraId="5E0076A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1,290.24</w:t>
            </w:r>
          </w:p>
        </w:tc>
        <w:tc>
          <w:tcPr>
            <w:tcW w:w="1632" w:type="dxa"/>
            <w:vAlign w:val="center"/>
          </w:tcPr>
          <w:p w14:paraId="227BB4F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$1,748,994</w:t>
            </w:r>
          </w:p>
        </w:tc>
      </w:tr>
    </w:tbl>
    <w:p w14:paraId="7988D312">
      <w:pPr>
        <w:rPr>
          <w:color w:val="000000" w:themeColor="text1"/>
          <w14:textFill>
            <w14:solidFill>
              <w14:schemeClr w14:val="tx1"/>
            </w14:solidFill>
          </w14:textFill>
        </w:rPr>
      </w:pPr>
    </w:p>
    <w:p w14:paraId="06DB5F84">
      <w:pPr>
        <w:rPr>
          <w:color w:val="000000" w:themeColor="text1"/>
          <w14:textFill>
            <w14:solidFill>
              <w14:schemeClr w14:val="tx1"/>
            </w14:solidFill>
          </w14:textFill>
        </w:rPr>
      </w:pPr>
      <w:r>
        <w:rPr>
          <w:color w:val="000000" w:themeColor="text1"/>
          <w14:textFill>
            <w14:solidFill>
              <w14:schemeClr w14:val="tx1"/>
            </w14:solidFill>
          </w14:textFill>
        </w:rPr>
        <w:t xml:space="preserve">The recommended </w:t>
      </w:r>
      <w:r>
        <w:rPr>
          <w:rFonts w:hint="default" w:ascii="Times New Roman Bold" w:hAnsi="Times New Roman Bold" w:cs="Times New Roman Bold"/>
          <w:b/>
          <w:bCs/>
          <w:color w:val="000000" w:themeColor="text1"/>
          <w14:textFill>
            <w14:solidFill>
              <w14:schemeClr w14:val="tx1"/>
            </w14:solidFill>
          </w14:textFill>
        </w:rPr>
        <w:t>'Minimum' configuration</w:t>
      </w:r>
      <w:r>
        <w:rPr>
          <w:color w:val="000000" w:themeColor="text1"/>
          <w14:textFill>
            <w14:solidFill>
              <w14:schemeClr w14:val="tx1"/>
            </w14:solidFill>
          </w14:textFill>
        </w:rPr>
        <w:t xml:space="preserve"> is therefore </w:t>
      </w:r>
      <w:r>
        <w:rPr>
          <w:rFonts w:hint="default" w:ascii="Times New Roman Bold" w:hAnsi="Times New Roman Bold" w:cs="Times New Roman Bold"/>
          <w:b/>
          <w:bCs/>
          <w:color w:val="000000" w:themeColor="text1"/>
          <w14:textFill>
            <w14:solidFill>
              <w14:schemeClr w14:val="tx1"/>
            </w14:solidFill>
          </w14:textFill>
        </w:rPr>
        <w:t>838 PV modules</w:t>
      </w:r>
      <w:r>
        <w:rPr>
          <w:color w:val="000000" w:themeColor="text1"/>
          <w14:textFill>
            <w14:solidFill>
              <w14:schemeClr w14:val="tx1"/>
            </w14:solidFill>
          </w14:textFill>
        </w:rPr>
        <w:t xml:space="preserve"> and</w:t>
      </w:r>
      <w:r>
        <w:rPr>
          <w:rFonts w:hint="default" w:ascii="Times New Roman Bold" w:hAnsi="Times New Roman Bold" w:cs="Times New Roman Bold"/>
          <w:b/>
          <w:bCs/>
          <w:color w:val="000000" w:themeColor="text1"/>
          <w14:textFill>
            <w14:solidFill>
              <w14:schemeClr w14:val="tx1"/>
            </w14:solidFill>
          </w14:textFill>
        </w:rPr>
        <w:t xml:space="preserve"> two ESS sizing units</w:t>
      </w:r>
      <w:r>
        <w:rPr>
          <w:color w:val="000000" w:themeColor="text1"/>
          <w14:textFill>
            <w14:solidFill>
              <w14:schemeClr w14:val="tx1"/>
            </w14:solidFill>
          </w14:textFill>
        </w:rPr>
        <w:t xml:space="preserve">. The recommendation should be understood as </w:t>
      </w:r>
      <w:r>
        <w:rPr>
          <w:rFonts w:hint="default" w:ascii="Times New Roman Bold" w:hAnsi="Times New Roman Bold" w:cs="Times New Roman Bold"/>
          <w:b/>
          <w:bCs/>
          <w:color w:val="000000" w:themeColor="text1"/>
          <w14:textFill>
            <w14:solidFill>
              <w14:schemeClr w14:val="tx1"/>
            </w14:solidFill>
          </w14:textFill>
        </w:rPr>
        <w:t>minimum-cost</w:t>
      </w:r>
      <w:r>
        <w:rPr>
          <w:color w:val="000000" w:themeColor="text1"/>
          <w14:textFill>
            <w14:solidFill>
              <w14:schemeClr w14:val="tx1"/>
            </w14:solidFill>
          </w14:textFill>
        </w:rPr>
        <w:t xml:space="preserve"> feasibility under the defined constraints, not as a globally optimized engineering design. A rigorous optimization could change the result if interval load, coincident meter demand, alternative dispatch strategies, current equipment quotations, or revised tariff/export rules were introduced.</w:t>
      </w:r>
    </w:p>
    <w:p w14:paraId="2A28BA77">
      <w:pPr>
        <w:pStyle w:val="2"/>
        <w:rPr>
          <w:color w:val="000000" w:themeColor="text1"/>
          <w14:textFill>
            <w14:solidFill>
              <w14:schemeClr w14:val="tx1"/>
            </w14:solidFill>
          </w14:textFill>
        </w:rPr>
      </w:pPr>
      <w:bookmarkStart w:id="20" w:name="_Toc49565114"/>
      <w:r>
        <w:rPr>
          <w:color w:val="000000" w:themeColor="text1"/>
          <w14:textFill>
            <w14:solidFill>
              <w14:schemeClr w14:val="tx1"/>
            </w14:solidFill>
          </w14:textFill>
        </w:rPr>
        <w:t>7. Electricity-Cost Savings and Bill Impact</w:t>
      </w:r>
      <w:bookmarkEnd w:id="20"/>
    </w:p>
    <w:p w14:paraId="6732C4CF">
      <w:pPr>
        <w:pStyle w:val="3"/>
        <w:rPr>
          <w:color w:val="000000" w:themeColor="text1"/>
          <w14:textFill>
            <w14:solidFill>
              <w14:schemeClr w14:val="tx1"/>
            </w14:solidFill>
          </w14:textFill>
        </w:rPr>
      </w:pPr>
      <w:bookmarkStart w:id="21" w:name="_Toc1964699609"/>
      <w:r>
        <w:rPr>
          <w:color w:val="000000" w:themeColor="text1"/>
          <w14:textFill>
            <w14:solidFill>
              <w14:schemeClr w14:val="tx1"/>
            </w14:solidFill>
          </w14:textFill>
        </w:rPr>
        <w:t>7.1 Historical bill structure</w:t>
      </w:r>
      <w:bookmarkEnd w:id="21"/>
    </w:p>
    <w:p w14:paraId="61C2B40E">
      <w:pPr>
        <w:rPr>
          <w:color w:val="000000" w:themeColor="text1"/>
          <w14:textFill>
            <w14:solidFill>
              <w14:schemeClr w14:val="tx1"/>
            </w14:solidFill>
          </w14:textFill>
        </w:rPr>
      </w:pPr>
      <w:r>
        <w:rPr>
          <w:color w:val="000000" w:themeColor="text1"/>
          <w14:textFill>
            <w14:solidFill>
              <w14:schemeClr w14:val="tx1"/>
            </w14:solidFill>
          </w14:textFill>
        </w:rPr>
        <w:t xml:space="preserve">The two-account 12-period </w:t>
      </w:r>
      <w:r>
        <w:rPr>
          <w:rFonts w:hint="default" w:ascii="Times New Roman Bold" w:hAnsi="Times New Roman Bold" w:cs="Times New Roman Bold"/>
          <w:b/>
          <w:bCs/>
          <w:color w:val="000000" w:themeColor="text1"/>
          <w14:textFill>
            <w14:solidFill>
              <w14:schemeClr w14:val="tx1"/>
            </w14:solidFill>
          </w14:textFill>
        </w:rPr>
        <w:t>historical bill total</w:t>
      </w:r>
      <w:r>
        <w:rPr>
          <w:color w:val="000000" w:themeColor="text1"/>
          <w14:textFill>
            <w14:solidFill>
              <w14:schemeClr w14:val="tx1"/>
            </w14:solidFill>
          </w14:textFill>
        </w:rPr>
        <w:t xml:space="preserve"> is </w:t>
      </w:r>
      <w:r>
        <w:rPr>
          <w:rFonts w:hint="default" w:ascii="Times New Roman Bold" w:hAnsi="Times New Roman Bold" w:cs="Times New Roman Bold"/>
          <w:b/>
          <w:bCs/>
          <w:color w:val="000000" w:themeColor="text1"/>
          <w14:textFill>
            <w14:solidFill>
              <w14:schemeClr w14:val="tx1"/>
            </w14:solidFill>
          </w14:textFill>
        </w:rPr>
        <w:t>$286,732.11</w:t>
      </w:r>
      <w:r>
        <w:rPr>
          <w:color w:val="000000" w:themeColor="text1"/>
          <w14:textFill>
            <w14:solidFill>
              <w14:schemeClr w14:val="tx1"/>
            </w14:solidFill>
          </w14:textFill>
        </w:rPr>
        <w:t xml:space="preserve">. The workbook separates approximately $65,519.80 of extracted energy charges, $193,627.17 of extracted demand charges, and $27,585.14 of residual or other charges. The large </w:t>
      </w:r>
      <w:r>
        <w:rPr>
          <w:rFonts w:hint="default" w:ascii="Times New Roman Bold" w:hAnsi="Times New Roman Bold" w:cs="Times New Roman Bold"/>
          <w:b/>
          <w:bCs/>
          <w:color w:val="000000" w:themeColor="text1"/>
          <w14:textFill>
            <w14:solidFill>
              <w14:schemeClr w14:val="tx1"/>
            </w14:solidFill>
          </w14:textFill>
        </w:rPr>
        <w:t>demand-charg</w:t>
      </w:r>
      <w:r>
        <w:rPr>
          <w:color w:val="000000" w:themeColor="text1"/>
          <w14:textFill>
            <w14:solidFill>
              <w14:schemeClr w14:val="tx1"/>
            </w14:solidFill>
          </w14:textFill>
        </w:rPr>
        <w:t>e component is economically important because it creates a value stream for storage that is distinct from solar energy offset.</w:t>
      </w:r>
    </w:p>
    <w:p w14:paraId="41C6B8FA">
      <w:pPr>
        <w:pStyle w:val="3"/>
        <w:rPr>
          <w:color w:val="000000" w:themeColor="text1"/>
          <w14:textFill>
            <w14:solidFill>
              <w14:schemeClr w14:val="tx1"/>
            </w14:solidFill>
          </w14:textFill>
        </w:rPr>
      </w:pPr>
      <w:bookmarkStart w:id="22" w:name="_Toc997772191"/>
      <w:r>
        <w:rPr>
          <w:color w:val="000000" w:themeColor="text1"/>
          <w14:textFill>
            <w14:solidFill>
              <w14:schemeClr w14:val="tx1"/>
            </w14:solidFill>
          </w14:textFill>
        </w:rPr>
        <w:t>7.2 Modeled savings stack</w:t>
      </w:r>
      <w:bookmarkEnd w:id="22"/>
    </w:p>
    <w:p w14:paraId="7F357C1C">
      <w:pPr>
        <w:rPr>
          <w:color w:val="000000" w:themeColor="text1"/>
          <w14:textFill>
            <w14:solidFill>
              <w14:schemeClr w14:val="tx1"/>
            </w14:solidFill>
          </w14:textFill>
        </w:rPr>
      </w:pPr>
      <w:r>
        <w:rPr>
          <w:color w:val="000000" w:themeColor="text1"/>
          <w14:textFill>
            <w14:solidFill>
              <w14:schemeClr w14:val="tx1"/>
            </w14:solidFill>
          </w14:textFill>
        </w:rPr>
        <w:t xml:space="preserve">The project's modeled </w:t>
      </w:r>
      <w:r>
        <w:rPr>
          <w:rFonts w:hint="default" w:ascii="Times New Roman Bold" w:hAnsi="Times New Roman Bold" w:cs="Times New Roman Bold"/>
          <w:b/>
          <w:bCs/>
          <w:color w:val="000000" w:themeColor="text1"/>
          <w14:textFill>
            <w14:solidFill>
              <w14:schemeClr w14:val="tx1"/>
            </w14:solidFill>
          </w14:textFill>
        </w:rPr>
        <w:t>Year-1 savings</w:t>
      </w:r>
      <w:r>
        <w:rPr>
          <w:color w:val="000000" w:themeColor="text1"/>
          <w14:textFill>
            <w14:solidFill>
              <w14:schemeClr w14:val="tx1"/>
            </w14:solidFill>
          </w14:textFill>
        </w:rPr>
        <w:t xml:space="preserve"> are </w:t>
      </w:r>
      <w:r>
        <w:rPr>
          <w:rFonts w:hint="default" w:ascii="Times New Roman Bold" w:hAnsi="Times New Roman Bold" w:cs="Times New Roman Bold"/>
          <w:b/>
          <w:bCs/>
          <w:color w:val="000000" w:themeColor="text1"/>
          <w14:textFill>
            <w14:solidFill>
              <w14:schemeClr w14:val="tx1"/>
            </w14:solidFill>
          </w14:textFill>
        </w:rPr>
        <w:t>$106,305.62</w:t>
      </w:r>
      <w:r>
        <w:rPr>
          <w:color w:val="000000" w:themeColor="text1"/>
          <w14:textFill>
            <w14:solidFill>
              <w14:schemeClr w14:val="tx1"/>
            </w14:solidFill>
          </w14:textFill>
        </w:rPr>
        <w:t>. The largest components are PV energy savings of approximately $57,593.04 and demand-charge savings of $39,372.75. Additional modeled value comes from $4,327.20 of PV export value and $5,012.64 of grid-charging arbitrage. The resulting modeled annual bill is $180,426.49.</w:t>
      </w:r>
    </w:p>
    <w:p w14:paraId="7BF59CA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30226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17920" cy="3022600"/>
                    </a:xfrm>
                    <a:prstGeom prst="rect">
                      <a:avLst/>
                    </a:prstGeom>
                  </pic:spPr>
                </pic:pic>
              </a:graphicData>
            </a:graphic>
          </wp:inline>
        </w:drawing>
      </w:r>
    </w:p>
    <w:p w14:paraId="49337A31">
      <w:pPr>
        <w:pStyle w:val="166"/>
        <w:jc w:val="center"/>
        <w:rPr>
          <w:color w:val="000000" w:themeColor="text1"/>
          <w14:textFill>
            <w14:solidFill>
              <w14:schemeClr w14:val="tx1"/>
            </w14:solidFill>
          </w14:textFill>
        </w:rPr>
      </w:pPr>
      <w:r>
        <w:rPr>
          <w:color w:val="000000" w:themeColor="text1"/>
          <w14:textFill>
            <w14:solidFill>
              <w14:schemeClr w14:val="tx1"/>
            </w14:solidFill>
          </w14:textFill>
        </w:rPr>
        <w:t>Figure 3. Modeled Year-1 electricity savings by value stream. Values follow the project model.</w:t>
      </w:r>
    </w:p>
    <w:p w14:paraId="718DBF51">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3108960"/>
            <wp:effectExtent l="0" t="0" r="508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217920" cy="3108960"/>
                    </a:xfrm>
                    <a:prstGeom prst="rect">
                      <a:avLst/>
                    </a:prstGeom>
                  </pic:spPr>
                </pic:pic>
              </a:graphicData>
            </a:graphic>
          </wp:inline>
        </w:drawing>
      </w:r>
    </w:p>
    <w:p w14:paraId="5C37CEC6">
      <w:pPr>
        <w:pStyle w:val="166"/>
        <w:jc w:val="center"/>
        <w:rPr>
          <w:color w:val="000000" w:themeColor="text1"/>
          <w14:textFill>
            <w14:solidFill>
              <w14:schemeClr w14:val="tx1"/>
            </w14:solidFill>
          </w14:textFill>
        </w:rPr>
      </w:pPr>
      <w:r>
        <w:rPr>
          <w:color w:val="000000" w:themeColor="text1"/>
          <w14:textFill>
            <w14:solidFill>
              <w14:schemeClr w14:val="tx1"/>
            </w14:solidFill>
          </w14:textFill>
        </w:rPr>
        <w:t>Figure 4. Historical monthly electricity bills compared with the modeled post-project bills. Source: project proposal and workbook.</w:t>
      </w:r>
    </w:p>
    <w:p w14:paraId="5DDB3922">
      <w:pPr>
        <w:pStyle w:val="3"/>
        <w:rPr>
          <w:color w:val="000000" w:themeColor="text1"/>
          <w14:textFill>
            <w14:solidFill>
              <w14:schemeClr w14:val="tx1"/>
            </w14:solidFill>
          </w14:textFill>
        </w:rPr>
      </w:pPr>
      <w:bookmarkStart w:id="23" w:name="_Toc2004898361"/>
      <w:r>
        <w:rPr>
          <w:color w:val="000000" w:themeColor="text1"/>
          <w14:textFill>
            <w14:solidFill>
              <w14:schemeClr w14:val="tx1"/>
            </w14:solidFill>
          </w14:textFill>
        </w:rPr>
        <w:t>7.3 Grid-charging logic</w:t>
      </w:r>
      <w:bookmarkEnd w:id="23"/>
    </w:p>
    <w:p w14:paraId="59E7225E">
      <w:pPr>
        <w:rPr>
          <w:color w:val="000000" w:themeColor="text1"/>
          <w14:textFill>
            <w14:solidFill>
              <w14:schemeClr w14:val="tx1"/>
            </w14:solidFill>
          </w14:textFill>
        </w:rPr>
      </w:pPr>
      <w:r>
        <w:rPr>
          <w:color w:val="000000" w:themeColor="text1"/>
          <w14:textFill>
            <w14:solidFill>
              <w14:schemeClr w14:val="tx1"/>
            </w14:solidFill>
          </w14:textFill>
        </w:rPr>
        <w:t xml:space="preserve">The dispatch model allows </w:t>
      </w:r>
      <w:r>
        <w:rPr>
          <w:rFonts w:hint="default" w:ascii="Times New Roman Bold" w:hAnsi="Times New Roman Bold" w:cs="Times New Roman Bold"/>
          <w:b/>
          <w:bCs/>
          <w:color w:val="000000" w:themeColor="text1"/>
          <w14:textFill>
            <w14:solidFill>
              <w14:schemeClr w14:val="tx1"/>
            </w14:solidFill>
          </w14:textFill>
        </w:rPr>
        <w:t>grid charging</w:t>
      </w:r>
      <w:r>
        <w:rPr>
          <w:color w:val="000000" w:themeColor="text1"/>
          <w14:textFill>
            <w14:solidFill>
              <w14:schemeClr w14:val="tx1"/>
            </w14:solidFill>
          </w14:textFill>
        </w:rPr>
        <w:t xml:space="preserve"> when PV is insufficient and the TOU price spread supports arbitrage. In summer, the conceptual sequence is </w:t>
      </w:r>
      <w:r>
        <w:rPr>
          <w:rFonts w:hint="default" w:ascii="Times New Roman Bold" w:hAnsi="Times New Roman Bold" w:cs="Times New Roman Bold"/>
          <w:b/>
          <w:bCs/>
          <w:color w:val="000000" w:themeColor="text1"/>
          <w14:textFill>
            <w14:solidFill>
              <w14:schemeClr w14:val="tx1"/>
            </w14:solidFill>
          </w14:textFill>
        </w:rPr>
        <w:t>Off-Peak charging</w:t>
      </w:r>
      <w:r>
        <w:rPr>
          <w:color w:val="000000" w:themeColor="text1"/>
          <w14:textFill>
            <w14:solidFill>
              <w14:schemeClr w14:val="tx1"/>
            </w14:solidFill>
          </w14:textFill>
        </w:rPr>
        <w:t xml:space="preserve"> followed by </w:t>
      </w:r>
      <w:r>
        <w:rPr>
          <w:rFonts w:hint="default" w:ascii="Times New Roman Bold" w:hAnsi="Times New Roman Bold" w:cs="Times New Roman Bold"/>
          <w:b/>
          <w:bCs/>
          <w:color w:val="000000" w:themeColor="text1"/>
          <w14:textFill>
            <w14:solidFill>
              <w14:schemeClr w14:val="tx1"/>
            </w14:solidFill>
          </w14:textFill>
        </w:rPr>
        <w:t>On-Peak discharge</w:t>
      </w:r>
      <w:r>
        <w:rPr>
          <w:color w:val="000000" w:themeColor="text1"/>
          <w14:textFill>
            <w14:solidFill>
              <w14:schemeClr w14:val="tx1"/>
            </w14:solidFill>
          </w14:textFill>
        </w:rPr>
        <w:t xml:space="preserve">; in winter it is </w:t>
      </w:r>
      <w:r>
        <w:rPr>
          <w:rFonts w:hint="default" w:ascii="Times New Roman Bold" w:hAnsi="Times New Roman Bold" w:cs="Times New Roman Bold"/>
          <w:b/>
          <w:bCs/>
          <w:color w:val="000000" w:themeColor="text1"/>
          <w14:textFill>
            <w14:solidFill>
              <w14:schemeClr w14:val="tx1"/>
            </w14:solidFill>
          </w14:textFill>
        </w:rPr>
        <w:t>Super-Off-Peak charging</w:t>
      </w:r>
      <w:r>
        <w:rPr>
          <w:color w:val="000000" w:themeColor="text1"/>
          <w14:textFill>
            <w14:solidFill>
              <w14:schemeClr w14:val="tx1"/>
            </w14:solidFill>
          </w14:textFill>
        </w:rPr>
        <w:t xml:space="preserve"> followed by </w:t>
      </w:r>
      <w:r>
        <w:rPr>
          <w:rFonts w:hint="default" w:ascii="Times New Roman Bold" w:hAnsi="Times New Roman Bold" w:cs="Times New Roman Bold"/>
          <w:b/>
          <w:bCs/>
          <w:color w:val="000000" w:themeColor="text1"/>
          <w14:textFill>
            <w14:solidFill>
              <w14:schemeClr w14:val="tx1"/>
            </w14:solidFill>
          </w14:textFill>
        </w:rPr>
        <w:t>Mid-Peak discharge</w:t>
      </w:r>
      <w:r>
        <w:rPr>
          <w:color w:val="000000" w:themeColor="text1"/>
          <w14:textFill>
            <w14:solidFill>
              <w14:schemeClr w14:val="tx1"/>
            </w14:solidFill>
          </w14:textFill>
        </w:rPr>
        <w:t xml:space="preserve">. Annual modeled grid-charged delivered discharge is 20,349 kWh. With the model's discharge-efficiency treatment, grid input is approximately 22,610 kWh, producing about $7,090.54 of avoided high-price energy cost against $2,077.90 of charging cost, or </w:t>
      </w:r>
      <w:r>
        <w:rPr>
          <w:rFonts w:hint="default" w:ascii="Times New Roman Bold" w:hAnsi="Times New Roman Bold" w:cs="Times New Roman Bold"/>
          <w:b/>
          <w:bCs/>
          <w:color w:val="000000" w:themeColor="text1"/>
          <w14:textFill>
            <w14:solidFill>
              <w14:schemeClr w14:val="tx1"/>
            </w14:solidFill>
          </w14:textFill>
        </w:rPr>
        <w:t>$5,012.64</w:t>
      </w:r>
      <w:r>
        <w:rPr>
          <w:color w:val="000000" w:themeColor="text1"/>
          <w14:textFill>
            <w14:solidFill>
              <w14:schemeClr w14:val="tx1"/>
            </w14:solidFill>
          </w14:textFill>
        </w:rPr>
        <w:t xml:space="preserve"> of </w:t>
      </w:r>
      <w:r>
        <w:rPr>
          <w:rFonts w:hint="default" w:ascii="Times New Roman Bold" w:hAnsi="Times New Roman Bold" w:cs="Times New Roman Bold"/>
          <w:b/>
          <w:bCs/>
          <w:color w:val="000000" w:themeColor="text1"/>
          <w14:textFill>
            <w14:solidFill>
              <w14:schemeClr w14:val="tx1"/>
            </w14:solidFill>
          </w14:textFill>
        </w:rPr>
        <w:t>net modeled arbitrage value</w:t>
      </w:r>
      <w:r>
        <w:rPr>
          <w:color w:val="000000" w:themeColor="text1"/>
          <w14:textFill>
            <w14:solidFill>
              <w14:schemeClr w14:val="tx1"/>
            </w14:solidFill>
          </w14:textFill>
        </w:rPr>
        <w:t>. This is a bill-based screening calculation rather than an interval-optimized dispatch schedule.</w:t>
      </w:r>
    </w:p>
    <w:p w14:paraId="05494D0E">
      <w:pPr>
        <w:pStyle w:val="2"/>
        <w:rPr>
          <w:color w:val="000000" w:themeColor="text1"/>
          <w14:textFill>
            <w14:solidFill>
              <w14:schemeClr w14:val="tx1"/>
            </w14:solidFill>
          </w14:textFill>
        </w:rPr>
      </w:pPr>
      <w:bookmarkStart w:id="24" w:name="_Toc160848250"/>
      <w:r>
        <w:rPr>
          <w:color w:val="000000" w:themeColor="text1"/>
          <w14:textFill>
            <w14:solidFill>
              <w14:schemeClr w14:val="tx1"/>
            </w14:solidFill>
          </w14:textFill>
        </w:rPr>
        <w:t>8. Financial Evaluation</w:t>
      </w:r>
      <w:bookmarkEnd w:id="24"/>
    </w:p>
    <w:p w14:paraId="69D9DF29">
      <w:pPr>
        <w:pStyle w:val="3"/>
        <w:rPr>
          <w:color w:val="000000" w:themeColor="text1"/>
          <w14:textFill>
            <w14:solidFill>
              <w14:schemeClr w14:val="tx1"/>
            </w14:solidFill>
          </w14:textFill>
        </w:rPr>
      </w:pPr>
      <w:bookmarkStart w:id="25" w:name="_Toc1842109824"/>
      <w:r>
        <w:rPr>
          <w:color w:val="000000" w:themeColor="text1"/>
          <w14:textFill>
            <w14:solidFill>
              <w14:schemeClr w14:val="tx1"/>
            </w14:solidFill>
          </w14:textFill>
        </w:rPr>
        <w:t>8.1 Capital cost and modeled tax benefits</w:t>
      </w:r>
      <w:bookmarkEnd w:id="25"/>
    </w:p>
    <w:p w14:paraId="787AAD19">
      <w:pPr>
        <w:rPr>
          <w:color w:val="000000" w:themeColor="text1"/>
          <w14:textFill>
            <w14:solidFill>
              <w14:schemeClr w14:val="tx1"/>
            </w14:solidFill>
          </w14:textFill>
        </w:rPr>
      </w:pPr>
      <w:r>
        <w:rPr>
          <w:color w:val="000000" w:themeColor="text1"/>
          <w14:textFill>
            <w14:solidFill>
              <w14:schemeClr w14:val="tx1"/>
            </w14:solidFill>
          </w14:textFill>
        </w:rPr>
        <w:t xml:space="preserve">The proposal's </w:t>
      </w:r>
      <w:r>
        <w:rPr>
          <w:rFonts w:hint="default" w:ascii="Times New Roman Bold" w:hAnsi="Times New Roman Bold" w:cs="Times New Roman Bold"/>
          <w:b/>
          <w:bCs/>
          <w:color w:val="000000" w:themeColor="text1"/>
          <w14:textFill>
            <w14:solidFill>
              <w14:schemeClr w14:val="tx1"/>
            </w14:solidFill>
          </w14:textFill>
        </w:rPr>
        <w:t>gross project cost</w:t>
      </w:r>
      <w:r>
        <w:rPr>
          <w:color w:val="000000" w:themeColor="text1"/>
          <w14:textFill>
            <w14:solidFill>
              <w14:schemeClr w14:val="tx1"/>
            </w14:solidFill>
          </w14:textFill>
        </w:rPr>
        <w:t xml:space="preserve"> is </w:t>
      </w:r>
      <w:r>
        <w:rPr>
          <w:rFonts w:hint="default" w:ascii="Times New Roman Bold" w:hAnsi="Times New Roman Bold" w:cs="Times New Roman Bold"/>
          <w:b/>
          <w:bCs/>
          <w:color w:val="000000" w:themeColor="text1"/>
          <w14:textFill>
            <w14:solidFill>
              <w14:schemeClr w14:val="tx1"/>
            </w14:solidFill>
          </w14:textFill>
        </w:rPr>
        <w:t>$1,074,972.30</w:t>
      </w:r>
      <w:r>
        <w:rPr>
          <w:color w:val="000000" w:themeColor="text1"/>
          <w14:textFill>
            <w14:solidFill>
              <w14:schemeClr w14:val="tx1"/>
            </w14:solidFill>
          </w14:textFill>
        </w:rPr>
        <w:t xml:space="preserve">, consisting of $816,924.30 for PV and $258,048.00 for ESS under the historical internal cost assumptions embedded in the project model. The proposal models </w:t>
      </w:r>
      <w:r>
        <w:rPr>
          <w:rFonts w:hint="default" w:ascii="Times New Roman Bold" w:hAnsi="Times New Roman Bold" w:cs="Times New Roman Bold"/>
          <w:b/>
          <w:bCs/>
          <w:color w:val="000000" w:themeColor="text1"/>
          <w14:textFill>
            <w14:solidFill>
              <w14:schemeClr w14:val="tx1"/>
            </w14:solidFill>
          </w14:textFill>
        </w:rPr>
        <w:t>$682,607.41</w:t>
      </w:r>
      <w:r>
        <w:rPr>
          <w:color w:val="000000" w:themeColor="text1"/>
          <w14:textFill>
            <w14:solidFill>
              <w14:schemeClr w14:val="tx1"/>
            </w14:solidFill>
          </w14:textFill>
        </w:rPr>
        <w:t xml:space="preserve"> of total </w:t>
      </w:r>
      <w:r>
        <w:rPr>
          <w:rFonts w:hint="default" w:ascii="Times New Roman Bold" w:hAnsi="Times New Roman Bold" w:cs="Times New Roman Bold"/>
          <w:b/>
          <w:bCs/>
          <w:color w:val="000000" w:themeColor="text1"/>
          <w14:textFill>
            <w14:solidFill>
              <w14:schemeClr w14:val="tx1"/>
            </w14:solidFill>
          </w14:textFill>
        </w:rPr>
        <w:t>tax benefits and incentives</w:t>
      </w:r>
      <w:r>
        <w:rPr>
          <w:color w:val="000000" w:themeColor="text1"/>
          <w14:textFill>
            <w14:solidFill>
              <w14:schemeClr w14:val="tx1"/>
            </w14:solidFill>
          </w14:textFill>
        </w:rPr>
        <w:t xml:space="preserve">, reducing the modeled </w:t>
      </w:r>
      <w:r>
        <w:rPr>
          <w:rFonts w:hint="default" w:ascii="Times New Roman Bold" w:hAnsi="Times New Roman Bold" w:cs="Times New Roman Bold"/>
          <w:b/>
          <w:bCs/>
          <w:color w:val="000000" w:themeColor="text1"/>
          <w14:textFill>
            <w14:solidFill>
              <w14:schemeClr w14:val="tx1"/>
            </w14:solidFill>
          </w14:textFill>
        </w:rPr>
        <w:t>net economic cost</w:t>
      </w:r>
      <w:r>
        <w:rPr>
          <w:color w:val="000000" w:themeColor="text1"/>
          <w14:textFill>
            <w14:solidFill>
              <w14:schemeClr w14:val="tx1"/>
            </w14:solidFill>
          </w14:textFill>
        </w:rPr>
        <w:t xml:space="preserve"> to </w:t>
      </w:r>
      <w:r>
        <w:rPr>
          <w:rFonts w:hint="default" w:ascii="Times New Roman Bold" w:hAnsi="Times New Roman Bold" w:cs="Times New Roman Bold"/>
          <w:b/>
          <w:bCs/>
          <w:color w:val="000000" w:themeColor="text1"/>
          <w14:textFill>
            <w14:solidFill>
              <w14:schemeClr w14:val="tx1"/>
            </w14:solidFill>
          </w14:textFill>
        </w:rPr>
        <w:t>$392,364.89</w:t>
      </w:r>
      <w:r>
        <w:rPr>
          <w:color w:val="000000" w:themeColor="text1"/>
          <w14:textFill>
            <w14:solidFill>
              <w14:schemeClr w14:val="tx1"/>
            </w14:solidFill>
          </w14:textFill>
        </w:rPr>
        <w:t xml:space="preserve">. These figures are </w:t>
      </w:r>
      <w:r>
        <w:rPr>
          <w:rFonts w:hint="default" w:ascii="Times New Roman Bold" w:hAnsi="Times New Roman Bold" w:cs="Times New Roman Bold"/>
          <w:b/>
          <w:bCs/>
          <w:color w:val="000000" w:themeColor="text1"/>
          <w14:textFill>
            <w14:solidFill>
              <w14:schemeClr w14:val="tx1"/>
            </w14:solidFill>
          </w14:textFill>
        </w:rPr>
        <w:t>proposal-case</w:t>
      </w:r>
      <w:r>
        <w:rPr>
          <w:color w:val="000000" w:themeColor="text1"/>
          <w14:textFill>
            <w14:solidFill>
              <w14:schemeClr w14:val="tx1"/>
            </w14:solidFill>
          </w14:textFill>
        </w:rPr>
        <w:t xml:space="preserve"> financial assumptions, not current quotations or tax advice.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6D7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40863B6A">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Financial item</w:t>
            </w:r>
          </w:p>
        </w:tc>
        <w:tc>
          <w:tcPr>
            <w:tcW w:w="4896" w:type="dxa"/>
            <w:vAlign w:val="center"/>
          </w:tcPr>
          <w:p w14:paraId="4B941E2D">
            <w:pP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Proposal model</w:t>
            </w:r>
          </w:p>
        </w:tc>
      </w:tr>
      <w:tr w14:paraId="7BCC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2CE13046">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Gross project cost</w:t>
            </w:r>
          </w:p>
        </w:tc>
        <w:tc>
          <w:tcPr>
            <w:tcW w:w="4896" w:type="dxa"/>
            <w:vAlign w:val="center"/>
          </w:tcPr>
          <w:p w14:paraId="2F7FC51F">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$1,074,972</w:t>
            </w:r>
          </w:p>
        </w:tc>
      </w:tr>
      <w:tr w14:paraId="0B16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B1AF266">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PV cost</w:t>
            </w:r>
          </w:p>
        </w:tc>
        <w:tc>
          <w:tcPr>
            <w:tcW w:w="4896" w:type="dxa"/>
            <w:vAlign w:val="center"/>
          </w:tcPr>
          <w:p w14:paraId="6855A05A">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$816,924</w:t>
            </w:r>
          </w:p>
        </w:tc>
      </w:tr>
      <w:tr w14:paraId="1448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5697552E">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ESS cost</w:t>
            </w:r>
          </w:p>
        </w:tc>
        <w:tc>
          <w:tcPr>
            <w:tcW w:w="4896" w:type="dxa"/>
            <w:vAlign w:val="center"/>
          </w:tcPr>
          <w:p w14:paraId="1AF5A83B">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$258,048</w:t>
            </w:r>
          </w:p>
        </w:tc>
      </w:tr>
      <w:tr w14:paraId="4812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3188689E">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Federal tax credit modeled</w:t>
            </w:r>
          </w:p>
        </w:tc>
        <w:tc>
          <w:tcPr>
            <w:tcW w:w="4896" w:type="dxa"/>
            <w:vAlign w:val="center"/>
          </w:tcPr>
          <w:p w14:paraId="6B4D7982">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$322,492</w:t>
            </w:r>
          </w:p>
        </w:tc>
      </w:tr>
      <w:tr w14:paraId="4DEA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F226E05">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Federal depreciation tax benefit modeled</w:t>
            </w:r>
          </w:p>
        </w:tc>
        <w:tc>
          <w:tcPr>
            <w:tcW w:w="4896" w:type="dxa"/>
            <w:vAlign w:val="center"/>
          </w:tcPr>
          <w:p w14:paraId="7D0961DF">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$274,118</w:t>
            </w:r>
          </w:p>
        </w:tc>
      </w:tr>
      <w:tr w14:paraId="0082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B593A10">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California depreciation tax benefit modeled</w:t>
            </w:r>
          </w:p>
        </w:tc>
        <w:tc>
          <w:tcPr>
            <w:tcW w:w="4896" w:type="dxa"/>
            <w:vAlign w:val="center"/>
          </w:tcPr>
          <w:p w14:paraId="48C69A99">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$85,998</w:t>
            </w:r>
          </w:p>
        </w:tc>
      </w:tr>
      <w:tr w14:paraId="032B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48AFA47C">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Total modeled tax benefits / incentives</w:t>
            </w:r>
          </w:p>
        </w:tc>
        <w:tc>
          <w:tcPr>
            <w:tcW w:w="4896" w:type="dxa"/>
            <w:vAlign w:val="center"/>
          </w:tcPr>
          <w:p w14:paraId="5B2C2B17">
            <w:pP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$682,607</w:t>
            </w:r>
          </w:p>
        </w:tc>
      </w:tr>
      <w:tr w14:paraId="3FAE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6269DE31">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Net economic cost after modeled benefits</w:t>
            </w:r>
          </w:p>
        </w:tc>
        <w:tc>
          <w:tcPr>
            <w:tcW w:w="4896" w:type="dxa"/>
            <w:vAlign w:val="center"/>
          </w:tcPr>
          <w:p w14:paraId="774DA350">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sz w:val="18"/>
                <w14:textFill>
                  <w14:solidFill>
                    <w14:schemeClr w14:val="tx1"/>
                  </w14:solidFill>
                </w14:textFill>
              </w:rPr>
              <w:t>$392,365</w:t>
            </w:r>
          </w:p>
        </w:tc>
      </w:tr>
    </w:tbl>
    <w:p w14:paraId="5701CC38">
      <w:pPr>
        <w:rPr>
          <w:color w:val="000000" w:themeColor="text1"/>
          <w14:textFill>
            <w14:solidFill>
              <w14:schemeClr w14:val="tx1"/>
            </w14:solidFill>
          </w14:textFill>
        </w:rPr>
      </w:pPr>
    </w:p>
    <w:p w14:paraId="053AD4DF">
      <w:pPr>
        <w:pStyle w:val="3"/>
        <w:rPr>
          <w:color w:val="000000" w:themeColor="text1"/>
          <w14:textFill>
            <w14:solidFill>
              <w14:schemeClr w14:val="tx1"/>
            </w14:solidFill>
          </w14:textFill>
        </w:rPr>
      </w:pPr>
      <w:bookmarkStart w:id="26" w:name="_Toc68073169"/>
      <w:r>
        <w:rPr>
          <w:color w:val="000000" w:themeColor="text1"/>
          <w14:textFill>
            <w14:solidFill>
              <w14:schemeClr w14:val="tx1"/>
            </w14:solidFill>
          </w14:textFill>
        </w:rPr>
        <w:t>8.2 Long-term financial performance</w:t>
      </w:r>
      <w:bookmarkEnd w:id="26"/>
    </w:p>
    <w:p w14:paraId="3F93D35C">
      <w:pPr>
        <w:rPr>
          <w:color w:val="000000" w:themeColor="text1"/>
          <w14:textFill>
            <w14:solidFill>
              <w14:schemeClr w14:val="tx1"/>
            </w14:solidFill>
          </w14:textFill>
        </w:rPr>
      </w:pPr>
      <w:r>
        <w:rPr>
          <w:color w:val="000000" w:themeColor="text1"/>
          <w14:textFill>
            <w14:solidFill>
              <w14:schemeClr w14:val="tx1"/>
            </w14:solidFill>
          </w14:textFill>
        </w:rPr>
        <w:t xml:space="preserve">Using the proposal's </w:t>
      </w:r>
      <w:r>
        <w:rPr>
          <w:rFonts w:hint="default" w:ascii="Times New Roman Bold" w:hAnsi="Times New Roman Bold" w:cs="Times New Roman Bold"/>
          <w:b/>
          <w:bCs/>
          <w:color w:val="000000" w:themeColor="text1"/>
          <w14:textFill>
            <w14:solidFill>
              <w14:schemeClr w14:val="tx1"/>
            </w14:solidFill>
          </w14:textFill>
        </w:rPr>
        <w:t>30-year analysis horizon</w:t>
      </w:r>
      <w:r>
        <w:rPr>
          <w:color w:val="000000" w:themeColor="text1"/>
          <w14:textFill>
            <w14:solidFill>
              <w14:schemeClr w14:val="tx1"/>
            </w14:solidFill>
          </w14:textFill>
        </w:rPr>
        <w:t xml:space="preserve">, 5% discount rate, 3% annual electricity escalation assumption, and 0.8% annual PV degradation assumption, the model reports </w:t>
      </w:r>
      <w:r>
        <w:rPr>
          <w:rFonts w:hint="default" w:ascii="Times New Roman Bold" w:hAnsi="Times New Roman Bold" w:cs="Times New Roman Bold"/>
          <w:b/>
          <w:bCs/>
          <w:color w:val="000000" w:themeColor="text1"/>
          <w14:textFill>
            <w14:solidFill>
              <w14:schemeClr w14:val="tx1"/>
            </w14:solidFill>
          </w14:textFill>
        </w:rPr>
        <w:t>$4,694,064</w:t>
      </w:r>
      <w:r>
        <w:rPr>
          <w:color w:val="000000" w:themeColor="text1"/>
          <w14:textFill>
            <w14:solidFill>
              <w14:schemeClr w14:val="tx1"/>
            </w14:solidFill>
          </w14:textFill>
        </w:rPr>
        <w:t xml:space="preserve"> of c</w:t>
      </w:r>
      <w:r>
        <w:rPr>
          <w:rFonts w:hint="default" w:ascii="Times New Roman Bold" w:hAnsi="Times New Roman Bold" w:cs="Times New Roman Bold"/>
          <w:b/>
          <w:bCs/>
          <w:color w:val="000000" w:themeColor="text1"/>
          <w14:textFill>
            <w14:solidFill>
              <w14:schemeClr w14:val="tx1"/>
            </w14:solidFill>
          </w14:textFill>
        </w:rPr>
        <w:t>umulative 30-year electricity-bill savings</w:t>
      </w:r>
      <w:r>
        <w:rPr>
          <w:color w:val="000000" w:themeColor="text1"/>
          <w14:textFill>
            <w14:solidFill>
              <w14:schemeClr w14:val="tx1"/>
            </w14:solidFill>
          </w14:textFill>
        </w:rPr>
        <w:t xml:space="preserve">. The reported </w:t>
      </w:r>
      <w:r>
        <w:rPr>
          <w:rFonts w:hint="default" w:ascii="Times New Roman Bold" w:hAnsi="Times New Roman Bold" w:cs="Times New Roman Bold"/>
          <w:b/>
          <w:bCs/>
          <w:color w:val="000000" w:themeColor="text1"/>
          <w14:textFill>
            <w14:solidFill>
              <w14:schemeClr w14:val="tx1"/>
            </w14:solidFill>
          </w14:textFill>
        </w:rPr>
        <w:t>NPV</w:t>
      </w:r>
      <w:r>
        <w:rPr>
          <w:color w:val="000000" w:themeColor="text1"/>
          <w14:textFill>
            <w14:solidFill>
              <w14:schemeClr w14:val="tx1"/>
            </w14:solidFill>
          </w14:textFill>
        </w:rPr>
        <w:t xml:space="preserve"> is </w:t>
      </w:r>
      <w:r>
        <w:rPr>
          <w:rFonts w:hint="default" w:ascii="Times New Roman Bold" w:hAnsi="Times New Roman Bold" w:cs="Times New Roman Bold"/>
          <w:b/>
          <w:bCs/>
          <w:color w:val="000000" w:themeColor="text1"/>
          <w14:textFill>
            <w14:solidFill>
              <w14:schemeClr w14:val="tx1"/>
            </w14:solidFill>
          </w14:textFill>
        </w:rPr>
        <w:t>$1,757,719</w:t>
      </w:r>
      <w:r>
        <w:rPr>
          <w:color w:val="000000" w:themeColor="text1"/>
          <w14:textFill>
            <w14:solidFill>
              <w14:schemeClr w14:val="tx1"/>
            </w14:solidFill>
          </w14:textFill>
        </w:rPr>
        <w:t xml:space="preserve"> at a 5% discount rate, </w:t>
      </w:r>
      <w:r>
        <w:rPr>
          <w:rFonts w:hint="default" w:ascii="Times New Roman Bold" w:hAnsi="Times New Roman Bold" w:cs="Times New Roman Bold"/>
          <w:b/>
          <w:bCs/>
          <w:color w:val="000000" w:themeColor="text1"/>
          <w14:textFill>
            <w14:solidFill>
              <w14:schemeClr w14:val="tx1"/>
            </w14:solidFill>
          </w14:textFill>
        </w:rPr>
        <w:t>IRR is 21.5%</w:t>
      </w:r>
      <w:r>
        <w:rPr>
          <w:color w:val="000000" w:themeColor="text1"/>
          <w14:textFill>
            <w14:solidFill>
              <w14:schemeClr w14:val="tx1"/>
            </w14:solidFill>
          </w14:textFill>
        </w:rPr>
        <w:t xml:space="preserve">, and simple payback is approximately </w:t>
      </w:r>
      <w:r>
        <w:rPr>
          <w:rFonts w:hint="default" w:ascii="Times New Roman Bold" w:hAnsi="Times New Roman Bold" w:cs="Times New Roman Bold"/>
          <w:b/>
          <w:bCs/>
          <w:color w:val="000000" w:themeColor="text1"/>
          <w14:textFill>
            <w14:solidFill>
              <w14:schemeClr w14:val="tx1"/>
            </w14:solidFill>
          </w14:textFill>
        </w:rPr>
        <w:t>3.9 years</w:t>
      </w:r>
      <w:r>
        <w:rPr>
          <w:color w:val="000000" w:themeColor="text1"/>
          <w14:textFill>
            <w14:solidFill>
              <w14:schemeClr w14:val="tx1"/>
            </w14:solidFill>
          </w14:textFill>
        </w:rPr>
        <w:t>. The proposal also reports a PV-generation LCOE proxy of approximately $0.016/kWh.</w:t>
      </w:r>
    </w:p>
    <w:p w14:paraId="32B634F8">
      <w:pPr>
        <w:rPr>
          <w:color w:val="000000" w:themeColor="text1"/>
          <w14:textFill>
            <w14:solidFill>
              <w14:schemeClr w14:val="tx1"/>
            </w14:solidFill>
          </w14:textFill>
        </w:rPr>
      </w:pPr>
      <w:r>
        <w:rPr>
          <w:color w:val="000000" w:themeColor="text1"/>
          <w14:textFill>
            <w14:solidFill>
              <w14:schemeClr w14:val="tx1"/>
            </w14:solidFill>
          </w14:textFill>
        </w:rPr>
        <w:t>These financial outputs are best interpreted as an integrated proposal case rather than independent empirical estimates. They inherit the uncertainty of the operating model: historical bill-derived tariff estimates, demand-shave feasibility, export value, battery dispatch, tax eligibility and timing, and long-run electricity-price assumptions. Their value is in showing how technical sizing decisions propagate into business economics and in supporting sensitivity and go/no-go discussions.</w:t>
      </w:r>
    </w:p>
    <w:p w14:paraId="153B8727">
      <w:pPr>
        <w:pStyle w:val="2"/>
        <w:rPr>
          <w:color w:val="000000" w:themeColor="text1"/>
          <w14:textFill>
            <w14:solidFill>
              <w14:schemeClr w14:val="tx1"/>
            </w14:solidFill>
          </w14:textFill>
        </w:rPr>
      </w:pPr>
      <w:bookmarkStart w:id="27" w:name="_Toc1644451179"/>
      <w:r>
        <w:rPr>
          <w:color w:val="000000" w:themeColor="text1"/>
          <w14:textFill>
            <w14:solidFill>
              <w14:schemeClr w14:val="tx1"/>
            </w14:solidFill>
          </w14:textFill>
        </w:rPr>
        <w:t>9. Environmental Benefits</w:t>
      </w:r>
      <w:bookmarkEnd w:id="27"/>
    </w:p>
    <w:p w14:paraId="324E11AC">
      <w:pPr>
        <w:rPr>
          <w:color w:val="000000" w:themeColor="text1"/>
          <w14:textFill>
            <w14:solidFill>
              <w14:schemeClr w14:val="tx1"/>
            </w14:solidFill>
          </w14:textFill>
        </w:rPr>
      </w:pPr>
      <w:r>
        <w:rPr>
          <w:color w:val="000000" w:themeColor="text1"/>
          <w14:textFill>
            <w14:solidFill>
              <w14:schemeClr w14:val="tx1"/>
            </w14:solidFill>
          </w14:textFill>
        </w:rPr>
        <w:t xml:space="preserve">The client-facing proposal reports the following </w:t>
      </w:r>
      <w:r>
        <w:rPr>
          <w:rFonts w:hint="default" w:ascii="Times New Roman Bold" w:hAnsi="Times New Roman Bold" w:cs="Times New Roman Bold"/>
          <w:b/>
          <w:bCs/>
          <w:color w:val="000000" w:themeColor="text1"/>
          <w14:textFill>
            <w14:solidFill>
              <w14:schemeClr w14:val="tx1"/>
            </w14:solidFill>
          </w14:textFill>
        </w:rPr>
        <w:t>20-year environmental equivalents</w:t>
      </w:r>
      <w:r>
        <w:rPr>
          <w:color w:val="000000" w:themeColor="text1"/>
          <w14:textFill>
            <w14:solidFill>
              <w14:schemeClr w14:val="tx1"/>
            </w14:solidFill>
          </w14:textFill>
        </w:rPr>
        <w:t xml:space="preserve">. These are proposal-level equivalency metrics rather than directly measured emissions reductions. They are useful for communicating </w:t>
      </w:r>
      <w:r>
        <w:rPr>
          <w:rFonts w:hint="default" w:ascii="Times New Roman Bold" w:hAnsi="Times New Roman Bold" w:cs="Times New Roman Bold"/>
          <w:b/>
          <w:bCs/>
          <w:color w:val="000000" w:themeColor="text1"/>
          <w14:textFill>
            <w14:solidFill>
              <w14:schemeClr w14:val="tx1"/>
            </w14:solidFill>
          </w14:textFill>
        </w:rPr>
        <w:t>sustainability implication</w:t>
      </w:r>
      <w:r>
        <w:rPr>
          <w:b/>
          <w:bCs/>
          <w:color w:val="000000" w:themeColor="text1"/>
          <w14:textFill>
            <w14:solidFill>
              <w14:schemeClr w14:val="tx1"/>
            </w14:solidFill>
          </w14:textFill>
        </w:rPr>
        <w:t xml:space="preserve">s </w:t>
      </w:r>
      <w:r>
        <w:rPr>
          <w:color w:val="000000" w:themeColor="text1"/>
          <w14:textFill>
            <w14:solidFill>
              <w14:schemeClr w14:val="tx1"/>
            </w14:solidFill>
          </w14:textFill>
        </w:rPr>
        <w:t>to nontechnical stakeholders, but the financial case in this report does not depend on monetizing these environmental benefits.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AEE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583CA618">
            <w:pP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Environmental Metric</w:t>
            </w:r>
          </w:p>
        </w:tc>
        <w:tc>
          <w:tcPr>
            <w:tcW w:w="4896" w:type="dxa"/>
            <w:vAlign w:val="center"/>
          </w:tcPr>
          <w:p w14:paraId="70B27DA2">
            <w:pP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20-Year Proposal Equivalent</w:t>
            </w:r>
          </w:p>
        </w:tc>
      </w:tr>
      <w:tr w14:paraId="0701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34FAF96">
            <w:pPr>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CO₂ offset</w:t>
            </w:r>
          </w:p>
        </w:tc>
        <w:tc>
          <w:tcPr>
            <w:tcW w:w="4896" w:type="dxa"/>
            <w:vAlign w:val="center"/>
          </w:tcPr>
          <w:p w14:paraId="7628B5CE">
            <w:pPr>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11,127 tons</w:t>
            </w:r>
          </w:p>
        </w:tc>
      </w:tr>
      <w:tr w14:paraId="3A93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14E48243">
            <w:pPr>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Vehicle miles equivalent</w:t>
            </w:r>
          </w:p>
        </w:tc>
        <w:tc>
          <w:tcPr>
            <w:tcW w:w="4896" w:type="dxa"/>
            <w:vAlign w:val="center"/>
          </w:tcPr>
          <w:p w14:paraId="275ECB87">
            <w:pPr>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25,298,775 miles</w:t>
            </w:r>
          </w:p>
        </w:tc>
      </w:tr>
      <w:tr w14:paraId="7FA5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23185774">
            <w:pPr>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Trees equivalent</w:t>
            </w:r>
          </w:p>
        </w:tc>
        <w:tc>
          <w:tcPr>
            <w:tcW w:w="4896" w:type="dxa"/>
            <w:vAlign w:val="center"/>
          </w:tcPr>
          <w:p w14:paraId="353212E5">
            <w:pPr>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166,899 trees</w:t>
            </w:r>
          </w:p>
        </w:tc>
      </w:tr>
    </w:tbl>
    <w:p w14:paraId="4CCBD9FA">
      <w:pPr>
        <w:pStyle w:val="2"/>
        <w:rPr>
          <w:color w:val="000000" w:themeColor="text1"/>
          <w14:textFill>
            <w14:solidFill>
              <w14:schemeClr w14:val="tx1"/>
            </w14:solidFill>
          </w14:textFill>
        </w:rPr>
      </w:pPr>
      <w:bookmarkStart w:id="28" w:name="_Toc176428563"/>
      <w:r>
        <w:rPr>
          <w:color w:val="000000" w:themeColor="text1"/>
          <w14:textFill>
            <w14:solidFill>
              <w14:schemeClr w14:val="tx1"/>
            </w14:solidFill>
          </w14:textFill>
        </w:rPr>
        <w:t>10. Business Interpretation and Project Impact</w:t>
      </w:r>
      <w:bookmarkEnd w:id="28"/>
    </w:p>
    <w:p w14:paraId="4CA59D78">
      <w:pPr>
        <w:pStyle w:val="3"/>
        <w:rPr>
          <w:color w:val="000000" w:themeColor="text1"/>
          <w14:textFill>
            <w14:solidFill>
              <w14:schemeClr w14:val="tx1"/>
            </w14:solidFill>
          </w14:textFill>
        </w:rPr>
      </w:pPr>
      <w:bookmarkStart w:id="29" w:name="_Toc1707425481"/>
      <w:r>
        <w:rPr>
          <w:color w:val="000000" w:themeColor="text1"/>
          <w14:textFill>
            <w14:solidFill>
              <w14:schemeClr w14:val="tx1"/>
            </w14:solidFill>
          </w14:textFill>
        </w:rPr>
        <w:t>10.1 Why the combined PV + ESS configuration creates value</w:t>
      </w:r>
      <w:bookmarkEnd w:id="29"/>
    </w:p>
    <w:p w14:paraId="19CE3E7C">
      <w:pPr>
        <w:rPr>
          <w:color w:val="000000" w:themeColor="text1"/>
          <w14:textFill>
            <w14:solidFill>
              <w14:schemeClr w14:val="tx1"/>
            </w14:solidFill>
          </w14:textFill>
        </w:rPr>
      </w:pPr>
      <w:r>
        <w:rPr>
          <w:color w:val="000000" w:themeColor="text1"/>
          <w14:textFill>
            <w14:solidFill>
              <w14:schemeClr w14:val="tx1"/>
            </w14:solidFill>
          </w14:textFill>
        </w:rPr>
        <w:t xml:space="preserve">The project economics arise from </w:t>
      </w:r>
      <w:r>
        <w:rPr>
          <w:rFonts w:hint="default" w:ascii="Times New Roman Bold" w:hAnsi="Times New Roman Bold" w:cs="Times New Roman Bold"/>
          <w:b/>
          <w:bCs/>
          <w:color w:val="000000" w:themeColor="text1"/>
          <w14:textFill>
            <w14:solidFill>
              <w14:schemeClr w14:val="tx1"/>
            </w14:solidFill>
          </w14:textFill>
        </w:rPr>
        <w:t>multiple mechanisms</w:t>
      </w:r>
      <w:r>
        <w:rPr>
          <w:color w:val="000000" w:themeColor="text1"/>
          <w14:textFill>
            <w14:solidFill>
              <w14:schemeClr w14:val="tx1"/>
            </w14:solidFill>
          </w14:textFill>
        </w:rPr>
        <w:t xml:space="preserve"> rather than a single savings source. </w:t>
      </w:r>
      <w:r>
        <w:rPr>
          <w:rFonts w:hint="default" w:ascii="Times New Roman Bold" w:hAnsi="Times New Roman Bold" w:cs="Times New Roman Bold"/>
          <w:b/>
          <w:bCs/>
          <w:color w:val="000000" w:themeColor="text1"/>
          <w14:textFill>
            <w14:solidFill>
              <w14:schemeClr w14:val="tx1"/>
            </w14:solidFill>
          </w14:textFill>
        </w:rPr>
        <w:t>PV primarily offsets purchased energy</w:t>
      </w:r>
      <w:r>
        <w:rPr>
          <w:color w:val="000000" w:themeColor="text1"/>
          <w14:textFill>
            <w14:solidFill>
              <w14:schemeClr w14:val="tx1"/>
            </w14:solidFill>
          </w14:textFill>
        </w:rPr>
        <w:t xml:space="preserve">, while </w:t>
      </w:r>
      <w:r>
        <w:rPr>
          <w:rFonts w:hint="default" w:ascii="Times New Roman Bold" w:hAnsi="Times New Roman Bold" w:cs="Times New Roman Bold"/>
          <w:b/>
          <w:bCs/>
          <w:color w:val="000000" w:themeColor="text1"/>
          <w14:textFill>
            <w14:solidFill>
              <w14:schemeClr w14:val="tx1"/>
            </w14:solidFill>
          </w14:textFill>
        </w:rPr>
        <w:t>storage addresses timing</w:t>
      </w:r>
      <w:r>
        <w:rPr>
          <w:color w:val="000000" w:themeColor="text1"/>
          <w14:textFill>
            <w14:solidFill>
              <w14:schemeClr w14:val="tx1"/>
            </w14:solidFill>
          </w14:textFill>
        </w:rPr>
        <w:t>: it can shift energy across TOU periods and reduce billed demand when dispatched at the appropriate peaks. This is consistent with commercial solar-plus-storage research, which finds that utility rate structure and demand charges materially influence storage economics. In this case, the historical bill decomposition makes that mechanism visible: demand charges form a large share of the observed bill, so a relatively modest 100-kW shave target produces a material modeled annual benefit.</w:t>
      </w:r>
    </w:p>
    <w:p w14:paraId="05F83AFF">
      <w:pPr>
        <w:pStyle w:val="3"/>
        <w:rPr>
          <w:color w:val="000000" w:themeColor="text1"/>
          <w14:textFill>
            <w14:solidFill>
              <w14:schemeClr w14:val="tx1"/>
            </w14:solidFill>
          </w14:textFill>
        </w:rPr>
      </w:pPr>
      <w:bookmarkStart w:id="30" w:name="_Toc2023567953"/>
      <w:r>
        <w:rPr>
          <w:color w:val="000000" w:themeColor="text1"/>
          <w14:textFill>
            <w14:solidFill>
              <w14:schemeClr w14:val="tx1"/>
            </w14:solidFill>
          </w14:textFill>
        </w:rPr>
        <w:t>10.2 Decision value of minimum-feasible sizing</w:t>
      </w:r>
      <w:bookmarkEnd w:id="30"/>
    </w:p>
    <w:p w14:paraId="6FC0426B">
      <w:pPr>
        <w:rPr>
          <w:color w:val="000000" w:themeColor="text1"/>
          <w14:textFill>
            <w14:solidFill>
              <w14:schemeClr w14:val="tx1"/>
            </w14:solidFill>
          </w14:textFill>
        </w:rPr>
      </w:pPr>
      <w:r>
        <w:rPr>
          <w:color w:val="000000" w:themeColor="text1"/>
          <w14:textFill>
            <w14:solidFill>
              <w14:schemeClr w14:val="tx1"/>
            </w14:solidFill>
          </w14:textFill>
        </w:rPr>
        <w:t xml:space="preserve">The </w:t>
      </w:r>
      <w:r>
        <w:rPr>
          <w:rFonts w:hint="default" w:ascii="Times New Roman Bold" w:hAnsi="Times New Roman Bold" w:cs="Times New Roman Bold"/>
          <w:b/>
          <w:bCs/>
          <w:color w:val="000000" w:themeColor="text1"/>
          <w14:textFill>
            <w14:solidFill>
              <w14:schemeClr w14:val="tx1"/>
            </w14:solidFill>
          </w14:textFill>
        </w:rPr>
        <w:t>scenario comparison</w:t>
      </w:r>
      <w:r>
        <w:rPr>
          <w:color w:val="000000" w:themeColor="text1"/>
          <w14:textFill>
            <w14:solidFill>
              <w14:schemeClr w14:val="tx1"/>
            </w14:solidFill>
          </w14:textFill>
        </w:rPr>
        <w:t xml:space="preserve"> shows the importance of defining the business objective before increasing system size. Larger configurations generate more energy and offer more storage, but they also require substantially more capital. Because the design constraint was annual PV coverage plus adequate peak-window storage, the 838-panel / two-unit configuration is preferred as the </w:t>
      </w:r>
      <w:r>
        <w:rPr>
          <w:rFonts w:hint="default" w:ascii="Times New Roman Bold" w:hAnsi="Times New Roman Bold" w:cs="Times New Roman Bold"/>
          <w:b/>
          <w:bCs/>
          <w:color w:val="000000" w:themeColor="text1"/>
          <w14:textFill>
            <w14:solidFill>
              <w14:schemeClr w14:val="tx1"/>
            </w14:solidFill>
          </w14:textFill>
        </w:rPr>
        <w:t>lowest-cost</w:t>
      </w:r>
      <w:r>
        <w:rPr>
          <w:color w:val="000000" w:themeColor="text1"/>
          <w14:textFill>
            <w14:solidFill>
              <w14:schemeClr w14:val="tx1"/>
            </w14:solidFill>
          </w14:textFill>
        </w:rPr>
        <w:t xml:space="preserve"> passing scenario. This is a practical capital-allocation result: more equipment is not automatically more economic when incremental savings do not keep pace with incremental cost.</w:t>
      </w:r>
    </w:p>
    <w:p w14:paraId="23E330CB">
      <w:pPr>
        <w:pStyle w:val="3"/>
        <w:rPr>
          <w:color w:val="000000" w:themeColor="text1"/>
          <w14:textFill>
            <w14:solidFill>
              <w14:schemeClr w14:val="tx1"/>
            </w14:solidFill>
          </w14:textFill>
        </w:rPr>
      </w:pPr>
      <w:bookmarkStart w:id="31" w:name="_Toc408068532"/>
      <w:r>
        <w:rPr>
          <w:color w:val="000000" w:themeColor="text1"/>
          <w14:textFill>
            <w14:solidFill>
              <w14:schemeClr w14:val="tx1"/>
            </w14:solidFill>
          </w14:textFill>
        </w:rPr>
        <w:t>10.3 Process and stakeholder implications</w:t>
      </w:r>
      <w:bookmarkEnd w:id="31"/>
    </w:p>
    <w:p w14:paraId="191CCB71">
      <w:pPr>
        <w:rPr>
          <w:color w:val="000000" w:themeColor="text1"/>
          <w14:textFill>
            <w14:solidFill>
              <w14:schemeClr w14:val="tx1"/>
            </w14:solidFill>
          </w14:textFill>
        </w:rPr>
      </w:pPr>
      <w:r>
        <w:rPr>
          <w:color w:val="000000" w:themeColor="text1"/>
          <w14:textFill>
            <w14:solidFill>
              <w14:schemeClr w14:val="tx1"/>
            </w14:solidFill>
          </w14:textFill>
        </w:rPr>
        <w:t xml:space="preserve">The project also illustrates a </w:t>
      </w:r>
      <w:r>
        <w:rPr>
          <w:rFonts w:hint="default" w:ascii="Times New Roman Bold" w:hAnsi="Times New Roman Bold" w:cs="Times New Roman Bold"/>
          <w:b/>
          <w:bCs/>
          <w:color w:val="000000" w:themeColor="text1"/>
          <w14:textFill>
            <w14:solidFill>
              <w14:schemeClr w14:val="tx1"/>
            </w14:solidFill>
          </w14:textFill>
        </w:rPr>
        <w:t>cross-functional workflow</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Utility data and customer bills</w:t>
      </w:r>
      <w:r>
        <w:rPr>
          <w:color w:val="000000" w:themeColor="text1"/>
          <w14:textFill>
            <w14:solidFill>
              <w14:schemeClr w14:val="tx1"/>
            </w14:solidFill>
          </w14:textFill>
        </w:rPr>
        <w:t xml:space="preserve"> establish the operating baseline; </w:t>
      </w:r>
      <w:r>
        <w:rPr>
          <w:rFonts w:hint="default" w:ascii="Times New Roman Bold" w:hAnsi="Times New Roman Bold" w:cs="Times New Roman Bold"/>
          <w:b/>
          <w:bCs/>
          <w:color w:val="000000" w:themeColor="text1"/>
          <w14:textFill>
            <w14:solidFill>
              <w14:schemeClr w14:val="tx1"/>
            </w14:solidFill>
          </w14:textFill>
        </w:rPr>
        <w:t>analytical sizing</w:t>
      </w:r>
      <w:r>
        <w:rPr>
          <w:color w:val="000000" w:themeColor="text1"/>
          <w14:textFill>
            <w14:solidFill>
              <w14:schemeClr w14:val="tx1"/>
            </w14:solidFill>
          </w14:textFill>
        </w:rPr>
        <w:t xml:space="preserve"> translates those records into candidate </w:t>
      </w:r>
      <w:r>
        <w:rPr>
          <w:rFonts w:hint="default" w:ascii="Times New Roman Bold" w:hAnsi="Times New Roman Bold" w:cs="Times New Roman Bold"/>
          <w:b/>
          <w:bCs/>
          <w:color w:val="000000" w:themeColor="text1"/>
          <w14:textFill>
            <w14:solidFill>
              <w14:schemeClr w14:val="tx1"/>
            </w14:solidFill>
          </w14:textFill>
        </w:rPr>
        <w:t>PV and ESS configurations</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engineering inputs</w:t>
      </w:r>
      <w:r>
        <w:rPr>
          <w:color w:val="000000" w:themeColor="text1"/>
          <w14:textFill>
            <w14:solidFill>
              <w14:schemeClr w14:val="tx1"/>
            </w14:solidFill>
          </w14:textFill>
        </w:rPr>
        <w:t xml:space="preserve"> constrain equipment and site feasibility; </w:t>
      </w:r>
      <w:r>
        <w:rPr>
          <w:rFonts w:hint="default" w:ascii="Times New Roman Bold" w:hAnsi="Times New Roman Bold" w:cs="Times New Roman Bold"/>
          <w:b/>
          <w:bCs/>
          <w:color w:val="000000" w:themeColor="text1"/>
          <w14:textFill>
            <w14:solidFill>
              <w14:schemeClr w14:val="tx1"/>
            </w14:solidFill>
          </w14:textFill>
        </w:rPr>
        <w:t>financial modeling</w:t>
      </w:r>
      <w:r>
        <w:rPr>
          <w:color w:val="000000" w:themeColor="text1"/>
          <w14:textFill>
            <w14:solidFill>
              <w14:schemeClr w14:val="tx1"/>
            </w14:solidFill>
          </w14:textFill>
        </w:rPr>
        <w:t xml:space="preserve"> converts technical outputs into investment metrics; and the </w:t>
      </w:r>
      <w:r>
        <w:rPr>
          <w:rFonts w:hint="default" w:ascii="Times New Roman Bold" w:hAnsi="Times New Roman Bold" w:cs="Times New Roman Bold"/>
          <w:b/>
          <w:bCs/>
          <w:color w:val="000000" w:themeColor="text1"/>
          <w14:textFill>
            <w14:solidFill>
              <w14:schemeClr w14:val="tx1"/>
            </w14:solidFill>
          </w14:textFill>
        </w:rPr>
        <w:t>final proposal</w:t>
      </w:r>
      <w:r>
        <w:rPr>
          <w:color w:val="000000" w:themeColor="text1"/>
          <w14:textFill>
            <w14:solidFill>
              <w14:schemeClr w14:val="tx1"/>
            </w14:solidFill>
          </w14:textFill>
        </w:rPr>
        <w:t xml:space="preserve"> communicates the result to a commercial decision maker. The analytical workbook therefore functions as an interface between customer information, engineering constraints, tariff economics, and management decision-making.</w:t>
      </w:r>
    </w:p>
    <w:p w14:paraId="22833B9C">
      <w:pPr>
        <w:pStyle w:val="2"/>
        <w:rPr>
          <w:color w:val="000000" w:themeColor="text1"/>
          <w14:textFill>
            <w14:solidFill>
              <w14:schemeClr w14:val="tx1"/>
            </w14:solidFill>
          </w14:textFill>
        </w:rPr>
      </w:pPr>
      <w:bookmarkStart w:id="32" w:name="_Toc1492532453"/>
      <w:r>
        <w:rPr>
          <w:color w:val="000000" w:themeColor="text1"/>
          <w14:textFill>
            <w14:solidFill>
              <w14:schemeClr w14:val="tx1"/>
            </w14:solidFill>
          </w14:textFill>
        </w:rPr>
        <w:t>11. Project Execution and Individual Contribution</w:t>
      </w:r>
      <w:bookmarkEnd w:id="32"/>
    </w:p>
    <w:p w14:paraId="3D971F9F">
      <w:pPr>
        <w:rPr>
          <w:color w:val="000000" w:themeColor="text1"/>
          <w14:textFill>
            <w14:solidFill>
              <w14:schemeClr w14:val="tx1"/>
            </w14:solidFill>
          </w14:textFill>
        </w:rPr>
      </w:pPr>
      <w:r>
        <w:rPr>
          <w:rFonts w:hint="default" w:ascii="Times New Roman Bold" w:hAnsi="Times New Roman Bold" w:cs="Times New Roman Bold"/>
          <w:b/>
          <w:bCs/>
          <w:color w:val="000000" w:themeColor="text1"/>
          <w14:textFill>
            <w14:solidFill>
              <w14:schemeClr w14:val="tx1"/>
            </w14:solidFill>
          </w14:textFill>
        </w:rPr>
        <w:t>The project combined analytical work with coordination across customer, engineering, and proposal-development activities.</w:t>
      </w:r>
      <w:r>
        <w:rPr>
          <w:color w:val="000000" w:themeColor="text1"/>
          <w14:textFill>
            <w14:solidFill>
              <w14:schemeClr w14:val="tx1"/>
            </w14:solidFill>
          </w14:textFill>
        </w:rPr>
        <w:t xml:space="preserve"> The</w:t>
      </w:r>
      <w:r>
        <w:rPr>
          <w:rFonts w:hint="default" w:ascii="Times New Roman Bold" w:hAnsi="Times New Roman Bold" w:cs="Times New Roman Bold"/>
          <w:b/>
          <w:bCs/>
          <w:color w:val="000000" w:themeColor="text1"/>
          <w14:textFill>
            <w14:solidFill>
              <w14:schemeClr w14:val="tx1"/>
            </w14:solidFill>
          </w14:textFill>
        </w:rPr>
        <w:t xml:space="preserve"> utility data</w:t>
      </w:r>
      <w:r>
        <w:rPr>
          <w:color w:val="000000" w:themeColor="text1"/>
          <w14:textFill>
            <w14:solidFill>
              <w14:schemeClr w14:val="tx1"/>
            </w14:solidFill>
          </w14:textFill>
        </w:rPr>
        <w:t xml:space="preserve"> were obtained from customer-provided account access and organized into a two-account historical baseline. Preliminary </w:t>
      </w:r>
      <w:r>
        <w:rPr>
          <w:rFonts w:hint="default" w:ascii="Times New Roman Bold" w:hAnsi="Times New Roman Bold" w:cs="Times New Roman Bold"/>
          <w:b/>
          <w:bCs/>
          <w:color w:val="000000" w:themeColor="text1"/>
          <w14:textFill>
            <w14:solidFill>
              <w14:schemeClr w14:val="tx1"/>
            </w14:solidFill>
          </w14:textFill>
        </w:rPr>
        <w:t>PV and ESS sizing</w:t>
      </w:r>
      <w:r>
        <w:rPr>
          <w:color w:val="000000" w:themeColor="text1"/>
          <w14:textFill>
            <w14:solidFill>
              <w14:schemeClr w14:val="tx1"/>
            </w14:solidFill>
          </w14:textFill>
        </w:rPr>
        <w:t xml:space="preserve">, the </w:t>
      </w:r>
      <w:r>
        <w:rPr>
          <w:rFonts w:hint="default" w:ascii="Times New Roman Bold" w:hAnsi="Times New Roman Bold" w:cs="Times New Roman Bold"/>
          <w:b/>
          <w:bCs/>
          <w:color w:val="000000" w:themeColor="text1"/>
          <w14:textFill>
            <w14:solidFill>
              <w14:schemeClr w14:val="tx1"/>
            </w14:solidFill>
          </w14:textFill>
        </w:rPr>
        <w:t>Excel calculation model</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component-level cost modeling</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Aurora modeling</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Energy Toolbase configuration</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financial assumptions</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iterative proposal preparation</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were performed</w:t>
      </w:r>
      <w:r>
        <w:rPr>
          <w:color w:val="000000" w:themeColor="text1"/>
          <w14:textFill>
            <w14:solidFill>
              <w14:schemeClr w14:val="tx1"/>
            </w14:solidFill>
          </w14:textFill>
        </w:rPr>
        <w:t xml:space="preserve"> as part of the project-management and proposal-development role. Engineering personnel conducted the site survey and authored the electrical single-line diagram; those outputs were coordinated and incorporated into subsequent proposal revisions. The Energy Toolbase calculation engine produced software outputs from configured project inputs and scenarios.</w:t>
      </w:r>
    </w:p>
    <w:p w14:paraId="29139A8B">
      <w:pPr>
        <w:rPr>
          <w:color w:val="000000" w:themeColor="text1"/>
          <w14:textFill>
            <w14:solidFill>
              <w14:schemeClr w14:val="tx1"/>
            </w14:solidFill>
          </w14:textFill>
        </w:rPr>
      </w:pPr>
      <w:r>
        <w:rPr>
          <w:color w:val="000000" w:themeColor="text1"/>
          <w14:textFill>
            <w14:solidFill>
              <w14:schemeClr w14:val="tx1"/>
            </w14:solidFill>
          </w14:textFill>
        </w:rPr>
        <w:t xml:space="preserve">This </w:t>
      </w:r>
      <w:r>
        <w:rPr>
          <w:rFonts w:hint="default" w:ascii="Times New Roman Bold" w:hAnsi="Times New Roman Bold" w:cs="Times New Roman Bold"/>
          <w:b/>
          <w:bCs/>
          <w:color w:val="000000" w:themeColor="text1"/>
          <w14:textFill>
            <w14:solidFill>
              <w14:schemeClr w14:val="tx1"/>
            </w14:solidFill>
          </w14:textFill>
        </w:rPr>
        <w:t>division of responsibility</w:t>
      </w:r>
      <w:r>
        <w:rPr>
          <w:color w:val="000000" w:themeColor="text1"/>
          <w14:textFill>
            <w14:solidFill>
              <w14:schemeClr w14:val="tx1"/>
            </w14:solidFill>
          </w14:textFill>
        </w:rPr>
        <w:t xml:space="preserve"> defines the scope of the work. The project demonstrates </w:t>
      </w:r>
      <w:r>
        <w:rPr>
          <w:rFonts w:hint="default" w:ascii="Times New Roman Bold" w:hAnsi="Times New Roman Bold" w:cs="Times New Roman Bold"/>
          <w:b/>
          <w:bCs/>
          <w:color w:val="000000" w:themeColor="text1"/>
          <w14:textFill>
            <w14:solidFill>
              <w14:schemeClr w14:val="tx1"/>
            </w14:solidFill>
          </w14:textFill>
        </w:rPr>
        <w:t>applied analytics</w:t>
      </w:r>
      <w:r>
        <w:rPr>
          <w:rFonts w:hint="default" w:ascii="Times New Roman" w:hAnsi="Times New Roman" w:cs="Times New Roman"/>
          <w:b w:val="0"/>
          <w:bCs w:val="0"/>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utility-data analysis</w:t>
      </w:r>
      <w:r>
        <w:rPr>
          <w:rFonts w:hint="default" w:ascii="Times New Roman" w:hAnsi="Times New Roman" w:cs="Times New Roman"/>
          <w:b w:val="0"/>
          <w:bCs w:val="0"/>
          <w:color w:val="000000" w:themeColor="text1"/>
          <w14:textFill>
            <w14:solidFill>
              <w14:schemeClr w14:val="tx1"/>
            </w14:solidFill>
          </w14:textFill>
        </w:rPr>
        <w:t>,</w:t>
      </w:r>
      <w:r>
        <w:rPr>
          <w:rFonts w:hint="default" w:ascii="Times New Roman Bold" w:hAnsi="Times New Roman Bold" w:cs="Times New Roman Bold"/>
          <w:b/>
          <w:bCs/>
          <w:color w:val="000000" w:themeColor="text1"/>
          <w14:textFill>
            <w14:solidFill>
              <w14:schemeClr w14:val="tx1"/>
            </w14:solidFill>
          </w14:textFill>
        </w:rPr>
        <w:t xml:space="preserve"> scenario design</w:t>
      </w:r>
      <w:r>
        <w:rPr>
          <w:rFonts w:hint="default" w:ascii="Times New Roman" w:hAnsi="Times New Roman" w:cs="Times New Roman"/>
          <w:b w:val="0"/>
          <w:bCs w:val="0"/>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techno-economic reasoning</w:t>
      </w:r>
      <w:r>
        <w:rPr>
          <w:rFonts w:hint="default" w:ascii="Times New Roman" w:hAnsi="Times New Roman" w:cs="Times New Roman"/>
          <w:b w:val="0"/>
          <w:bCs w:val="0"/>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cross-functional project coordination</w:t>
      </w:r>
      <w:r>
        <w:rPr>
          <w:color w:val="000000" w:themeColor="text1"/>
          <w14:textFill>
            <w14:solidFill>
              <w14:schemeClr w14:val="tx1"/>
            </w14:solidFill>
          </w14:textFill>
        </w:rPr>
        <w:t>.</w:t>
      </w:r>
    </w:p>
    <w:p w14:paraId="3309E204">
      <w:pPr>
        <w:pStyle w:val="2"/>
        <w:rPr>
          <w:color w:val="000000" w:themeColor="text1"/>
          <w14:textFill>
            <w14:solidFill>
              <w14:schemeClr w14:val="tx1"/>
            </w14:solidFill>
          </w14:textFill>
        </w:rPr>
      </w:pPr>
      <w:bookmarkStart w:id="33" w:name="_Toc236456964"/>
      <w:r>
        <w:rPr>
          <w:color w:val="000000" w:themeColor="text1"/>
          <w14:textFill>
            <w14:solidFill>
              <w14:schemeClr w14:val="tx1"/>
            </w14:solidFill>
          </w14:textFill>
        </w:rPr>
        <w:t>12. Limitations and Verification Requirements</w:t>
      </w:r>
      <w:bookmarkEnd w:id="33"/>
    </w:p>
    <w:p w14:paraId="06F76778">
      <w:pPr>
        <w:pStyle w:val="23"/>
        <w:rPr>
          <w:color w:val="000000" w:themeColor="text1"/>
          <w14:textFill>
            <w14:solidFill>
              <w14:schemeClr w14:val="tx1"/>
            </w14:solidFill>
          </w14:textFill>
        </w:rPr>
      </w:pPr>
      <w:r>
        <w:rPr>
          <w:color w:val="000000" w:themeColor="text1"/>
          <w14:textFill>
            <w14:solidFill>
              <w14:schemeClr w14:val="tx1"/>
            </w14:solidFill>
          </w14:textFill>
        </w:rPr>
        <w:t>The site max-demand indicator is the maximum of two account-level monthly peaks, not a simultaneous sum.</w:t>
      </w:r>
    </w:p>
    <w:p w14:paraId="4290DDFB">
      <w:pPr>
        <w:pStyle w:val="23"/>
        <w:rPr>
          <w:color w:val="000000" w:themeColor="text1"/>
          <w14:textFill>
            <w14:solidFill>
              <w14:schemeClr w14:val="tx1"/>
            </w14:solidFill>
          </w14:textFill>
        </w:rPr>
      </w:pPr>
      <w:r>
        <w:rPr>
          <w:color w:val="000000" w:themeColor="text1"/>
          <w14:textFill>
            <w14:solidFill>
              <w14:schemeClr w14:val="tx1"/>
            </w14:solidFill>
          </w14:textFill>
        </w:rPr>
        <w:t>Monthly PV production is compared with billing-cycle-ending-month load, so monthly surplus/deficit and self-consumption are proxies rather than interval-matched energy balances.</w:t>
      </w:r>
    </w:p>
    <w:p w14:paraId="4A2E7957">
      <w:pPr>
        <w:pStyle w:val="23"/>
        <w:rPr>
          <w:color w:val="000000" w:themeColor="text1"/>
          <w14:textFill>
            <w14:solidFill>
              <w14:schemeClr w14:val="tx1"/>
            </w14:solidFill>
          </w14:textFill>
        </w:rPr>
      </w:pPr>
      <w:r>
        <w:rPr>
          <w:color w:val="000000" w:themeColor="text1"/>
          <w14:textFill>
            <w14:solidFill>
              <w14:schemeClr w14:val="tx1"/>
            </w14:solidFill>
          </w14:textFill>
        </w:rPr>
        <w:t>Meter 1 May 2024 TOU detail is estimated from adjacent periods; its annual contribution is documented but its intra-month TOU composition is approximate.</w:t>
      </w:r>
    </w:p>
    <w:p w14:paraId="1B30ABB7">
      <w:pPr>
        <w:pStyle w:val="23"/>
        <w:rPr>
          <w:color w:val="000000" w:themeColor="text1"/>
          <w14:textFill>
            <w14:solidFill>
              <w14:schemeClr w14:val="tx1"/>
            </w14:solidFill>
          </w14:textFill>
        </w:rPr>
      </w:pPr>
      <w:r>
        <w:rPr>
          <w:color w:val="000000" w:themeColor="text1"/>
          <w14:textFill>
            <w14:solidFill>
              <w14:schemeClr w14:val="tx1"/>
            </w14:solidFill>
          </w14:textFill>
        </w:rPr>
        <w:t>The 100-kW AC PCS-per-unit value is a benchmark-based modeling assumption. The proposal therefore labels 200 kW as estimated AC.</w:t>
      </w:r>
    </w:p>
    <w:p w14:paraId="3BB30787">
      <w:pPr>
        <w:pStyle w:val="23"/>
        <w:rPr>
          <w:color w:val="000000" w:themeColor="text1"/>
          <w14:textFill>
            <w14:solidFill>
              <w14:schemeClr w14:val="tx1"/>
            </w14:solidFill>
          </w14:textFill>
        </w:rPr>
      </w:pPr>
      <w:r>
        <w:rPr>
          <w:color w:val="000000" w:themeColor="text1"/>
          <w14:textFill>
            <w14:solidFill>
              <w14:schemeClr w14:val="tx1"/>
            </w14:solidFill>
          </w14:textFill>
        </w:rPr>
        <w:t>The 100-kW demand-shave target is a proposal base case, not an optimized dispatch result. Real savings depend on the battery being available at the billing peaks.</w:t>
      </w:r>
    </w:p>
    <w:p w14:paraId="5BD04283">
      <w:pPr>
        <w:pStyle w:val="23"/>
        <w:rPr>
          <w:color w:val="000000" w:themeColor="text1"/>
          <w14:textFill>
            <w14:solidFill>
              <w14:schemeClr w14:val="tx1"/>
            </w14:solidFill>
          </w14:textFill>
        </w:rPr>
      </w:pPr>
      <w:r>
        <w:rPr>
          <w:color w:val="000000" w:themeColor="text1"/>
          <w14:textFill>
            <w14:solidFill>
              <w14:schemeClr w14:val="tx1"/>
            </w14:solidFill>
          </w14:textFill>
        </w:rPr>
        <w:t>Historical effective energy and demand rates are derived from the utility bills and should not be treated as current tariff quotations.</w:t>
      </w:r>
    </w:p>
    <w:p w14:paraId="325577CD">
      <w:pPr>
        <w:pStyle w:val="23"/>
        <w:rPr>
          <w:color w:val="000000" w:themeColor="text1"/>
          <w14:textFill>
            <w14:solidFill>
              <w14:schemeClr w14:val="tx1"/>
            </w14:solidFill>
          </w14:textFill>
        </w:rPr>
      </w:pPr>
      <w:r>
        <w:rPr>
          <w:color w:val="000000" w:themeColor="text1"/>
          <w14:textFill>
            <w14:solidFill>
              <w14:schemeClr w14:val="tx1"/>
            </w14:solidFill>
          </w14:textFill>
        </w:rPr>
        <w:t>PV export value, equipment costs, tax benefits, depreciation treatment, and incentive eligibility require current commercial and tax verification before investment.</w:t>
      </w:r>
    </w:p>
    <w:p w14:paraId="1E60C532">
      <w:pPr>
        <w:pStyle w:val="23"/>
        <w:rPr>
          <w:color w:val="000000" w:themeColor="text1"/>
          <w14:textFill>
            <w14:solidFill>
              <w14:schemeClr w14:val="tx1"/>
            </w14:solidFill>
          </w14:textFill>
        </w:rPr>
      </w:pPr>
      <w:r>
        <w:rPr>
          <w:color w:val="000000" w:themeColor="text1"/>
          <w14:textFill>
            <w14:solidFill>
              <w14:schemeClr w14:val="tx1"/>
            </w14:solidFill>
          </w14:textFill>
        </w:rPr>
        <w:t>The analysis does not establish that one ESS can reduce demand on both accounts; the proposal demand model uses Meter 2 as the economic basis, and final interconnection topology must be verified.</w:t>
      </w:r>
    </w:p>
    <w:p w14:paraId="2DECF18B">
      <w:pPr>
        <w:pStyle w:val="2"/>
        <w:rPr>
          <w:color w:val="000000" w:themeColor="text1"/>
          <w14:textFill>
            <w14:solidFill>
              <w14:schemeClr w14:val="tx1"/>
            </w14:solidFill>
          </w14:textFill>
        </w:rPr>
      </w:pPr>
      <w:bookmarkStart w:id="34" w:name="_Toc1287446998"/>
      <w:r>
        <w:rPr>
          <w:color w:val="000000" w:themeColor="text1"/>
          <w14:textFill>
            <w14:solidFill>
              <w14:schemeClr w14:val="tx1"/>
            </w14:solidFill>
          </w14:textFill>
        </w:rPr>
        <w:t>13. Conclusion</w:t>
      </w:r>
      <w:bookmarkEnd w:id="34"/>
    </w:p>
    <w:p w14:paraId="4207DC15">
      <w:pPr>
        <w:rPr>
          <w:color w:val="000000" w:themeColor="text1"/>
          <w14:textFill>
            <w14:solidFill>
              <w14:schemeClr w14:val="tx1"/>
            </w14:solidFill>
          </w14:textFill>
        </w:rPr>
      </w:pPr>
      <w:r>
        <w:rPr>
          <w:color w:val="000000" w:themeColor="text1"/>
          <w14:textFill>
            <w14:solidFill>
              <w14:schemeClr w14:val="tx1"/>
            </w14:solidFill>
          </w14:textFill>
        </w:rPr>
        <w:t>The</w:t>
      </w:r>
      <w:r>
        <w:rPr>
          <w:rFonts w:hint="default" w:ascii="Times New Roman Bold" w:hAnsi="Times New Roman Bold" w:cs="Times New Roman Bold"/>
          <w:b/>
          <w:bCs/>
          <w:color w:val="000000" w:themeColor="text1"/>
          <w14:textFill>
            <w14:solidFill>
              <w14:schemeClr w14:val="tx1"/>
            </w14:solidFill>
          </w14:textFill>
        </w:rPr>
        <w:t xml:space="preserve"> Barstow project</w:t>
      </w:r>
      <w:r>
        <w:rPr>
          <w:color w:val="000000" w:themeColor="text1"/>
          <w14:textFill>
            <w14:solidFill>
              <w14:schemeClr w14:val="tx1"/>
            </w14:solidFill>
          </w14:textFill>
        </w:rPr>
        <w:t xml:space="preserve"> demonstrates an </w:t>
      </w:r>
      <w:r>
        <w:rPr>
          <w:rFonts w:hint="default" w:ascii="Times New Roman Bold" w:hAnsi="Times New Roman Bold" w:cs="Times New Roman Bold"/>
          <w:b/>
          <w:bCs/>
          <w:color w:val="000000" w:themeColor="text1"/>
          <w14:textFill>
            <w14:solidFill>
              <w14:schemeClr w14:val="tx1"/>
            </w14:solidFill>
          </w14:textFill>
        </w:rPr>
        <w:t>end-to-end commercial analytics workflow</w:t>
      </w:r>
      <w:r>
        <w:rPr>
          <w:color w:val="000000" w:themeColor="text1"/>
          <w14:textFill>
            <w14:solidFill>
              <w14:schemeClr w14:val="tx1"/>
            </w14:solidFill>
          </w14:textFill>
        </w:rPr>
        <w:t xml:space="preserve"> for </w:t>
      </w:r>
      <w:r>
        <w:rPr>
          <w:rFonts w:hint="default" w:ascii="Times New Roman Bold" w:hAnsi="Times New Roman Bold" w:cs="Times New Roman Bold"/>
          <w:b/>
          <w:bCs/>
          <w:color w:val="000000" w:themeColor="text1"/>
          <w14:textFill>
            <w14:solidFill>
              <w14:schemeClr w14:val="tx1"/>
            </w14:solidFill>
          </w14:textFill>
        </w:rPr>
        <w:t>solar PV and battery storage</w:t>
      </w:r>
      <w:r>
        <w:rPr>
          <w:color w:val="000000" w:themeColor="text1"/>
          <w14:textFill>
            <w14:solidFill>
              <w14:schemeClr w14:val="tx1"/>
            </w14:solidFill>
          </w14:textFill>
        </w:rPr>
        <w:t xml:space="preserve">. Across the two utility accounts, annual electricity consumption is </w:t>
      </w:r>
      <w:r>
        <w:rPr>
          <w:b/>
          <w:bCs/>
          <w:color w:val="000000" w:themeColor="text1"/>
          <w14:textFill>
            <w14:solidFill>
              <w14:schemeClr w14:val="tx1"/>
            </w14:solidFill>
          </w14:textFill>
        </w:rPr>
        <w:t>7</w:t>
      </w:r>
      <w:r>
        <w:rPr>
          <w:rFonts w:hint="default" w:ascii="Times New Roman Bold" w:hAnsi="Times New Roman Bold" w:cs="Times New Roman Bold"/>
          <w:b/>
          <w:bCs/>
          <w:color w:val="000000" w:themeColor="text1"/>
          <w14:textFill>
            <w14:solidFill>
              <w14:schemeClr w14:val="tx1"/>
            </w14:solidFill>
          </w14:textFill>
        </w:rPr>
        <w:t>09,501 kWh</w:t>
      </w:r>
      <w:r>
        <w:rPr>
          <w:color w:val="000000" w:themeColor="text1"/>
          <w14:textFill>
            <w14:solidFill>
              <w14:schemeClr w14:val="tx1"/>
            </w14:solidFill>
          </w14:textFill>
        </w:rPr>
        <w:t xml:space="preserve">. The analysis identifies a minimum </w:t>
      </w:r>
      <w:r>
        <w:rPr>
          <w:rFonts w:hint="default" w:ascii="Times New Roman Bold" w:hAnsi="Times New Roman Bold" w:cs="Times New Roman Bold"/>
          <w:b/>
          <w:bCs/>
          <w:color w:val="000000" w:themeColor="text1"/>
          <w14:textFill>
            <w14:solidFill>
              <w14:schemeClr w14:val="tx1"/>
            </w14:solidFill>
          </w14:textFill>
        </w:rPr>
        <w:t xml:space="preserve">406.43-kW DC PV </w:t>
      </w:r>
      <w:r>
        <w:rPr>
          <w:rFonts w:hint="default" w:ascii="Times New Roman" w:hAnsi="Times New Roman" w:cs="Times New Roman"/>
          <w:b w:val="0"/>
          <w:bCs w:val="0"/>
          <w:color w:val="000000" w:themeColor="text1"/>
          <w14:textFill>
            <w14:solidFill>
              <w14:schemeClr w14:val="tx1"/>
            </w14:solidFill>
          </w14:textFill>
        </w:rPr>
        <w:t xml:space="preserve">configuration </w:t>
      </w:r>
      <w:r>
        <w:rPr>
          <w:color w:val="000000" w:themeColor="text1"/>
          <w14:textFill>
            <w14:solidFill>
              <w14:schemeClr w14:val="tx1"/>
            </w14:solidFill>
          </w14:textFill>
        </w:rPr>
        <w:t xml:space="preserve">that slightly exceeds annual load on a modeled basis and screens a </w:t>
      </w:r>
      <w:r>
        <w:rPr>
          <w:rFonts w:hint="default" w:ascii="Times New Roman Bold" w:hAnsi="Times New Roman Bold" w:cs="Times New Roman Bold"/>
          <w:b/>
          <w:bCs/>
          <w:color w:val="000000" w:themeColor="text1"/>
          <w14:textFill>
            <w14:solidFill>
              <w14:schemeClr w14:val="tx1"/>
            </w14:solidFill>
          </w14:textFill>
        </w:rPr>
        <w:t>two-unit 430.08-kWh ESS</w:t>
      </w:r>
      <w:r>
        <w:rPr>
          <w:color w:val="000000" w:themeColor="text1"/>
          <w14:textFill>
            <w14:solidFill>
              <w14:schemeClr w14:val="tx1"/>
            </w14:solidFill>
          </w14:textFill>
        </w:rPr>
        <w:t xml:space="preserve"> configuration driven by peak-window energy rather than the 100-kW power requirement alone. The resulting </w:t>
      </w:r>
      <w:r>
        <w:rPr>
          <w:rFonts w:hint="default" w:ascii="Times New Roman Bold" w:hAnsi="Times New Roman Bold" w:cs="Times New Roman Bold"/>
          <w:b/>
          <w:bCs/>
          <w:color w:val="000000" w:themeColor="text1"/>
          <w14:textFill>
            <w14:solidFill>
              <w14:schemeClr w14:val="tx1"/>
            </w14:solidFill>
          </w14:textFill>
        </w:rPr>
        <w:t xml:space="preserve">proposal </w:t>
      </w:r>
      <w:r>
        <w:rPr>
          <w:color w:val="000000" w:themeColor="text1"/>
          <w14:textFill>
            <w14:solidFill>
              <w14:schemeClr w14:val="tx1"/>
            </w14:solidFill>
          </w14:textFill>
        </w:rPr>
        <w:t xml:space="preserve">combines energy offset, demand reduction, export value, and TOU arbitrage into a modeled Year-1 savings estimate of </w:t>
      </w:r>
      <w:r>
        <w:rPr>
          <w:rFonts w:hint="default" w:ascii="Times New Roman Bold" w:hAnsi="Times New Roman Bold" w:cs="Times New Roman Bold"/>
          <w:b/>
          <w:bCs/>
          <w:color w:val="000000" w:themeColor="text1"/>
          <w14:textFill>
            <w14:solidFill>
              <w14:schemeClr w14:val="tx1"/>
            </w14:solidFill>
          </w14:textFill>
        </w:rPr>
        <w:t>$106,305.62</w:t>
      </w:r>
      <w:r>
        <w:rPr>
          <w:color w:val="000000" w:themeColor="text1"/>
          <w14:textFill>
            <w14:solidFill>
              <w14:schemeClr w14:val="tx1"/>
            </w14:solidFill>
          </w14:textFill>
        </w:rPr>
        <w:t>.</w:t>
      </w:r>
    </w:p>
    <w:p w14:paraId="030AB92C">
      <w:pPr>
        <w:rPr>
          <w:color w:val="000000" w:themeColor="text1"/>
          <w14:textFill>
            <w14:solidFill>
              <w14:schemeClr w14:val="tx1"/>
            </w14:solidFill>
          </w14:textFill>
        </w:rPr>
      </w:pPr>
      <w:r>
        <w:rPr>
          <w:color w:val="000000" w:themeColor="text1"/>
          <w14:textFill>
            <w14:solidFill>
              <w14:schemeClr w14:val="tx1"/>
            </w14:solidFill>
          </w14:textFill>
        </w:rPr>
        <w:t xml:space="preserve">The strongest contribution of the analysis is not any single headline metric but the explicit </w:t>
      </w:r>
      <w:r>
        <w:rPr>
          <w:rFonts w:hint="default" w:ascii="Times New Roman Bold" w:hAnsi="Times New Roman Bold" w:cs="Times New Roman Bold"/>
          <w:b/>
          <w:bCs/>
          <w:color w:val="000000" w:themeColor="text1"/>
          <w14:textFill>
            <w14:solidFill>
              <w14:schemeClr w14:val="tx1"/>
            </w14:solidFill>
          </w14:textFill>
        </w:rPr>
        <w:t>chain from historical operating data to system configuration and then to financial decision metrics</w:t>
      </w:r>
      <w:r>
        <w:rPr>
          <w:color w:val="000000" w:themeColor="text1"/>
          <w14:textFill>
            <w14:solidFill>
              <w14:schemeClr w14:val="tx1"/>
            </w14:solidFill>
          </w14:textFill>
        </w:rPr>
        <w:t xml:space="preserve">. The project also shows why evidence boundaries matter: verified utility data, product-source specifications, modeling assumptions, and derived outputs are separated rather than presented as equally certain. Under the proposal assumptions, the project produces a </w:t>
      </w:r>
      <w:r>
        <w:rPr>
          <w:rFonts w:hint="default" w:ascii="Times New Roman Bold" w:hAnsi="Times New Roman Bold" w:cs="Times New Roman Bold"/>
          <w:b/>
          <w:bCs/>
          <w:color w:val="000000" w:themeColor="text1"/>
          <w14:textFill>
            <w14:solidFill>
              <w14:schemeClr w14:val="tx1"/>
            </w14:solidFill>
          </w14:textFill>
        </w:rPr>
        <w:t>21.5% IRR</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$1.758 million NPV</w:t>
      </w:r>
      <w:r>
        <w:rPr>
          <w:color w:val="000000" w:themeColor="text1"/>
          <w14:textFill>
            <w14:solidFill>
              <w14:schemeClr w14:val="tx1"/>
            </w14:solidFill>
          </w14:textFill>
        </w:rPr>
        <w:t xml:space="preserve">, </w:t>
      </w:r>
      <w:r>
        <w:rPr>
          <w:rFonts w:hint="default" w:ascii="Times New Roman Bold" w:hAnsi="Times New Roman Bold" w:cs="Times New Roman Bold"/>
          <w:b/>
          <w:bCs/>
          <w:color w:val="000000" w:themeColor="text1"/>
          <w14:textFill>
            <w14:solidFill>
              <w14:schemeClr w14:val="tx1"/>
            </w14:solidFill>
          </w14:textFill>
        </w:rPr>
        <w:t>3.9-year payback</w:t>
      </w:r>
      <w:r>
        <w:rPr>
          <w:color w:val="000000" w:themeColor="text1"/>
          <w14:textFill>
            <w14:solidFill>
              <w14:schemeClr w14:val="tx1"/>
            </w14:solidFill>
          </w14:textFill>
        </w:rPr>
        <w:t xml:space="preserve">, and </w:t>
      </w:r>
      <w:r>
        <w:rPr>
          <w:rFonts w:hint="default" w:ascii="Times New Roman Bold" w:hAnsi="Times New Roman Bold" w:cs="Times New Roman Bold"/>
          <w:b/>
          <w:bCs/>
          <w:color w:val="000000" w:themeColor="text1"/>
          <w14:textFill>
            <w14:solidFill>
              <w14:schemeClr w14:val="tx1"/>
            </w14:solidFill>
          </w14:textFill>
        </w:rPr>
        <w:t>$4.694 million in 30-year bill savings</w:t>
      </w:r>
      <w:r>
        <w:rPr>
          <w:color w:val="000000" w:themeColor="text1"/>
          <w14:textFill>
            <w14:solidFill>
              <w14:schemeClr w14:val="tx1"/>
            </w14:solidFill>
          </w14:textFill>
        </w:rPr>
        <w:t>. Those results support further commercial and engineering development, while the documented limitations define what must be validated before final implementation.</w:t>
      </w:r>
    </w:p>
    <w:p w14:paraId="177C86CE">
      <w:pPr>
        <w:pStyle w:val="2"/>
        <w:rPr>
          <w:color w:val="000000" w:themeColor="text1"/>
          <w14:textFill>
            <w14:solidFill>
              <w14:schemeClr w14:val="tx1"/>
            </w14:solidFill>
          </w14:textFill>
        </w:rPr>
      </w:pPr>
      <w:bookmarkStart w:id="35" w:name="_Toc76468214"/>
      <w:r>
        <w:rPr>
          <w:color w:val="000000" w:themeColor="text1"/>
          <w14:textFill>
            <w14:solidFill>
              <w14:schemeClr w14:val="tx1"/>
            </w14:solidFill>
          </w14:textFill>
        </w:rPr>
        <w:t>References and Source Notes</w:t>
      </w:r>
      <w:bookmarkEnd w:id="35"/>
    </w:p>
    <w:p w14:paraId="0223AB77">
      <w:pPr>
        <w:rPr>
          <w:color w:val="000000" w:themeColor="text1"/>
          <w14:textFill>
            <w14:solidFill>
              <w14:schemeClr w14:val="tx1"/>
            </w14:solidFill>
          </w14:textFill>
        </w:rPr>
      </w:pPr>
      <w:r>
        <w:rPr>
          <w:color w:val="000000" w:themeColor="text1"/>
          <w14:textFill>
            <w14:solidFill>
              <w14:schemeClr w14:val="tx1"/>
            </w14:solidFill>
          </w14:textFill>
        </w:rPr>
        <w:t>Project-specific numerical data and results</w:t>
      </w:r>
    </w:p>
    <w:p w14:paraId="3406CB54">
      <w:pPr>
        <w:pStyle w:val="23"/>
        <w:rPr>
          <w:color w:val="000000" w:themeColor="text1"/>
          <w14:textFill>
            <w14:solidFill>
              <w14:schemeClr w14:val="tx1"/>
            </w14:solidFill>
          </w14:textFill>
        </w:rPr>
      </w:pPr>
      <w:r>
        <w:rPr>
          <w:color w:val="000000" w:themeColor="text1"/>
          <w14:textFill>
            <w14:solidFill>
              <w14:schemeClr w14:val="tx1"/>
            </w14:solidFill>
          </w14:textFill>
        </w:rPr>
        <w:t>Barstow_PV_ESS_Portfolio_Project.xlsx — project workbook used for the historical baseline, PV/ESS sizing, scenario comparison, demand-charge model, electricity-bill analysis, and financial calculations.</w:t>
      </w:r>
    </w:p>
    <w:p w14:paraId="28BEBE40">
      <w:pPr>
        <w:pStyle w:val="23"/>
        <w:rPr>
          <w:color w:val="000000" w:themeColor="text1"/>
          <w14:textFill>
            <w14:solidFill>
              <w14:schemeClr w14:val="tx1"/>
            </w14:solidFill>
          </w14:textFill>
        </w:rPr>
      </w:pPr>
      <w:r>
        <w:rPr>
          <w:color w:val="000000" w:themeColor="text1"/>
          <w14:textFill>
            <w14:solidFill>
              <w14:schemeClr w14:val="tx1"/>
            </w14:solidFill>
          </w14:textFill>
        </w:rPr>
        <w:t>Barstow_Proposal_Portfolio_Project.pdf — client-facing proposal used for proposal summary metrics, cash-flow presentation, and environmental-equivalency outputs.</w:t>
      </w:r>
    </w:p>
    <w:p w14:paraId="6C7923E5">
      <w:pPr>
        <w:rPr>
          <w:color w:val="000000" w:themeColor="text1"/>
          <w14:textFill>
            <w14:solidFill>
              <w14:schemeClr w14:val="tx1"/>
            </w14:solidFill>
          </w14:textFill>
        </w:rPr>
      </w:pPr>
      <w:r>
        <w:rPr>
          <w:color w:val="000000" w:themeColor="text1"/>
          <w14:textFill>
            <w14:solidFill>
              <w14:schemeClr w14:val="tx1"/>
            </w14:solidFill>
          </w14:textFill>
        </w:rPr>
        <w:t>External methodological context</w:t>
      </w:r>
    </w:p>
    <w:p w14:paraId="42EF29C3">
      <w:pPr>
        <w:pStyle w:val="23"/>
        <w:rPr>
          <w:color w:val="000000" w:themeColor="text1"/>
          <w14:textFill>
            <w14:solidFill>
              <w14:schemeClr w14:val="tx1"/>
            </w14:solidFill>
          </w14:textFill>
        </w:rPr>
      </w:pPr>
      <w:r>
        <w:rPr>
          <w:color w:val="000000" w:themeColor="text1"/>
          <w14:textFill>
            <w14:solidFill>
              <w14:schemeClr w14:val="tx1"/>
            </w14:solidFill>
          </w14:textFill>
        </w:rPr>
        <w:t>National Renewable Energy Laboratory / National Laboratory of the Rockies. Solar-Plus-Storage Analysis. Used for conceptual context on distributed PV + storage, energy shifting, demand reduction, and customer economics.</w:t>
      </w:r>
    </w:p>
    <w:p w14:paraId="7EF40752">
      <w:pPr>
        <w:pStyle w:val="23"/>
        <w:rPr>
          <w:color w:val="000000" w:themeColor="text1"/>
          <w14:textFill>
            <w14:solidFill>
              <w14:schemeClr w14:val="tx1"/>
            </w14:solidFill>
          </w14:textFill>
        </w:rPr>
      </w:pPr>
      <w:r>
        <w:rPr>
          <w:color w:val="000000" w:themeColor="text1"/>
          <w14:textFill>
            <w14:solidFill>
              <w14:schemeClr w14:val="tx1"/>
            </w14:solidFill>
          </w14:textFill>
        </w:rPr>
        <w:t>McLaren, J., Anderson, K., Miller, H., Bloom, A., &amp; DiOrio, N. Solar-plus-storage economics: What works where, and why? Used for contextual framing of commercial behind-the-meter economics and tariff/load drivers.</w:t>
      </w:r>
    </w:p>
    <w:p w14:paraId="1A447700">
      <w:pPr>
        <w:pStyle w:val="23"/>
        <w:rPr>
          <w:color w:val="000000" w:themeColor="text1"/>
          <w14:textFill>
            <w14:solidFill>
              <w14:schemeClr w14:val="tx1"/>
            </w14:solidFill>
          </w14:textFill>
        </w:rPr>
      </w:pPr>
      <w:r>
        <w:rPr>
          <w:color w:val="000000" w:themeColor="text1"/>
          <w14:textFill>
            <w14:solidFill>
              <w14:schemeClr w14:val="tx1"/>
            </w14:solidFill>
          </w14:textFill>
        </w:rPr>
        <w:t>U.S. Department of Energy Better Buildings. Energy Storage resources and commercial case-study materials. Used for professional case-study framing and business-value context.</w:t>
      </w:r>
    </w:p>
    <w:p w14:paraId="0C85101A">
      <w:pPr>
        <w:pStyle w:val="23"/>
        <w:rPr>
          <w:color w:val="000000" w:themeColor="text1"/>
          <w14:textFill>
            <w14:solidFill>
              <w14:schemeClr w14:val="tx1"/>
            </w14:solidFill>
          </w14:textFill>
        </w:rPr>
      </w:pPr>
      <w:r>
        <w:rPr>
          <w:color w:val="000000" w:themeColor="text1"/>
          <w14:textFill>
            <w14:solidFill>
              <w14:schemeClr w14:val="tx1"/>
            </w14:solidFill>
          </w14:textFill>
        </w:rPr>
        <w:t>NREL Solar Techno-Economic Analysis tutorials. Used for methodological context on project pro forma analysis, LCOE, IRR, and cost modeling.</w:t>
      </w:r>
    </w:p>
    <w:p w14:paraId="04FD216C">
      <w:pPr>
        <w:rPr>
          <w:color w:val="000000" w:themeColor="text1"/>
          <w14:textFill>
            <w14:solidFill>
              <w14:schemeClr w14:val="tx1"/>
            </w14:solidFill>
          </w14:textFill>
        </w:rPr>
      </w:pPr>
      <w:r>
        <w:rPr>
          <w:color w:val="000000" w:themeColor="text1"/>
          <w14:textFill>
            <w14:solidFill>
              <w14:schemeClr w14:val="tx1"/>
            </w14:solidFill>
          </w14:textFill>
        </w:rPr>
        <w:t>Note: External references were used to inform report structure and general methodological framing. No Barstow-specific numerical result was imported from an exte</w:t>
      </w:r>
      <w:bookmarkStart w:id="36" w:name="_GoBack"/>
      <w:bookmarkEnd w:id="36"/>
      <w:r>
        <w:rPr>
          <w:color w:val="000000" w:themeColor="text1"/>
          <w14:textFill>
            <w14:solidFill>
              <w14:schemeClr w14:val="tx1"/>
            </w14:solidFill>
          </w14:textFill>
        </w:rPr>
        <w:t>rnal source.</w:t>
      </w:r>
    </w:p>
    <w:sectPr>
      <w:pgSz w:w="12240" w:h="15840"/>
      <w:pgMar w:top="1080"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8D947">
    <w:pPr>
      <w:pStyle w:val="18"/>
      <w:jc w:val="center"/>
    </w:pPr>
    <w:r>
      <w:rPr>
        <w:rFonts w:ascii="Times New Roman" w:hAnsi="Times New Roman"/>
        <w:sz w:val="18"/>
      </w:rPr>
      <w:t xml:space="preserve">Keman Xiang PhD Application Portfolio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F3A6A"/>
    <w:rsid w:val="2BBB1A27"/>
    <w:rsid w:val="2DF42852"/>
    <w:rsid w:val="57FE7B61"/>
    <w:rsid w:val="5D5FDF97"/>
    <w:rsid w:val="5F77AF2B"/>
    <w:rsid w:val="5FFE86AF"/>
    <w:rsid w:val="6BBF5AF3"/>
    <w:rsid w:val="6F371529"/>
    <w:rsid w:val="6F3F6442"/>
    <w:rsid w:val="785FDC60"/>
    <w:rsid w:val="7DFBA612"/>
    <w:rsid w:val="7FDC5A35"/>
    <w:rsid w:val="7FFFDCBA"/>
    <w:rsid w:val="B9BE33E3"/>
    <w:rsid w:val="BBE6823A"/>
    <w:rsid w:val="D7CD9C3D"/>
    <w:rsid w:val="D9FB56E4"/>
    <w:rsid w:val="DEBFB664"/>
    <w:rsid w:val="DF9CD9B0"/>
    <w:rsid w:val="EF5FE9A9"/>
    <w:rsid w:val="F78AFF3C"/>
    <w:rsid w:val="F7DD1DAF"/>
    <w:rsid w:val="FD636273"/>
    <w:rsid w:val="FF3D5386"/>
    <w:rsid w:val="FF77FC18"/>
    <w:rsid w:val="FF7F81F1"/>
    <w:rsid w:val="FFABBA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Figure Caption"/>
    <w:uiPriority w:val="0"/>
    <w:pPr>
      <w:spacing w:after="160" w:line="276" w:lineRule="auto"/>
    </w:pPr>
    <w:rPr>
      <w:rFonts w:ascii="Times New Roman" w:hAnsi="Times New Roman" w:eastAsiaTheme="minorEastAsia" w:cstheme="minorBidi"/>
      <w: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34</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哀マミムメ</cp:lastModifiedBy>
  <dcterms:modified xsi:type="dcterms:W3CDTF">2026-10-06T22:39:42Z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D41D8ADCB5A22AB393FCC46A904AB32E_42</vt:lpwstr>
  </property>
</Properties>
</file>