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VC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Versão Pré-Final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Nota Importante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Pedido de Comentários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A OWASP planeia lançar a versão pública final do OWASP Top 10 - 2017 em Julho ou Agosto de 2017 após um período público de comentários que irá terminar no dia 30 de Junho de 2017.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Esta versão do OWASP Top 10 marca o décimo quarto ano deste projecto e o seu papel na criação de uma consciência para a importância dos riscos de segurança aplicacional. Esta versão é uma actualização da versão de 2013, em que a principal alteração foi a adição do risco "2013-A9 Uso de Componentes Vulneráveis Conhecidos". É com enorme satisfação que verificamos que desde o lançamento da versão Top 10 de 2013, um ecossistema global de ferramentas comerciais e gratuitas emergiu para ajudar a combater este problema, assim como a utilização de componentes de código aberto tem continuado a crescer em praticamente todas as linguagens de programação. Os dados sugerem igualmente que, apesar da utilização de componentes vulneráveis conhecidos ainda prevalecer, não é uma situação tão generalizada como anteriormente. Acreditamos que a consciencialização gerada por este tema no Top 10 de 2013 contribui decisivamente para esta mudança.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Verificamos igualmente que desde que o CSRF foi introduzido no Top 10 de 2007, o mesmo deixou de ser uma vulnerabilidade generalizada e passou a ser cada vez mais rara. Muitas frameworks de desenvolvimento actuais incluem agora defesas automáticas contra CSRF o que contribuiu significativamente para o seu declínio, em conjunto com a consciência que os programadores agora possuem alertando-os para a proteção contra este tipo de ataques.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Comentários construtivos a este versão pré-final do OWASP Top 10 - 2017 devem ser enviados por correio electrónico para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OWASP-TopTen@lists.owasp.org</w:t>
        </w:r>
      </w:hyperlink>
      <w:r w:rsidDel="00000000" w:rsidR="00000000" w:rsidRPr="00000000">
        <w:rPr>
          <w:rtl w:val="0"/>
        </w:rPr>
        <w:t xml:space="preserve">. Comentários privados podem ser enviados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dave.wichers@owasp.org</w:t>
        </w:r>
      </w:hyperlink>
      <w:r w:rsidDel="00000000" w:rsidR="00000000" w:rsidRPr="00000000">
        <w:rPr>
          <w:rtl w:val="0"/>
        </w:rPr>
        <w:t xml:space="preserve"> . Comentários anónimos são igualmente bem-vindos. Todos os comentários que não sejam privados serão devidamente catalogados e publicados em conjunto com a versão pública final. Os comentários que recomendem alterações aos itens listados no Top 10 devem incluir uma lista completa dos 10 itens sugeridos assim como a justificação para as alterações efectuadas. Todos os comentários devem indicar a página e secções relevantes.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Após a publicação final do OWASP Top 10 - 2017, o trabalho colaborativo da comunidade OWASP continuará com actualizações a documentos de suporte como a wiki do OWASP, Guia de Programadores da OWASP, Guia de Testes da OWASP, Guia de Revisão de Código da OWASP, e as Listas de Prevenção da OWASP, assim como traduções do Top 10 para múltiplas línguas.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O vosso contributo é crucial para o continuado sucesso do OWASP Top 10 e de outros projectos OWASP. Obrigado a todos pela vossa dedicação na melhoria da segurança do software para todos a nível global.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Jeff Williams, Criador e Co-autor do Projecto OWASP Top 10 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  <w:t xml:space="preserve">Dave Wichers, Líder e Co-autor do Projecto OWASP Top 10</w:t>
      </w:r>
    </w:p>
    <w:p w:rsidR="00000000" w:rsidDel="00000000" w:rsidP="00000000" w:rsidRDefault="00000000" w:rsidRPr="00000000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00" w:lineRule="auto"/>
      <w:jc w:val="left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Rule="auto"/>
      <w:jc w:val="left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4"/>
      <w:jc w:val="left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  <w:jc w:val="left"/>
    </w:pPr>
    <w:rPr>
      <w:smallCaps w:val="0"/>
      <w:color w:val="3691a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  <w:ind w:left="1152" w:hanging="1152"/>
      <w:jc w:val="left"/>
    </w:pPr>
    <w:rPr>
      <w:smallCaps w:val="0"/>
      <w:color w:val="60b5cc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OWASP-TopTen@lists.owasp.org" TargetMode="External"/><Relationship Id="rId6" Type="http://schemas.openxmlformats.org/officeDocument/2006/relationships/hyperlink" Target="mailto:dave.wichers@owasp.org" TargetMode="External"/></Relationships>
</file>