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A2 Autenticação quebrada e Gerenciamento de Sessões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100.0" w:type="pct"/>
        <w:tblLayout w:type="fixed"/>
        <w:tblLook w:val="0600"/>
      </w:tblPr>
      <w:tblGrid>
        <w:gridCol w:w="1102.1760793991273"/>
        <w:gridCol w:w="1421.2676156727207"/>
        <w:gridCol w:w="1726.4856068909407"/>
        <w:gridCol w:w="3252.57556298204"/>
        <w:gridCol w:w="1523.0069460787943"/>
        <w:tblGridChange w:id="0">
          <w:tblGrid>
            <w:gridCol w:w="1102.1760793991273"/>
            <w:gridCol w:w="1421.2676156727207"/>
            <w:gridCol w:w="1726.4856068909407"/>
            <w:gridCol w:w="3252.57556298204"/>
            <w:gridCol w:w="1523.0069460787943"/>
          </w:tblGrid>
        </w:tblGridChange>
      </w:tblGrid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Ameaça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Vetores de Ataque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Segurança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Fraquezas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Impactos Tecnicos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Impactos no negócio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Especificação da aplicação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Exploração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Prevalência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COMUM // Média de Detecção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Impactos Severos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Aplicação /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Específico de Negócios</w:t>
            </w:r>
          </w:p>
        </w:tc>
      </w:tr>
      <w:tr>
        <w:trPr>
          <w:trHeight w:val="3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Considerar ataques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anônimo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externos,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assim como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 autorizados,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Quem pode tentar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Roubar contas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outros. Além disso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Considerar intrusos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Querendo disfarçar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Suas ações dentro da organização.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atacantes usam vazamentos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 falhas na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Autenticação ou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Sessões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(Por exemplo,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Contas expostas,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Senhas, sessão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IDs) para temporariamente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 permanentemente, “ (index.of passwd.txt)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desenvolvedores costumam criar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Autenticação e esquemas de gerenciamento de sessão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mas construí-los corretamente é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Difícil. Como resultado, esses esquemas personalizados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Freqüentemente possuem falhas em áreas como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Logout, criar conta, alterar senha,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Esqueci minha senha, timeouts, lembre-se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Me, pergunta secreta, atualização da conta, etc.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Encontrar essas falhas às vezes pode ser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Difícil, uma vez que cada uma implementação é unica.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Tais falhas podem Permitir que alguns ou mesmo Todas as contas sejam atacadas. Uma vez com Sucesso, 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atacante pode fazer Qualquer coisa a vítima, ganhar Privilegios do Alvo são freqüente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Considere o Valor de negócio dos dados afetados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 aplicação funções.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Considere também  o Impacto nas empresas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a Exposição pública da vulnerabilidade.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Sou Vulnerável ao hijacking?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 recursos de gerenciamento de sessão são como credenciais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IDs de sessão devidamente protegidos? Você pode estar vulnerável 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As credenciais de autenticação do usuário não estão devidamente protegidas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Quando armazenado usando hash ou criptografia. Ver 2017-A6.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As credenciais podem ser adivinhadas ou substituídas por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Funções de gerenciamento de contas (por exemplo, criação de contas,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Alterar senha, recuperar senha, IDs de sessão fraca).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IDs de sessão são expostos na URL (por exemplo, reescrita de URL).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IDs de sessão são vulneráveis a ataques de fixação de sessão.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IDs de sessão não timeout, ou sessões de usuário ou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Tokens de autenticação (particularmente o single sign-on (SSO)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Tokens) não são devidamente invalidados durante logout.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Os IDs de sessão não são rodados após o login bem-sucedido.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Senhas, IDs de sessão e outras credenciais são enviadas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Sobre conexões não criptografadas. Ver 2017-A6.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Veja as áreas de requisitos ASVS V2 e V3 para mais detalhes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posso evitar isso?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principal recomendação para uma organização é fazer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Disponíveis para desenvolvedores: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Um único conjunto de autenticação forte e sessão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Controlos de gestão. Esses controles devem se esforçar para: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A) cumprir todos os requisitos de autenticação 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Requisitos de gestão definidos na OWASP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Padrão de verificação de segurança de aplicativos (ASVS)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Áreas V2 (Autenticação) e V3 (Sessão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Gestão).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B) ter uma interface simples para desenvolvedores. Considere 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ESAPI Authenticator e User APIs como bons exemplos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emular, usar ou construir sobre o assunto.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Devem também ser envidados esforços enérgicos para evitar falhas XSS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 pode ser usado para roubar IDs de sessão. Ver 2017-A3.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cenários de ataque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Cenário # 1: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Um aplicativo de reservas de viagem suporta URL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Reescrever, colocando IDs de sessão no URL: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http://example.com/sale/saleitems;jsessionid=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2P0OC2JSNDLPSKHCJUN2JV?dest=Hawaii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Um usuário autenticado do site quer deixar seus amigos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Saber sobre a venda. O usuário e-mails o link acima sem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Sabendo que eles também estão dando o seu ID de sessão. Quando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 amigos usam o link que usam sessão do usuário e cartão de crédito.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Cenário # 2: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 tempos limite do aplicativo não estão definidos corretamente. O utilizador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Usa um computador público para acessar o site. Em vez de selecionar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"Logout" o usuário simplesmente fecha a guia do navegador e caminha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longe. Um invasor usa o mesmo navegador uma hora depois 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Esse navegador ainda está autenticado.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Cenário # 3: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Um intruso ou atacante externo ganha acesso ao banco de dados de senhas do sistema. Senhas de usuário não são Corretamente cifrados em hash e salt expondo a senha de cada usuário.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Referências da OWASP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obter um conjunto mais completo de requisitos e Evitar nesta área, ver as áreas de requisitos </w:t>
      </w:r>
      <w:hyperlink r:id="rId5">
        <w:r w:rsidDel="00000000" w:rsidR="00000000" w:rsidRPr="00000000">
          <w:rPr>
            <w:color w:val="0000ff"/>
            <w:u w:val="single"/>
            <w:rtl w:val="0"/>
          </w:rPr>
          <w:t xml:space="preserve">ASVS para Autenticação (V2) e Gerenciamento de Sessão (V3) da comunidade.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fldChar w:fldCharType="begin"/>
        <w:instrText xml:space="preserve"> HYPERLINK "https://www.owasp.org/index.php/Authentication_Cheat_Sheet" </w:instrText>
        <w:fldChar w:fldCharType="separate"/>
      </w:r>
      <w:r w:rsidDel="00000000" w:rsidR="00000000" w:rsidRPr="00000000">
        <w:rPr>
          <w:color w:val="0000ff"/>
          <w:u w:val="single"/>
          <w:rtl w:val="0"/>
        </w:rPr>
        <w:t xml:space="preserve">Ficha de autenticação OWASP</w:t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fldChar w:fldCharType="begin"/>
        <w:instrText xml:space="preserve"> HYPERLINK "https://www.owasp.org/index.php/Forgot_Password_Cheat_Sheet" </w:instrText>
        <w:fldChar w:fldCharType="separate"/>
      </w:r>
      <w:r w:rsidDel="00000000" w:rsidR="00000000" w:rsidRPr="00000000">
        <w:rPr>
          <w:color w:val="0000ff"/>
          <w:u w:val="single"/>
          <w:rtl w:val="0"/>
        </w:rPr>
        <w:t xml:space="preserve">OWASP Esqueceu sua senha?</w:t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fldChar w:fldCharType="begin"/>
        <w:instrText xml:space="preserve"> HYPERLINK "https://www.owasp.org/index.php/Password_Storage_Cheat_Sheet" </w:instrText>
        <w:fldChar w:fldCharType="separate"/>
      </w:r>
      <w:r w:rsidDel="00000000" w:rsidR="00000000" w:rsidRPr="00000000">
        <w:rPr>
          <w:color w:val="0000ff"/>
          <w:u w:val="single"/>
          <w:rtl w:val="0"/>
        </w:rPr>
        <w:t xml:space="preserve">OWASP Password Storage Cheat Sheet</w:t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fldChar w:fldCharType="begin"/>
        <w:instrText xml:space="preserve"> HYPERLINK "https://www.owasp.org/index.php/Session_Management_Cheat_Sheet" </w:instrText>
        <w:fldChar w:fldCharType="separate"/>
      </w:r>
      <w:r w:rsidDel="00000000" w:rsidR="00000000" w:rsidRPr="00000000">
        <w:rPr>
          <w:color w:val="0000ff"/>
          <w:u w:val="single"/>
          <w:rtl w:val="0"/>
        </w:rPr>
        <w:t xml:space="preserve">OWASP Session Management Cheat Sheet</w:t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fldChar w:fldCharType="begin"/>
        <w:instrText xml:space="preserve"> HYPERLINK "https://www.owasp.org/index.php/Testing_for_authentication" </w:instrText>
        <w:fldChar w:fldCharType="separate"/>
      </w:r>
      <w:r w:rsidDel="00000000" w:rsidR="00000000" w:rsidRPr="00000000">
        <w:rPr>
          <w:color w:val="0000ff"/>
          <w:u w:val="single"/>
          <w:rtl w:val="0"/>
        </w:rPr>
        <w:t xml:space="preserve">Guia de Teste OWASP: Capítulo sobre Autenticação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Externo</w:t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fldChar w:fldCharType="begin"/>
        <w:instrText xml:space="preserve"> HYPERLINK "http://cwe.mitre.org/data/definitions/287.html" </w:instrText>
        <w:fldChar w:fldCharType="separate"/>
      </w:r>
      <w:r w:rsidDel="00000000" w:rsidR="00000000" w:rsidRPr="00000000">
        <w:rPr>
          <w:color w:val="0000ff"/>
          <w:u w:val="single"/>
          <w:rtl w:val="0"/>
        </w:rPr>
        <w:t xml:space="preserve">Entrada CWE 287 sobre autenticação imprópria</w:t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fldChar w:fldCharType="begin"/>
        <w:instrText xml:space="preserve"> HYPERLINK "http://cwe.mitre.org/data/definitions/384.html" </w:instrText>
        <w:fldChar w:fldCharType="separate"/>
      </w:r>
      <w:r w:rsidDel="00000000" w:rsidR="00000000" w:rsidRPr="00000000">
        <w:rPr>
          <w:color w:val="0000ff"/>
          <w:u w:val="single"/>
          <w:rtl w:val="0"/>
        </w:rPr>
        <w:t xml:space="preserve">Entrada CWE 384 sobre Fixação de Sessão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owasp.org/index.php/ASVS" TargetMode="External"/></Relationships>
</file>