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O</w:t>
      </w:r>
    </w:p>
    <w:p w:rsidR="00000000" w:rsidDel="00000000" w:rsidP="00000000" w:rsidRDefault="00000000" w:rsidRPr="00000000">
      <w:pPr>
        <w:contextualSpacing w:val="0"/>
        <w:rPr/>
      </w:pPr>
      <w:r w:rsidDel="00000000" w:rsidR="00000000" w:rsidRPr="00000000">
        <w:rPr>
          <w:rtl w:val="0"/>
        </w:rPr>
        <w:t xml:space="preserve">Sobre o OWASP</w:t>
      </w:r>
    </w:p>
    <w:p w:rsidR="00000000" w:rsidDel="00000000" w:rsidP="00000000" w:rsidRDefault="00000000" w:rsidRPr="00000000">
      <w:pPr>
        <w:contextualSpacing w:val="0"/>
        <w:rPr/>
      </w:pPr>
      <w:r w:rsidDel="00000000" w:rsidR="00000000" w:rsidRPr="00000000">
        <w:rPr>
          <w:rtl w:val="0"/>
        </w:rPr>
        <w:t xml:space="preserve">Prefácio?</w:t>
      </w:r>
    </w:p>
    <w:p w:rsidR="00000000" w:rsidDel="00000000" w:rsidP="00000000" w:rsidRDefault="00000000" w:rsidRPr="00000000">
      <w:pPr>
        <w:contextualSpacing w:val="0"/>
        <w:rPr/>
      </w:pPr>
      <w:r w:rsidDel="00000000" w:rsidR="00000000" w:rsidRPr="00000000">
        <w:rPr>
          <w:rtl w:val="0"/>
        </w:rPr>
        <w:t xml:space="preserve">O software inseguro está a minar a nossa saúde financeira, a área da saúde, da defesa, da energia e outras infraestruturas críticas. À medida que a nossa infraestrutura digital fica cada vez mais complexa e interligada, a dificuldade na construção de aplicações seguras aumenta exponencialmente. O ritmo acelerado dos processos modernos de desenvolvimento de software torna a descoberta atempada e precisa de riscos uma actividade crítica. Não é possível continuar a tolerar os problemas de segurança relativamente simples, como os que são apresentados no Top 10 do OWASP.</w:t>
      </w:r>
    </w:p>
    <w:p w:rsidR="00000000" w:rsidDel="00000000" w:rsidP="00000000" w:rsidRDefault="00000000" w:rsidRPr="00000000">
      <w:pPr>
        <w:contextualSpacing w:val="0"/>
        <w:rPr/>
      </w:pPr>
      <w:r w:rsidDel="00000000" w:rsidR="00000000" w:rsidRPr="00000000">
        <w:rPr>
          <w:rtl w:val="0"/>
        </w:rPr>
        <w:t xml:space="preserve">O projeto Top 10 tem como objetivo a sensibilização para a problemática da segurança das aplicações, através da identificação de alguns dos riscos mais críticos e comuns que as organizações enfrentam. O projeto Top 10 é referenciado por muitas normas, livros, ferramentas e organizações, incluindo o MITRE, PCI DSS, DISA, FTC, e muitas outras. O Top 10 da OWASP foi lançado inicialmente em 2003, tendo sido alvo de pequenas atualizações em 2004 e 2007. A versão de 2010 foi remodelada para ordenar e estabelecer prioridades nos riscos, e não apenas na prevalência, e esta abordagem foi continuada na versão de 2013 e na versão de 2017. </w:t>
      </w:r>
    </w:p>
    <w:p w:rsidR="00000000" w:rsidDel="00000000" w:rsidP="00000000" w:rsidRDefault="00000000" w:rsidRPr="00000000">
      <w:pPr>
        <w:contextualSpacing w:val="0"/>
        <w:rPr/>
      </w:pPr>
      <w:r w:rsidDel="00000000" w:rsidR="00000000" w:rsidRPr="00000000">
        <w:rPr>
          <w:rtl w:val="0"/>
        </w:rPr>
        <w:t xml:space="preserve">O OWASP encoraja a utilização do Top 10 para que as organizações se possam iniciar na segurança aplicacional. Os programadores possam aprender com os erros de outras organizações. Os executivos possam começar a pensar sobre como gerir o risco que as aplicações de software e APIs criam nas suas empresas.</w:t>
      </w:r>
    </w:p>
    <w:p w:rsidR="00000000" w:rsidDel="00000000" w:rsidP="00000000" w:rsidRDefault="00000000" w:rsidRPr="00000000">
      <w:pPr>
        <w:contextualSpacing w:val="0"/>
        <w:rPr/>
      </w:pPr>
      <w:r w:rsidDel="00000000" w:rsidR="00000000" w:rsidRPr="00000000">
        <w:rPr>
          <w:rtl w:val="0"/>
        </w:rPr>
        <w:t xml:space="preserve">No médio prazo, encorajamos a criação de um programa de segurança aplicacional que seja compatível com a sua cultura e tecnologia. Estes programas existem em diversas formas e tamanhos</w:t>
      </w:r>
    </w:p>
    <w:p w:rsidR="00000000" w:rsidDel="00000000" w:rsidP="00000000" w:rsidRDefault="00000000" w:rsidRPr="00000000">
      <w:pPr>
        <w:contextualSpacing w:val="0"/>
        <w:rPr/>
      </w:pPr>
      <w:r w:rsidDel="00000000" w:rsidR="00000000" w:rsidRPr="00000000">
        <w:rPr>
          <w:rtl w:val="0"/>
        </w:rPr>
        <w:t xml:space="preserve">In the long term, we encourage you to create an application security program that is compatible with your culture and technology. These programs come in all shapes and sizes, and you should avoid attempting to do everything prescribed in some process model. Instead, leverage your organization’s existing strengths to do and measure what works for you.</w:t>
      </w:r>
    </w:p>
    <w:p w:rsidR="00000000" w:rsidDel="00000000" w:rsidP="00000000" w:rsidRDefault="00000000" w:rsidRPr="00000000">
      <w:pPr>
        <w:contextualSpacing w:val="0"/>
        <w:rPr/>
      </w:pPr>
      <w:r w:rsidDel="00000000" w:rsidR="00000000" w:rsidRPr="00000000">
        <w:rPr>
          <w:rtl w:val="0"/>
        </w:rPr>
        <w:t xml:space="preserve">We hope that the OWASP Top 10 is useful to your application security efforts. Please don’t hesitate to contact OWASP with your questions, comments, and ideas, either publicly to owasp-topten@lists.owasp.org or privately to dave.wichers@owasp.org.</w:t>
      </w:r>
    </w:p>
    <w:p w:rsidR="00000000" w:rsidDel="00000000" w:rsidP="00000000" w:rsidRDefault="00000000" w:rsidRPr="00000000">
      <w:pPr>
        <w:contextualSpacing w:val="0"/>
        <w:rPr/>
      </w:pPr>
      <w:r w:rsidDel="00000000" w:rsidR="00000000" w:rsidRPr="00000000">
        <w:rPr>
          <w:rtl w:val="0"/>
        </w:rPr>
        <w:t xml:space="preserve">Sobre o OWASP</w:t>
      </w:r>
    </w:p>
    <w:p w:rsidR="00000000" w:rsidDel="00000000" w:rsidP="00000000" w:rsidRDefault="00000000" w:rsidRPr="00000000">
      <w:pPr>
        <w:contextualSpacing w:val="0"/>
        <w:rPr/>
      </w:pPr>
      <w:r w:rsidDel="00000000" w:rsidR="00000000" w:rsidRPr="00000000">
        <w:rPr>
          <w:rtl w:val="0"/>
        </w:rPr>
        <w:t xml:space="preserve">The Open Web Application Security Project (OWASP) is an open community dedicated to enabling organizations to develop, purchase, and maintain applications and APIs that can be trusted. At OWASP you’ll find free and open ...</w:t>
      </w:r>
    </w:p>
    <w:p w:rsidR="00000000" w:rsidDel="00000000" w:rsidP="00000000" w:rsidRDefault="00000000" w:rsidRPr="00000000">
      <w:pPr>
        <w:contextualSpacing w:val="0"/>
        <w:rPr/>
      </w:pPr>
      <w:r w:rsidDel="00000000" w:rsidR="00000000" w:rsidRPr="00000000">
        <w:rPr>
          <w:rtl w:val="0"/>
        </w:rPr>
        <w:t xml:space="preserve">• Applicationsecuritytoolsandstandards</w:t>
      </w:r>
    </w:p>
    <w:p w:rsidR="00000000" w:rsidDel="00000000" w:rsidP="00000000" w:rsidRDefault="00000000" w:rsidRPr="00000000">
      <w:pPr>
        <w:contextualSpacing w:val="0"/>
        <w:rPr/>
      </w:pPr>
      <w:r w:rsidDel="00000000" w:rsidR="00000000" w:rsidRPr="00000000">
        <w:rPr>
          <w:rtl w:val="0"/>
        </w:rPr>
        <w:t xml:space="preserve">• Complete books on application security testing, secure</w:t>
      </w:r>
    </w:p>
    <w:p w:rsidR="00000000" w:rsidDel="00000000" w:rsidP="00000000" w:rsidRDefault="00000000" w:rsidRPr="00000000">
      <w:pPr>
        <w:contextualSpacing w:val="0"/>
        <w:rPr/>
      </w:pPr>
      <w:r w:rsidDel="00000000" w:rsidR="00000000" w:rsidRPr="00000000">
        <w:rPr>
          <w:rtl w:val="0"/>
        </w:rPr>
        <w:t xml:space="preserve">code development, and secure code review</w:t>
      </w:r>
    </w:p>
    <w:p w:rsidR="00000000" w:rsidDel="00000000" w:rsidP="00000000" w:rsidRDefault="00000000" w:rsidRPr="00000000">
      <w:pPr>
        <w:contextualSpacing w:val="0"/>
        <w:rPr/>
      </w:pPr>
      <w:r w:rsidDel="00000000" w:rsidR="00000000" w:rsidRPr="00000000">
        <w:rPr>
          <w:rtl w:val="0"/>
        </w:rPr>
        <w:t xml:space="preserve">• Standardsecuritycontrolsandlibraries</w:t>
      </w:r>
    </w:p>
    <w:p w:rsidR="00000000" w:rsidDel="00000000" w:rsidP="00000000" w:rsidRDefault="00000000" w:rsidRPr="00000000">
      <w:pPr>
        <w:contextualSpacing w:val="0"/>
        <w:rPr/>
      </w:pPr>
      <w:r w:rsidDel="00000000" w:rsidR="00000000" w:rsidRPr="00000000">
        <w:rPr>
          <w:rtl w:val="0"/>
        </w:rPr>
        <w:t xml:space="preserve">• Localchaptersworldwide</w:t>
      </w:r>
    </w:p>
    <w:p w:rsidR="00000000" w:rsidDel="00000000" w:rsidP="00000000" w:rsidRDefault="00000000" w:rsidRPr="00000000">
      <w:pPr>
        <w:contextualSpacing w:val="0"/>
        <w:rPr/>
      </w:pPr>
      <w:r w:rsidDel="00000000" w:rsidR="00000000" w:rsidRPr="00000000">
        <w:rPr>
          <w:rtl w:val="0"/>
        </w:rPr>
        <w:t xml:space="preserve">• Cutting edge research</w:t>
      </w:r>
    </w:p>
    <w:p w:rsidR="00000000" w:rsidDel="00000000" w:rsidP="00000000" w:rsidRDefault="00000000" w:rsidRPr="00000000">
      <w:pPr>
        <w:contextualSpacing w:val="0"/>
        <w:rPr/>
      </w:pPr>
      <w:r w:rsidDel="00000000" w:rsidR="00000000" w:rsidRPr="00000000">
        <w:rPr>
          <w:rtl w:val="0"/>
        </w:rPr>
        <w:t xml:space="preserve">• Extensive conferences worldwide</w:t>
      </w:r>
    </w:p>
    <w:p w:rsidR="00000000" w:rsidDel="00000000" w:rsidP="00000000" w:rsidRDefault="00000000" w:rsidRPr="00000000">
      <w:pPr>
        <w:contextualSpacing w:val="0"/>
        <w:rPr/>
      </w:pPr>
      <w:r w:rsidDel="00000000" w:rsidR="00000000" w:rsidRPr="00000000">
        <w:rPr>
          <w:rtl w:val="0"/>
        </w:rPr>
        <w:t xml:space="preserve">• Mailinglists</w:t>
      </w:r>
    </w:p>
    <w:p w:rsidR="00000000" w:rsidDel="00000000" w:rsidP="00000000" w:rsidRDefault="00000000" w:rsidRPr="00000000">
      <w:pPr>
        <w:contextualSpacing w:val="0"/>
        <w:rPr/>
      </w:pPr>
      <w:r w:rsidDel="00000000" w:rsidR="00000000" w:rsidRPr="00000000">
        <w:rPr>
          <w:rtl w:val="0"/>
        </w:rPr>
        <w:t xml:space="preserve">Learn more at: https://www.owasp.org</w:t>
      </w:r>
    </w:p>
    <w:p w:rsidR="00000000" w:rsidDel="00000000" w:rsidP="00000000" w:rsidRDefault="00000000" w:rsidRPr="00000000">
      <w:pPr>
        <w:contextualSpacing w:val="0"/>
        <w:rPr/>
      </w:pPr>
      <w:r w:rsidDel="00000000" w:rsidR="00000000" w:rsidRPr="00000000">
        <w:rPr>
          <w:rtl w:val="0"/>
        </w:rPr>
        <w:t xml:space="preserve">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all of these areas.</w:t>
      </w:r>
    </w:p>
    <w:p w:rsidR="00000000" w:rsidDel="00000000" w:rsidP="00000000" w:rsidRDefault="00000000" w:rsidRPr="00000000">
      <w:pPr>
        <w:contextualSpacing w:val="0"/>
        <w:rPr/>
      </w:pPr>
      <w:r w:rsidDel="00000000" w:rsidR="00000000" w:rsidRPr="00000000">
        <w:rPr>
          <w:rtl w:val="0"/>
        </w:rPr>
        <w:t xml:space="preserve">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 source software projects, OWASP produces many types of materials in a collaborative, open way.</w:t>
      </w:r>
    </w:p>
    <w:p w:rsidR="00000000" w:rsidDel="00000000" w:rsidP="00000000" w:rsidRDefault="00000000" w:rsidRPr="00000000">
      <w:pPr>
        <w:contextualSpacing w:val="0"/>
        <w:rPr/>
      </w:pPr>
      <w:r w:rsidDel="00000000" w:rsidR="00000000" w:rsidRPr="00000000">
        <w:rPr>
          <w:rtl w:val="0"/>
        </w:rPr>
        <w:t xml:space="preserve">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rsidR="00000000" w:rsidDel="00000000" w:rsidP="00000000" w:rsidRDefault="00000000" w:rsidRPr="00000000">
      <w:pPr>
        <w:contextualSpacing w:val="0"/>
        <w:rPr/>
      </w:pPr>
      <w:r w:rsidDel="00000000" w:rsidR="00000000" w:rsidRPr="00000000">
        <w:rPr>
          <w:rtl w:val="0"/>
        </w:rPr>
        <w:t xml:space="preserve">Come join 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00" w:lineRule="auto"/>
      <w:jc w:val="left"/>
    </w:pPr>
    <w:rPr>
      <w:rFonts w:ascii="Calibri" w:cs="Calibri" w:eastAsia="Calibri" w:hAnsi="Calibri"/>
      <w:b w:val="1"/>
      <w:sz w:val="32"/>
      <w:szCs w:val="32"/>
    </w:rPr>
  </w:style>
  <w:style w:type="paragraph" w:styleId="Heading2">
    <w:name w:val="heading 2"/>
    <w:basedOn w:val="Normal"/>
    <w:next w:val="Normal"/>
    <w:pPr>
      <w:keepNext w:val="1"/>
      <w:keepLines w:val="1"/>
      <w:spacing w:after="80" w:before="240" w:lineRule="auto"/>
      <w:jc w:val="left"/>
    </w:pPr>
    <w:rPr>
      <w:rFonts w:ascii="Calibri" w:cs="Calibri" w:eastAsia="Calibri" w:hAnsi="Calibri"/>
      <w:b w:val="1"/>
      <w:sz w:val="28"/>
      <w:szCs w:val="28"/>
    </w:rPr>
  </w:style>
  <w:style w:type="paragraph" w:styleId="Heading3">
    <w:name w:val="heading 3"/>
    <w:basedOn w:val="Normal"/>
    <w:next w:val="Normal"/>
    <w:pPr>
      <w:keepNext w:val="1"/>
      <w:keepLines w:val="1"/>
      <w:spacing w:after="0" w:lineRule="auto"/>
      <w:ind w:left="720"/>
      <w:jc w:val="left"/>
    </w:pPr>
    <w:rPr>
      <w:rFonts w:ascii="Calibri" w:cs="Calibri" w:eastAsia="Calibri" w:hAnsi="Calibri"/>
      <w:b w:val="1"/>
      <w:sz w:val="24"/>
      <w:szCs w:val="24"/>
    </w:rPr>
  </w:style>
  <w:style w:type="paragraph" w:styleId="Heading4">
    <w:name w:val="heading 4"/>
    <w:basedOn w:val="Normal"/>
    <w:next w:val="Normal"/>
    <w:pPr>
      <w:keepNext w:val="1"/>
      <w:keepLines w:val="1"/>
      <w:spacing w:after="0" w:before="240" w:lineRule="auto"/>
      <w:ind w:left="864"/>
      <w:jc w:val="left"/>
    </w:pPr>
    <w:rPr>
      <w:rFonts w:ascii="Calibri" w:cs="Calibri" w:eastAsia="Calibri" w:hAnsi="Calibri"/>
      <w:b w:val="1"/>
    </w:rPr>
  </w:style>
  <w:style w:type="paragraph" w:styleId="Heading5">
    <w:name w:val="heading 5"/>
    <w:basedOn w:val="Normal"/>
    <w:next w:val="Normal"/>
    <w:pPr>
      <w:keepNext w:val="1"/>
      <w:keepLines w:val="1"/>
      <w:spacing w:after="0" w:before="200" w:lineRule="auto"/>
      <w:ind w:left="1008" w:hanging="1008"/>
      <w:jc w:val="left"/>
    </w:pPr>
    <w:rPr>
      <w:smallCaps w:val="0"/>
      <w:color w:val="3691aa"/>
      <w:sz w:val="22"/>
      <w:szCs w:val="22"/>
    </w:rPr>
  </w:style>
  <w:style w:type="paragraph" w:styleId="Heading6">
    <w:name w:val="heading 6"/>
    <w:basedOn w:val="Normal"/>
    <w:next w:val="Normal"/>
    <w:pPr>
      <w:keepNext w:val="1"/>
      <w:keepLines w:val="1"/>
      <w:spacing w:after="0" w:lineRule="auto"/>
      <w:ind w:left="1152" w:hanging="1152"/>
      <w:jc w:val="left"/>
    </w:pPr>
    <w:rPr>
      <w:smallCaps w:val="0"/>
      <w:color w:val="60b5cc"/>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