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Thesis 3: To-do before the Oct 24 submission</w:t>
      </w:r>
    </w:p>
    <w:p>
      <w:pPr/>
      <w:r>
        <w:t xml:space="preserve">Oct 18, 2026</w:t>
      </w:r>
      <w:r>
        <w:t xml:space="preserve"> · </w:t>
      </w:r>
      <w:r>
        <w:t xml:space="preserve">@Ricardo</w:t>
      </w:r>
    </w:p>
    <w:p>
      <w:pPr>
        <w:pStyle w:val="Heading2"/>
      </w:pPr>
      <w:r>
        <w:t xml:space="preserve">Where things stand</w:t>
      </w:r>
    </w:p>
    <w:p>
      <w:pPr/>
      <w:r>
        <w:t xml:space="preserve">Chapters 1 to 4 are written; what is missing is the data behind the numbers, Chapter 5 and a cleanup pass. At the 15 October snapshot of the repo, 39 of 96 attack runs and none of the 12 benign runs were captured.</w:t>
      </w:r>
    </w:p>
    <w:tbl>
      <w:tblPr>
        <w:tblStyle w:val="TableGrid"/>
        <w:tblW w:w="0" w:type="auto"/>
        <w:tblLayout w:type="fixed"/>
        <w:tblLook w:val="04A0" w:firstRow="1" w:lastRow="0" w:firstColumn="0" w:lastColumn="0" w:noHBand="0" w:noVBand="1"/>
      </w:tblPr>
      <w:tblGrid>
        <w:gridCol w:w="2539"/>
        <w:gridCol w:w="3720"/>
        <w:gridCol w:w="3101"/>
      </w:tblGrid>
      <w:tr>
        <w:trPr>
          <w:tblHeader/>
        </w:trPr>
        <w:tc>
          <w:tcPr>
            <w:tcW w:w="2539" w:type="dxa"/>
            <w:shd w:val="clear" w:color="auto" w:fill="F2F2F2"/>
          </w:tcPr>
          <w:p>
            <w:pPr/>
            <w:r>
              <w:t xml:space="preserve">Area</w:t>
            </w:r>
          </w:p>
        </w:tc>
        <w:tc>
          <w:tcPr>
            <w:tcW w:w="3720" w:type="dxa"/>
            <w:shd w:val="clear" w:color="auto" w:fill="F2F2F2"/>
          </w:tcPr>
          <w:p>
            <w:pPr/>
            <w:r>
              <w:t xml:space="preserve">Status</w:t>
            </w:r>
          </w:p>
        </w:tc>
        <w:tc>
          <w:tcPr>
            <w:tcW w:w="3101" w:type="dxa"/>
            <w:shd w:val="clear" w:color="auto" w:fill="F2F2F2"/>
          </w:tcPr>
          <w:p>
            <w:pPr/>
            <w:r>
              <w:t xml:space="preserve">Left to do</w:t>
            </w:r>
          </w:p>
        </w:tc>
      </w:tr>
      <w:tr>
        <w:tc>
          <w:tcPr>
            <w:tcW w:w="2539" w:type="dxa"/>
          </w:tcPr>
          <w:p>
            <w:pPr/>
            <w:r>
              <w:t xml:space="preserve">Data</w:t>
            </w:r>
          </w:p>
        </w:tc>
        <w:tc>
          <w:tcPr>
            <w:tcW w:w="3720" w:type="dxa"/>
          </w:tcPr>
          <w:p>
            <w:pPr/>
            <w:r>
              <w:t xml:space="preserve">39 of 96 attack runs (37 blackhole, 2 wormhole); 0 of 12 benign</w:t>
            </w:r>
          </w:p>
        </w:tc>
        <w:tc>
          <w:tcPr>
            <w:tcW w:w="3101" w:type="dxa"/>
          </w:tcPr>
          <w:p>
            <w:pPr/>
            <w:r>
              <w:t xml:space="preserve">57 attack runs and 12 benign runs, about 22 h of bench time</w:t>
            </w:r>
          </w:p>
        </w:tc>
      </w:tr>
      <w:tr>
        <w:tc>
          <w:tcPr>
            <w:tcW w:w="2539" w:type="dxa"/>
          </w:tcPr>
          <w:p>
            <w:pPr/>
            <w:r>
              <w:t xml:space="preserve">Chapters 1 to 4</w:t>
            </w:r>
          </w:p>
        </w:tc>
        <w:tc>
          <w:tcPr>
            <w:tcW w:w="3720" w:type="dxa"/>
          </w:tcPr>
          <w:p>
            <w:pPr/>
            <w:r>
              <w:t xml:space="preserve">Written; provisional results from 39 runs shown in yellow</w:t>
            </w:r>
          </w:p>
        </w:tc>
        <w:tc>
          <w:tcPr>
            <w:tcW w:w="3101" w:type="dxa"/>
          </w:tcPr>
          <w:p>
            <w:pPr/>
            <w:r>
              <w:t xml:space="preserve">Fill the cyan [PENDING] items and replace the provisional numbers</w:t>
            </w:r>
          </w:p>
        </w:tc>
      </w:tr>
      <w:tr>
        <w:tc>
          <w:tcPr>
            <w:tcW w:w="2539" w:type="dxa"/>
          </w:tcPr>
          <w:p>
            <w:pPr/>
            <w:r>
              <w:t xml:space="preserve">Chapter 5</w:t>
            </w:r>
          </w:p>
        </w:tc>
        <w:tc>
          <w:tcPr>
            <w:tcW w:w="3720" w:type="dxa"/>
          </w:tcPr>
          <w:p>
            <w:pPr/>
            <w:r>
              <w:t xml:space="preserve">Headings in place; 5.6 Future Work is written</w:t>
            </w:r>
          </w:p>
        </w:tc>
        <w:tc>
          <w:tcPr>
            <w:tcW w:w="3101" w:type="dxa"/>
          </w:tcPr>
          <w:p>
            <w:pPr/>
            <w:r>
              <w:t xml:space="preserve">Write 5.1 to 5.5 and 5.7 from the final tables</w:t>
            </w:r>
          </w:p>
        </w:tc>
      </w:tr>
      <w:tr>
        <w:tc>
          <w:tcPr>
            <w:tcW w:w="2539" w:type="dxa"/>
          </w:tcPr>
          <w:p>
            <w:pPr/>
            <w:r>
              <w:t xml:space="preserve">Appendices</w:t>
            </w:r>
          </w:p>
        </w:tc>
        <w:tc>
          <w:tcPr>
            <w:tcW w:w="3720" w:type="dxa"/>
          </w:tcPr>
          <w:p>
            <w:pPr/>
            <w:r>
              <w:t xml:space="preserve">A bibliography (79 entries), B ethics note, C deviations log, D placeholder register</w:t>
            </w:r>
          </w:p>
        </w:tc>
        <w:tc>
          <w:tcPr>
            <w:tcW w:w="3101" w:type="dxa"/>
          </w:tcPr>
          <w:p>
            <w:pPr/>
            <w:r>
              <w:t xml:space="preserve">Update C, delete D before submission</w:t>
            </w:r>
          </w:p>
        </w:tc>
      </w:tr>
      <w:tr>
        <w:tc>
          <w:tcPr>
            <w:tcW w:w="2539" w:type="dxa"/>
          </w:tcPr>
          <w:p>
            <w:pPr/>
            <w:r>
              <w:t xml:space="preserve">Front matter and lists</w:t>
            </w:r>
          </w:p>
        </w:tc>
        <w:tc>
          <w:tcPr>
            <w:tcW w:w="3720" w:type="dxa"/>
          </w:tcPr>
          <w:p>
            <w:pPr/>
            <w:r>
              <w:t xml:space="preserve">Contents, table, figure and equation lists are typed, not live</w:t>
            </w:r>
          </w:p>
        </w:tc>
        <w:tc>
          <w:tcPr>
            <w:tcW w:w="3101" w:type="dxa"/>
          </w:tcPr>
          <w:p>
            <w:pPr/>
            <w:r>
              <w:t xml:space="preserve">Rebuild and renumber after the last edit</w:t>
            </w:r>
          </w:p>
        </w:tc>
      </w:tr>
    </w:tbl>
    <w:p>
      <w:pPr/>
      <w:r>
        <w:t xml:space="preserve">The run counts come from that 15 October snapshot, not the live repo. Rerun </w:t>
      </w:r>
      <w:r>
        <w:rPr>
          <w:rStyle w:val="CodeChar"/>
        </w:rPr>
        <w:t xml:space="preserve">tools/inventory_cells.py --live-only</w:t>
      </w:r>
      <w:r>
        <w:t xml:space="preserve"> before relying on them.</w:t>
      </w:r>
    </w:p>
    <w:p>
      <w:pPr>
        <w:pStyle w:val="Heading2"/>
      </w:pPr>
      <w:r>
        <w:t xml:space="preserve">Blockers: data still to capture</w:t>
      </w:r>
    </w:p>
    <w:p>
      <w:pPr/>
      <w:r>
        <w:t xml:space="preserve">Everything downstream waits on 69 runs: 57 attack runs and all 12 benign runs, about 22 h of bench time by the paper's own estimate. Capture should end by Wed Oct 21 so that Oct 22 and 23 are left for the analysis and Chapter 5.</w:t>
      </w:r>
    </w:p>
    <w:tbl>
      <w:tblPr>
        <w:tblStyle w:val="TableGrid"/>
        <w:tblW w:w="0" w:type="auto"/>
        <w:tblLayout w:type="fixed"/>
        <w:tblLook w:val="04A0" w:firstRow="1" w:lastRow="0" w:firstColumn="0" w:lastColumn="0" w:noHBand="0" w:noVBand="1"/>
      </w:tblPr>
      <w:tblGrid>
        <w:gridCol w:w="1645"/>
        <w:gridCol w:w="1383"/>
        <w:gridCol w:w="6330"/>
      </w:tblGrid>
      <w:tr>
        <w:trPr>
          <w:tblHeader/>
        </w:trPr>
        <w:tc>
          <w:tcPr>
            <w:tcW w:w="1645" w:type="dxa"/>
            <w:shd w:val="clear" w:color="auto" w:fill="F2F2F2"/>
          </w:tcPr>
          <w:p>
            <w:pPr/>
            <w:r>
              <w:t xml:space="preserve">Runs</w:t>
            </w:r>
          </w:p>
        </w:tc>
        <w:tc>
          <w:tcPr>
            <w:tcW w:w="1383" w:type="dxa"/>
            <w:shd w:val="clear" w:color="auto" w:fill="F2F2F2"/>
          </w:tcPr>
          <w:p>
            <w:pPr/>
            <w:r>
              <w:t xml:space="preserve">Missing</w:t>
            </w:r>
          </w:p>
        </w:tc>
        <w:tc>
          <w:tcPr>
            <w:tcW w:w="6330" w:type="dxa"/>
            <w:shd w:val="clear" w:color="auto" w:fill="F2F2F2"/>
          </w:tcPr>
          <w:p>
            <w:pPr/>
            <w:r>
              <w:t xml:space="preserve">Which cells</w:t>
            </w:r>
          </w:p>
        </w:tc>
      </w:tr>
      <w:tr>
        <w:tc>
          <w:tcPr>
            <w:tcW w:w="1645" w:type="dxa"/>
          </w:tcPr>
          <w:p>
            <w:pPr/>
            <w:r>
              <w:t xml:space="preserve">Wormhole</w:t>
            </w:r>
          </w:p>
        </w:tc>
        <w:tc>
          <w:tcPr>
            <w:tcW w:w="1383" w:type="dxa"/>
          </w:tcPr>
          <w:p>
            <w:pPr/>
            <w:r>
              <w:t xml:space="preserve">46 of 48</w:t>
            </w:r>
          </w:p>
        </w:tc>
        <w:tc>
          <w:tcPr>
            <w:tcW w:w="6330" w:type="dxa"/>
          </w:tcPr>
          <w:p>
            <w:pPr/>
            <w:r>
              <w:t xml:space="preserve">Every cell except stationary linear at the DLSU Library. The stationary tree run at G402 exists but is flagged for recapture.</w:t>
            </w:r>
          </w:p>
        </w:tc>
      </w:tr>
      <w:tr>
        <w:tc>
          <w:tcPr>
            <w:tcW w:w="1645" w:type="dxa"/>
          </w:tcPr>
          <w:p>
            <w:pPr/>
            <w:r>
              <w:t xml:space="preserve">Blackhole</w:t>
            </w:r>
          </w:p>
        </w:tc>
        <w:tc>
          <w:tcPr>
            <w:tcW w:w="1383" w:type="dxa"/>
          </w:tcPr>
          <w:p>
            <w:pPr/>
            <w:r>
              <w:t xml:space="preserve">11 of 48</w:t>
            </w:r>
          </w:p>
        </w:tc>
        <w:tc>
          <w:tcPr>
            <w:tcW w:w="6330" w:type="dxa"/>
          </w:tcPr>
          <w:p>
            <w:pPr/>
            <w:r>
              <w:t xml:space="preserve">Linear: Yuchengco jitter. Partial mesh: G402 burst, G402 highload, Yuchengco jitter. Star: DLSU Library jitter, G402 highload, G402 jitter, Yuchengco jitter. Tree: DLSU Library jitter, G402 highload, Yuchengco jitter.</w:t>
            </w:r>
          </w:p>
        </w:tc>
      </w:tr>
      <w:tr>
        <w:tc>
          <w:tcPr>
            <w:tcW w:w="1645" w:type="dxa"/>
          </w:tcPr>
          <w:p>
            <w:pPr/>
            <w:r>
              <w:t xml:space="preserve">Benign</w:t>
            </w:r>
          </w:p>
        </w:tc>
        <w:tc>
          <w:tcPr>
            <w:tcW w:w="1383" w:type="dxa"/>
          </w:tcPr>
          <w:p>
            <w:pPr/>
            <w:r>
              <w:t xml:space="preserve">12 of 12</w:t>
            </w:r>
          </w:p>
        </w:tc>
        <w:tc>
          <w:tcPr>
            <w:tcW w:w="6330" w:type="dxa"/>
          </w:tcPr>
          <w:p>
            <w:pPr/>
            <w:r>
              <w:t xml:space="preserve">One per site and topology: three each of stationary, burst, highload and jitter, and one of each scenario at every site.</w:t>
            </w:r>
          </w:p>
        </w:tc>
      </w:tr>
      <w:tr>
        <w:tc>
          <w:tcPr>
            <w:tcW w:w="1645" w:type="dxa"/>
          </w:tcPr>
          <w:p>
            <w:pPr/>
            <w:r>
              <w:t xml:space="preserve">Recapture</w:t>
            </w:r>
          </w:p>
        </w:tc>
        <w:tc>
          <w:tcPr>
            <w:tcW w:w="1383" w:type="dxa"/>
          </w:tcPr>
          <w:p>
            <w:pPr/>
            <w:r>
              <w:t xml:space="preserve">1 to 3</w:t>
            </w:r>
          </w:p>
        </w:tc>
        <w:tc>
          <w:tcPr>
            <w:tcW w:w="6330" w:type="dxa"/>
          </w:tcPr>
          <w:p>
            <w:pPr/>
            <w:r>
              <w:t xml:space="preserve">G402 tree wormhole (flagged in the paper), and the Yuchengco linear stationary blackhole run (a node logged under 95% of its samples).</w:t>
            </w:r>
          </w:p>
        </w:tc>
      </w:tr>
    </w:tbl>
    <w:p>
      <w:pPr/>
      <w:r>
        <w:t xml:space="preserve">Per site that is about 21 runs at the DLSU Library, 24 at G402 and 24 at Yuchengco, before recaptures.</w:t>
      </w:r>
    </w:p>
    <w:p>
      <w:pPr/>
      <w:r>
        <w:rPr>
          <w:b/>
        </w:rPr>
        <w:t xml:space="preserve">Do first</w:t>
      </w:r>
    </w:p>
    <w:p>
      <w:pPr>
        <w:pStyle w:val="ListParagraph"/>
        <w:numPr>
          <w:ilvl w:val="0"/>
          <w:numId w:val="2"/>
        </w:numPr>
      </w:pPr>
      <w:r>
        <w:t xml:space="preserve">☐ Edit </w:t>
      </w:r>
      <w:r>
        <w:rPr>
          <w:rStyle w:val="CodeChar"/>
        </w:rPr>
        <w:t xml:space="preserve">tools/campaign_plan.json</w:t>
      </w:r>
      <w:r>
        <w:t xml:space="preserve"> to the 96 + 12 crossed design, with the scenario of each benign run. It still reflects the earlier assignment of scenarios to cells, and I have not read the live file.</w:t>
      </w:r>
    </w:p>
    <w:p>
      <w:pPr>
        <w:pStyle w:val="ListParagraph"/>
        <w:numPr>
          <w:ilvl w:val="0"/>
          <w:numId w:val="2"/>
        </w:numPr>
      </w:pPr>
      <w:r>
        <w:t xml:space="preserve">☐ Run the integrity, topology and 3-sigma attack checks on each run the same day, so a failed run is recaptured while the team is still on site.</w:t>
      </w:r>
    </w:p>
    <w:p>
      <w:pPr>
        <w:pStyle w:val="ListParagraph"/>
        <w:numPr>
          <w:ilvl w:val="0"/>
          <w:numId w:val="2"/>
        </w:numPr>
      </w:pPr>
      <w:r>
        <w:t xml:space="preserve">☐ Capture in this order: wormhole (2 of 48 done, the attack with the least evidence), then the 12 benign runs (Table 4.22 needs them), then the 11 blackhole cells.</w:t>
      </w:r>
    </w:p>
    <w:p>
      <w:pPr/>
      <w:r>
        <w:rPr>
          <w:b/>
        </w:rPr>
        <w:t xml:space="preserve">Decide today</w:t>
      </w:r>
    </w:p>
    <w:p>
      <w:pPr>
        <w:pStyle w:val="ListParagraph"/>
        <w:numPr>
          <w:ilvl w:val="0"/>
          <w:numId w:val="3"/>
        </w:numPr>
      </w:pPr>
      <w:r>
        <w:t xml:space="preserve">☐ What happens if the 69 runs do not fit before Oct 21? Options: stop at a cut-off and report the uncovered cells as a limitation (5.2 already has to say which cells could not be tested), or ask the adviser for more time. Pick one now, because it changes the wording of the plan in Section 4.2.2.5.</w:t>
      </w:r>
    </w:p>
    <w:p>
      <w:pPr/>
      <w:r>
        <w:t xml:space="preserve">Two mismatches to settle against the live inventory. The working-copy to-do block says the only wormhole runs are two stationary linear ones, but the inventory shows one linear (DLSU Library) and one tree (G402). Its blackhole breakdown (2 highload, 1 burst, 1 stationary) also differs from mine (3 highload, 1 burst, 0 stationary), though both total 11. My snapshot flags the DLSU Library partial-mesh highload run (a node at 91.6% coverage) where the paper flags the Yuchengco linear stationary one.</w:t>
      </w:r>
    </w:p>
    <w:p>
      <w:pPr>
        <w:pStyle w:val="Heading2"/>
      </w:pPr>
      <w:r>
        <w:t xml:space="preserve">Waits on the final data</w:t>
      </w:r>
    </w:p>
    <w:p>
      <w:pPr/>
      <w:r>
        <w:t xml:space="preserve">The file holds 23 [PENDING] markers outside Chapter 5 and the register. The working-copy list says 72, which is out of date. They fall into four groups, in the order they can be filled once the runs exist.</w:t>
      </w:r>
    </w:p>
    <w:tbl>
      <w:tblPr>
        <w:tblStyle w:val="TableGrid"/>
        <w:tblW w:w="0" w:type="auto"/>
        <w:tblLayout w:type="fixed"/>
        <w:tblLook w:val="04A0" w:firstRow="1" w:lastRow="0" w:firstColumn="0" w:lastColumn="0" w:noHBand="0" w:noVBand="1"/>
      </w:tblPr>
      <w:tblGrid>
        <w:gridCol w:w="1924"/>
        <w:gridCol w:w="4920"/>
        <w:gridCol w:w="2516"/>
      </w:tblGrid>
      <w:tr>
        <w:trPr>
          <w:tblHeader/>
        </w:trPr>
        <w:tc>
          <w:tcPr>
            <w:tcW w:w="1924" w:type="dxa"/>
            <w:shd w:val="clear" w:color="auto" w:fill="F2F2F2"/>
          </w:tcPr>
          <w:p>
            <w:pPr/>
            <w:r>
              <w:t xml:space="preserve">Where</w:t>
            </w:r>
          </w:p>
        </w:tc>
        <w:tc>
          <w:tcPr>
            <w:tcW w:w="4920" w:type="dxa"/>
            <w:shd w:val="clear" w:color="auto" w:fill="F2F2F2"/>
          </w:tcPr>
          <w:p>
            <w:pPr/>
            <w:r>
              <w:t xml:space="preserve">Fill with</w:t>
            </w:r>
          </w:p>
        </w:tc>
        <w:tc>
          <w:tcPr>
            <w:tcW w:w="2516" w:type="dxa"/>
            <w:shd w:val="clear" w:color="auto" w:fill="F2F2F2"/>
          </w:tcPr>
          <w:p>
            <w:pPr/>
            <w:r>
              <w:t xml:space="preserve">Needs</w:t>
            </w:r>
          </w:p>
        </w:tc>
      </w:tr>
      <w:tr>
        <w:tc>
          <w:tcPr>
            <w:tcW w:w="1924" w:type="dxa"/>
          </w:tcPr>
          <w:p>
            <w:pPr/>
            <w:r>
              <w:t xml:space="preserve">4.2.2.5, Tables 4.6 and 4.7 and the Status paragraph</w:t>
            </w:r>
          </w:p>
        </w:tc>
        <w:tc>
          <w:tcPr>
            <w:tcW w:w="4920" w:type="dxa"/>
          </w:tcPr>
          <w:p>
            <w:pPr/>
            <w:r>
              <w:t xml:space="preserve">Final counts by site, topology, scenario and attack out of 36 per site; runs lost or recaptured; 24 attack and 3 benign runs per scenario</w:t>
            </w:r>
          </w:p>
        </w:tc>
        <w:tc>
          <w:tcPr>
            <w:tcW w:w="2516" w:type="dxa"/>
          </w:tcPr>
          <w:p>
            <w:pPr/>
            <w:r>
              <w:t xml:space="preserve">Capture only</w:t>
            </w:r>
          </w:p>
        </w:tc>
      </w:tr>
      <w:tr>
        <w:tc>
          <w:tcPr>
            <w:tcW w:w="1924" w:type="dxa"/>
          </w:tcPr>
          <w:p>
            <w:pPr/>
            <w:r>
              <w:t xml:space="preserve">4.2.2.5, jitter paragraph</w:t>
            </w:r>
          </w:p>
        </w:tc>
        <w:tc>
          <w:tcPr>
            <w:tcW w:w="4920" w:type="dxa"/>
          </w:tcPr>
          <w:p>
            <w:pPr/>
            <w:r>
              <w:t xml:space="preserve">Jitter coverage by attack and topology (3 per cell), and the scenario of each benign run</w:t>
            </w:r>
          </w:p>
        </w:tc>
        <w:tc>
          <w:tcPr>
            <w:tcW w:w="2516" w:type="dxa"/>
          </w:tcPr>
          <w:p>
            <w:pPr/>
            <w:r>
              <w:t xml:space="preserve">Capture only</w:t>
            </w:r>
          </w:p>
        </w:tc>
      </w:tr>
      <w:tr>
        <w:tc>
          <w:tcPr>
            <w:tcW w:w="1924" w:type="dxa"/>
          </w:tcPr>
          <w:p>
            <w:pPr/>
            <w:r>
              <w:t xml:space="preserve">4.2.2.5, design paragraph</w:t>
            </w:r>
          </w:p>
        </w:tc>
        <w:tc>
          <w:tcPr>
            <w:tcW w:w="4920" w:type="dxa"/>
          </w:tcPr>
          <w:p>
            <w:pPr/>
            <w:r>
              <w:t xml:space="preserve">Confirmation that the plan file lists the 96 + 12 runs and nothing falls outside it</w:t>
            </w:r>
          </w:p>
        </w:tc>
        <w:tc>
          <w:tcPr>
            <w:tcW w:w="2516" w:type="dxa"/>
          </w:tcPr>
          <w:p>
            <w:pPr/>
            <w:r>
              <w:t xml:space="preserve">Capture, plan file</w:t>
            </w:r>
          </w:p>
        </w:tc>
      </w:tr>
      <w:tr>
        <w:tc>
          <w:tcPr>
            <w:tcW w:w="1924" w:type="dxa"/>
          </w:tcPr>
          <w:p>
            <w:pPr/>
            <w:r>
              <w:t xml:space="preserve">4.2.3.7 (four markers)</w:t>
            </w:r>
          </w:p>
        </w:tc>
        <w:tc>
          <w:tcPr>
            <w:tcW w:w="4920" w:type="dxa"/>
          </w:tcPr>
          <w:p>
            <w:pPr/>
            <w:r>
              <w:t xml:space="preserve">Inventory against the plan, pass and fail counts per check, card-file against manifest differences, share of windows discarded under the 8-of-10 rule</w:t>
            </w:r>
          </w:p>
        </w:tc>
        <w:tc>
          <w:tcPr>
            <w:tcW w:w="2516" w:type="dxa"/>
          </w:tcPr>
          <w:p>
            <w:pPr/>
            <w:r>
              <w:t xml:space="preserve">Capture, then inventory and integrity scripts</w:t>
            </w:r>
          </w:p>
        </w:tc>
      </w:tr>
      <w:tr>
        <w:tc>
          <w:tcPr>
            <w:tcW w:w="1924" w:type="dxa"/>
          </w:tcPr>
          <w:p>
            <w:pPr/>
            <w:r>
              <w:t xml:space="preserve">4.2.4.2 G</w:t>
            </w:r>
          </w:p>
        </w:tc>
        <w:tc>
          <w:tcPr>
            <w:tcW w:w="4920" w:type="dxa"/>
          </w:tcPr>
          <w:p>
            <w:pPr/>
            <w:r>
              <w:t xml:space="preserve">Final list of features with no usable data, and tunnel-feature coverage</w:t>
            </w:r>
          </w:p>
        </w:tc>
        <w:tc>
          <w:tcPr>
            <w:tcW w:w="2516" w:type="dxa"/>
          </w:tcPr>
          <w:p>
            <w:pPr/>
            <w:r>
              <w:t xml:space="preserve">Pooled feature table</w:t>
            </w:r>
          </w:p>
        </w:tc>
      </w:tr>
      <w:tr>
        <w:tc>
          <w:tcPr>
            <w:tcW w:w="1924" w:type="dxa"/>
          </w:tcPr>
          <w:p>
            <w:pPr/>
            <w:r>
              <w:t xml:space="preserve">4.2.1.4 after Table 4.5, and 4.2.2</w:t>
            </w:r>
          </w:p>
        </w:tc>
        <w:tc>
          <w:tcPr>
            <w:tcW w:w="4920" w:type="dxa"/>
          </w:tcPr>
          <w:p>
            <w:pPr/>
            <w:r>
              <w:t xml:space="preserve">Wormhole evidence for all 48 runs: hops skipped, probes duplicated at the root, any run with both ends at the same depth</w:t>
            </w:r>
          </w:p>
        </w:tc>
        <w:tc>
          <w:tcPr>
            <w:tcW w:w="2516" w:type="dxa"/>
          </w:tcPr>
          <w:p>
            <w:pPr/>
            <w:r>
              <w:t xml:space="preserve">Wormhole runs, then </w:t>
            </w:r>
            <w:r>
              <w:rPr>
                <w:rStyle w:val="CodeChar"/>
              </w:rPr>
              <w:t xml:space="preserve">verify_attack.py</w:t>
            </w:r>
          </w:p>
        </w:tc>
      </w:tr>
      <w:tr>
        <w:tc>
          <w:tcPr>
            <w:tcW w:w="1924" w:type="dxa"/>
          </w:tcPr>
          <w:p>
            <w:pPr/>
            <w:r>
              <w:t xml:space="preserve">4.2.7.1, Table 4.24</w:t>
            </w:r>
          </w:p>
        </w:tc>
        <w:tc>
          <w:tcPr>
            <w:tcW w:w="4920" w:type="dxa"/>
          </w:tcPr>
          <w:p>
            <w:pPr/>
            <w:r>
              <w:t xml:space="preserve">Per-cell 3-sigma result for all 96 attack runs, undefined cells marked</w:t>
            </w:r>
          </w:p>
        </w:tc>
        <w:tc>
          <w:tcPr>
            <w:tcW w:w="2516" w:type="dxa"/>
          </w:tcPr>
          <w:p>
            <w:pPr/>
            <w:r>
              <w:rPr>
                <w:rStyle w:val="CodeChar"/>
              </w:rPr>
              <w:t xml:space="preserve">verify_attack.py</w:t>
            </w:r>
          </w:p>
        </w:tc>
      </w:tr>
      <w:tr>
        <w:tc>
          <w:tcPr>
            <w:tcW w:w="1924" w:type="dxa"/>
          </w:tcPr>
          <w:p>
            <w:pPr/>
            <w:r>
              <w:t xml:space="preserve">4.2.7.3, Table 4.25</w:t>
            </w:r>
          </w:p>
        </w:tc>
        <w:tc>
          <w:tcPr>
            <w:tcW w:w="4920" w:type="dxa"/>
          </w:tcPr>
          <w:p>
            <w:pPr/>
            <w:r>
              <w:t xml:space="preserve">Final single-feature audit, including run-clock position alone</w:t>
            </w:r>
          </w:p>
        </w:tc>
        <w:tc>
          <w:tcPr>
            <w:tcW w:w="2516" w:type="dxa"/>
          </w:tcPr>
          <w:p>
            <w:pPr/>
            <w:r>
              <w:rPr>
                <w:rStyle w:val="CodeChar"/>
              </w:rPr>
              <w:t xml:space="preserve">analysis/leakage.py</w:t>
            </w:r>
          </w:p>
        </w:tc>
      </w:tr>
      <w:tr>
        <w:tc>
          <w:tcPr>
            <w:tcW w:w="1924" w:type="dxa"/>
          </w:tcPr>
          <w:p>
            <w:pPr/>
            <w:r>
              <w:t xml:space="preserve">4.2.7.4</w:t>
            </w:r>
          </w:p>
        </w:tc>
        <w:tc>
          <w:tcPr>
            <w:tcW w:w="4920" w:type="dxa"/>
          </w:tcPr>
          <w:p>
            <w:pPr/>
            <w:r>
              <w:t xml:space="preserve">Victim retry counters stay at 0 and no parent switch in a wormhole run, on all four topologies</w:t>
            </w:r>
          </w:p>
        </w:tc>
        <w:tc>
          <w:tcPr>
            <w:tcW w:w="2516" w:type="dxa"/>
          </w:tcPr>
          <w:p>
            <w:pPr/>
            <w:r>
              <w:t xml:space="preserve">Verifier output</w:t>
            </w:r>
          </w:p>
        </w:tc>
      </w:tr>
      <w:tr>
        <w:tc>
          <w:tcPr>
            <w:tcW w:w="1924" w:type="dxa"/>
          </w:tcPr>
          <w:p>
            <w:pPr/>
            <w:r>
              <w:t xml:space="preserve">1.4.1 and 4.2.7.5</w:t>
            </w:r>
          </w:p>
        </w:tc>
        <w:tc>
          <w:tcPr>
            <w:tcW w:w="4920" w:type="dxa"/>
          </w:tcPr>
          <w:p>
            <w:pPr/>
            <w:r>
              <w:t xml:space="preserve">Final count of partial-mesh runs where a node is seen under a second parent</w:t>
            </w:r>
          </w:p>
        </w:tc>
        <w:tc>
          <w:tcPr>
            <w:tcW w:w="2516" w:type="dxa"/>
          </w:tcPr>
          <w:p>
            <w:pPr/>
            <w:r>
              <w:rPr>
                <w:rStyle w:val="CodeChar"/>
              </w:rPr>
              <w:t xml:space="preserve">verify_topology.py</w:t>
            </w:r>
          </w:p>
        </w:tc>
      </w:tr>
      <w:tr>
        <w:tc>
          <w:tcPr>
            <w:tcW w:w="1924" w:type="dxa"/>
          </w:tcPr>
          <w:p>
            <w:pPr/>
            <w:r>
              <w:t xml:space="preserve">4.2.5.6, Table 4.21, Figure 4.49</w:t>
            </w:r>
          </w:p>
        </w:tc>
        <w:tc>
          <w:tcPr>
            <w:tcW w:w="4920" w:type="dxa"/>
          </w:tcPr>
          <w:p>
            <w:pPr/>
            <w:r>
              <w:t xml:space="preserve">Final clustering for seeds 42, 7 and 123, both feature sets, the k-sweep, label share and feature means per cluster, and whether the wormhole windows separate</w:t>
            </w:r>
          </w:p>
        </w:tc>
        <w:tc>
          <w:tcPr>
            <w:tcW w:w="2516" w:type="dxa"/>
          </w:tcPr>
          <w:p>
            <w:pPr/>
            <w:r>
              <w:t xml:space="preserve">Clustering on the pooled table</w:t>
            </w:r>
          </w:p>
        </w:tc>
      </w:tr>
      <w:tr>
        <w:tc>
          <w:tcPr>
            <w:tcW w:w="1924" w:type="dxa"/>
          </w:tcPr>
          <w:p>
            <w:pPr/>
            <w:r>
              <w:t xml:space="preserve">4.2.6, Figures 4.50 to 4.53</w:t>
            </w:r>
          </w:p>
        </w:tc>
        <w:tc>
          <w:tcPr>
            <w:tcW w:w="4920" w:type="dxa"/>
          </w:tcPr>
          <w:p>
            <w:pPr/>
            <w:r>
              <w:t xml:space="preserve">Final EDA figures, plus baseline-only and attack-only correlation views</w:t>
            </w:r>
          </w:p>
        </w:tc>
        <w:tc>
          <w:tcPr>
            <w:tcW w:w="2516" w:type="dxa"/>
          </w:tcPr>
          <w:p>
            <w:pPr/>
            <w:r>
              <w:rPr>
                <w:rStyle w:val="CodeChar"/>
              </w:rPr>
              <w:t xml:space="preserve">analysis/eda.py</w:t>
            </w:r>
          </w:p>
        </w:tc>
      </w:tr>
      <w:tr>
        <w:tc>
          <w:tcPr>
            <w:tcW w:w="1924" w:type="dxa"/>
          </w:tcPr>
          <w:p>
            <w:pPr/>
            <w:r>
              <w:t xml:space="preserve">4.2.6.1, Table 4.22</w:t>
            </w:r>
          </w:p>
        </w:tc>
        <w:tc>
          <w:tcPr>
            <w:tcW w:w="4920" w:type="dxa"/>
          </w:tcPr>
          <w:p>
            <w:pPr/>
            <w:r>
              <w:t xml:space="preserve">The 12 matched benign runs against the attack-run baselines</w:t>
            </w:r>
          </w:p>
        </w:tc>
        <w:tc>
          <w:tcPr>
            <w:tcW w:w="2516" w:type="dxa"/>
          </w:tcPr>
          <w:p>
            <w:pPr/>
            <w:r>
              <w:t xml:space="preserve">Benign runs</w:t>
            </w:r>
          </w:p>
        </w:tc>
      </w:tr>
      <w:tr>
        <w:tc>
          <w:tcPr>
            <w:tcW w:w="1924" w:type="dxa"/>
          </w:tcPr>
          <w:p>
            <w:pPr/>
            <w:r>
              <w:t xml:space="preserve">4.4</w:t>
            </w:r>
          </w:p>
        </w:tc>
        <w:tc>
          <w:tcPr>
            <w:tcW w:w="4920" w:type="dxa"/>
          </w:tcPr>
          <w:p>
            <w:pPr/>
            <w:r>
              <w:t xml:space="preserve">Projections by cluster, heatmap of feature means, box plots, label share per cluster; also the finished-cell figures marked for insertion in 4.2.6</w:t>
            </w:r>
          </w:p>
        </w:tc>
        <w:tc>
          <w:tcPr>
            <w:tcW w:w="2516" w:type="dxa"/>
          </w:tcPr>
          <w:p>
            <w:pPr/>
            <w:r>
              <w:t xml:space="preserve">Final clustering run</w:t>
            </w:r>
          </w:p>
        </w:tc>
      </w:tr>
      <w:tr>
        <w:tc>
          <w:tcPr>
            <w:tcW w:w="1924" w:type="dxa"/>
          </w:tcPr>
          <w:p>
            <w:pPr/>
            <w:r>
              <w:t xml:space="preserve">Table 4.6, Yuchengco row</w:t>
            </w:r>
          </w:p>
        </w:tc>
        <w:tc>
          <w:tcPr>
            <w:tcW w:w="4920" w:type="dxa"/>
          </w:tcPr>
          <w:p>
            <w:pPr/>
            <w:r>
              <w:t xml:space="preserve">Floor and room or corridor of the Yuchengco area (D-19)</w:t>
            </w:r>
          </w:p>
        </w:tc>
        <w:tc>
          <w:tcPr>
            <w:tcW w:w="2516" w:type="dxa"/>
          </w:tcPr>
          <w:p>
            <w:pPr/>
            <w:r>
              <w:t xml:space="preserve">Team, no runs</w:t>
            </w:r>
          </w:p>
        </w:tc>
      </w:tr>
      <w:tr>
        <w:tc>
          <w:tcPr>
            <w:tcW w:w="1924" w:type="dxa"/>
          </w:tcPr>
          <w:p>
            <w:pPr/>
            <w:r>
              <w:t xml:space="preserve">1.4.1, 4.2.3.7, 4.2.7.5 and Appendix C (D-13)</w:t>
            </w:r>
          </w:p>
        </w:tc>
        <w:tc>
          <w:tcPr>
            <w:tcW w:w="4920" w:type="dxa"/>
          </w:tcPr>
          <w:p>
            <w:pPr/>
            <w:r>
              <w:t xml:space="preserve">Result of the hardware test of the microSD fsync fix, and whether any capture after it has a 0-row card file</w:t>
            </w:r>
          </w:p>
        </w:tc>
        <w:tc>
          <w:tcPr>
            <w:tcW w:w="2516" w:type="dxa"/>
          </w:tcPr>
          <w:p>
            <w:pPr/>
            <w:r>
              <w:t xml:space="preserve">Team, one test</w:t>
            </w:r>
          </w:p>
        </w:tc>
      </w:tr>
      <w:tr>
        <w:tc>
          <w:tcPr>
            <w:tcW w:w="1924" w:type="dxa"/>
          </w:tcPr>
          <w:p>
            <w:pPr/>
            <w:r>
              <w:t xml:space="preserve">4.2.3.3 and Appendix C (D-14)</w:t>
            </w:r>
          </w:p>
        </w:tc>
        <w:tc>
          <w:tcPr>
            <w:tcW w:w="4920" w:type="dxa"/>
          </w:tcPr>
          <w:p>
            <w:pPr/>
            <w:r>
              <w:t xml:space="preserve">A full-length 20 MHz run with a sniffer capture of its data frames</w:t>
            </w:r>
          </w:p>
        </w:tc>
        <w:tc>
          <w:tcPr>
            <w:tcW w:w="2516" w:type="dxa"/>
          </w:tcPr>
          <w:p>
            <w:pPr/>
            <w:r>
              <w:t xml:space="preserve">Team, one run</w:t>
            </w:r>
          </w:p>
        </w:tc>
      </w:tr>
      <w:tr>
        <w:tc>
          <w:tcPr>
            <w:tcW w:w="1924" w:type="dxa"/>
          </w:tcPr>
          <w:p>
            <w:pPr/>
            <w:r>
              <w:t xml:space="preserve">Appendix C</w:t>
            </w:r>
          </w:p>
        </w:tc>
        <w:tc>
          <w:tcPr>
            <w:tcW w:w="4920" w:type="dxa"/>
          </w:tcPr>
          <w:p>
            <w:pPr/>
            <w:r>
              <w:t xml:space="preserve">Final deviation list; add the move to the crossed design of Section 4.2.2.5 and any change after 15 October</w:t>
            </w:r>
          </w:p>
        </w:tc>
        <w:tc>
          <w:tcPr>
            <w:tcW w:w="2516" w:type="dxa"/>
          </w:tcPr>
          <w:p>
            <w:pPr/>
            <w:r>
              <w:t xml:space="preserve">Last, after everything else</w:t>
            </w:r>
          </w:p>
        </w:tc>
      </w:tr>
    </w:tbl>
    <w:p>
      <w:pPr/>
      <w:r>
        <w:rPr>
          <w:b/>
        </w:rPr>
        <w:t xml:space="preserve">Provisional labels to strip once the final numbers are in</w:t>
      </w:r>
    </w:p>
    <w:p>
      <w:pPr>
        <w:pStyle w:val="ListParagraph"/>
        <w:numPr>
          <w:ilvl w:val="0"/>
          <w:numId w:val="4"/>
        </w:numPr>
      </w:pPr>
      <w:r>
        <w:t xml:space="preserve">☐ "(Provisional)" in the headings of 4.2.5.6 and 4.2.6.1, and the same lines in the contents list.</w:t>
      </w:r>
    </w:p>
    <w:p>
      <w:pPr>
        <w:pStyle w:val="ListParagraph"/>
        <w:numPr>
          <w:ilvl w:val="0"/>
          <w:numId w:val="4"/>
        </w:numPr>
      </w:pPr>
      <w:r>
        <w:t xml:space="preserve">☐ Every "(provisional, 39 runs)" label, including the one on the single-feature audit table.</w:t>
      </w:r>
    </w:p>
    <w:p>
      <w:pPr>
        <w:pStyle w:val="ListParagraph"/>
        <w:numPr>
          <w:ilvl w:val="0"/>
          <w:numId w:val="4"/>
        </w:numPr>
      </w:pPr>
      <w:r>
        <w:t xml:space="preserve">☐ The "provisional counts for 15 October" sentences in 4.2.2.5, 5.1 and 5.4, and the "15 October" status wording.</w:t>
      </w:r>
    </w:p>
    <w:p>
      <w:pPr>
        <w:pStyle w:val="Heading2"/>
      </w:pPr>
      <w:r>
        <w:t xml:space="preserve">Chapter 5</w:t>
      </w:r>
    </w:p>
    <w:p>
      <w:pPr/>
      <w:r>
        <w:t xml:space="preserve">Chapter 5 has its headings and one finished section (5.6 Future Work). The other six can be written only from the final tables, and each one is built from tables already in Chapter 4. Claims about separation come from the clustering step, not from the EDA pictures.</w:t>
      </w:r>
    </w:p>
    <w:tbl>
      <w:tblPr>
        <w:tblStyle w:val="TableGrid"/>
        <w:tblW w:w="0" w:type="auto"/>
        <w:tblLayout w:type="fixed"/>
        <w:tblLook w:val="04A0" w:firstRow="1" w:lastRow="0" w:firstColumn="0" w:lastColumn="0" w:noHBand="0" w:noVBand="1"/>
      </w:tblPr>
      <w:tblGrid>
        <w:gridCol w:w="2662"/>
        <w:gridCol w:w="4920"/>
        <w:gridCol w:w="1778"/>
      </w:tblGrid>
      <w:tr>
        <w:trPr>
          <w:tblHeader/>
        </w:trPr>
        <w:tc>
          <w:tcPr>
            <w:tcW w:w="2662" w:type="dxa"/>
            <w:shd w:val="clear" w:color="auto" w:fill="F2F2F2"/>
          </w:tcPr>
          <w:p>
            <w:pPr/>
            <w:r>
              <w:t xml:space="preserve">Section</w:t>
            </w:r>
          </w:p>
        </w:tc>
        <w:tc>
          <w:tcPr>
            <w:tcW w:w="4920" w:type="dxa"/>
            <w:shd w:val="clear" w:color="auto" w:fill="F2F2F2"/>
          </w:tcPr>
          <w:p>
            <w:pPr/>
            <w:r>
              <w:t xml:space="preserve">Must report</w:t>
            </w:r>
          </w:p>
        </w:tc>
        <w:tc>
          <w:tcPr>
            <w:tcW w:w="1778" w:type="dxa"/>
            <w:shd w:val="clear" w:color="auto" w:fill="F2F2F2"/>
          </w:tcPr>
          <w:p>
            <w:pPr/>
            <w:r>
              <w:t xml:space="preserve">Answers objective</w:t>
            </w:r>
          </w:p>
        </w:tc>
      </w:tr>
      <w:tr>
        <w:tc>
          <w:tcPr>
            <w:tcW w:w="2662" w:type="dxa"/>
          </w:tcPr>
          <w:p>
            <w:pPr/>
            <w:r>
              <w:t xml:space="preserve">5.1 Dataset Collected</w:t>
            </w:r>
          </w:p>
        </w:tc>
        <w:tc>
          <w:tcPr>
            <w:tcW w:w="4920" w:type="dxa"/>
          </w:tcPr>
          <w:p>
            <w:pPr/>
            <w:r>
              <w:t xml:space="preserve">Runs by site, topology, scenario and attack against the plan (24 attack and 3 benign runs per scenario); jitter coverage; windows kept and discarded; runs lost, recaptured or excluded, and why; features with no usable data</w:t>
            </w:r>
          </w:p>
        </w:tc>
        <w:tc>
          <w:tcPr>
            <w:tcW w:w="1778" w:type="dxa"/>
          </w:tcPr>
          <w:p>
            <w:pPr/>
            <w:r>
              <w:t xml:space="preserve">Testbed and dataset objectives (1 and 2)</w:t>
            </w:r>
          </w:p>
        </w:tc>
      </w:tr>
      <w:tr>
        <w:tc>
          <w:tcPr>
            <w:tcW w:w="2662" w:type="dxa"/>
          </w:tcPr>
          <w:p>
            <w:pPr/>
            <w:r>
              <w:t xml:space="preserve">5.2 Attack Validation Results</w:t>
            </w:r>
          </w:p>
        </w:tc>
        <w:tc>
          <w:tcPr>
            <w:tcW w:w="4920" w:type="dxa"/>
          </w:tcPr>
          <w:p>
            <w:pPr/>
            <w:r>
              <w:t xml:space="preserve">Final per-cell 3-sigma table (Table 4.24); wormhole evidence for all 48 runs with hops skipped; final single-feature audit (Table 4.25); predictions tested and not observed; cells that could not be tested, and why</w:t>
            </w:r>
          </w:p>
        </w:tc>
        <w:tc>
          <w:tcPr>
            <w:tcW w:w="1778" w:type="dxa"/>
          </w:tcPr>
          <w:p>
            <w:pPr/>
            <w:r>
              <w:t xml:space="preserve">1 and 2</w:t>
            </w:r>
          </w:p>
        </w:tc>
      </w:tr>
      <w:tr>
        <w:tc>
          <w:tcPr>
            <w:tcW w:w="2662" w:type="dxa"/>
          </w:tcPr>
          <w:p>
            <w:pPr/>
            <w:r>
              <w:t xml:space="preserve">5.3 EDA Results</w:t>
            </w:r>
          </w:p>
        </w:tc>
        <w:tc>
          <w:tcPr>
            <w:tcW w:w="4920" w:type="dxa"/>
          </w:tcPr>
          <w:p>
            <w:pPr/>
            <w:r>
              <w:t xml:space="preserve">The final EDA figures and Table 4.22, including the 12 matched benign runs against the attack-run baselines. Describe the pictures; do not state detection results</w:t>
            </w:r>
          </w:p>
        </w:tc>
        <w:tc>
          <w:tcPr>
            <w:tcW w:w="1778" w:type="dxa"/>
          </w:tcPr>
          <w:p>
            <w:pPr/>
            <w:r>
              <w:t xml:space="preserve">3</w:t>
            </w:r>
          </w:p>
        </w:tc>
      </w:tr>
      <w:tr>
        <w:tc>
          <w:tcPr>
            <w:tcW w:w="2662" w:type="dxa"/>
          </w:tcPr>
          <w:p>
            <w:pPr/>
            <w:r>
              <w:t xml:space="preserve">5.4 Clustering Results</w:t>
            </w:r>
          </w:p>
        </w:tc>
        <w:tc>
          <w:tcPr>
            <w:tcW w:w="4920" w:type="dxa"/>
          </w:tcPr>
          <w:p>
            <w:pPr/>
            <w:r>
              <w:t xml:space="preserve">Final Table 4.21 and Figure 4.49 for the pooled 108 runs; label share and feature means per cluster; whether normal, blackhole and wormhole-inspired windows separate, from purity and ARI; jitter runs as their own subgroup</w:t>
            </w:r>
          </w:p>
        </w:tc>
        <w:tc>
          <w:tcPr>
            <w:tcW w:w="1778" w:type="dxa"/>
          </w:tcPr>
          <w:p>
            <w:pPr/>
            <w:r>
              <w:t xml:space="preserve">3</w:t>
            </w:r>
          </w:p>
        </w:tc>
      </w:tr>
      <w:tr>
        <w:tc>
          <w:tcPr>
            <w:tcW w:w="2662" w:type="dxa"/>
          </w:tcPr>
          <w:p>
            <w:pPr/>
            <w:r>
              <w:t xml:space="preserve">5.5 Discussion</w:t>
            </w:r>
          </w:p>
        </w:tc>
        <w:tc>
          <w:tcPr>
            <w:tcW w:w="4920" w:type="dxa"/>
          </w:tcPr>
          <w:p>
            <w:pPr/>
            <w:r>
              <w:t xml:space="preserve">Link to the objectives in Section 1.3 and to the published studies (4.2.7.2, Tables 4.26 to 4.30); what an application-layer emulation can and cannot show (D-20); partial-mesh limit; highload limit; one run per cell, with the three sites acting as repeats</w:t>
            </w:r>
          </w:p>
        </w:tc>
        <w:tc>
          <w:tcPr>
            <w:tcW w:w="1778" w:type="dxa"/>
          </w:tcPr>
          <w:p>
            <w:pPr/>
            <w:r>
              <w:t xml:space="preserve">All three</w:t>
            </w:r>
          </w:p>
        </w:tc>
      </w:tr>
      <w:tr>
        <w:tc>
          <w:tcPr>
            <w:tcW w:w="2662" w:type="dxa"/>
          </w:tcPr>
          <w:p>
            <w:pPr/>
            <w:r>
              <w:t xml:space="preserve">5.7 Conclusion</w:t>
            </w:r>
          </w:p>
        </w:tc>
        <w:tc>
          <w:tcPr>
            <w:tcW w:w="4920" w:type="dxa"/>
          </w:tcPr>
          <w:p>
            <w:pPr/>
            <w:r>
              <w:t xml:space="preserve">The contribution against the three objectives, using only results that appear in the final tables</w:t>
            </w:r>
          </w:p>
        </w:tc>
        <w:tc>
          <w:tcPr>
            <w:tcW w:w="1778" w:type="dxa"/>
          </w:tcPr>
          <w:p>
            <w:pPr/>
            <w:r>
              <w:t xml:space="preserve">All three</w:t>
            </w:r>
          </w:p>
        </w:tc>
      </w:tr>
      <w:tr>
        <w:tc>
          <w:tcPr>
            <w:tcW w:w="2662" w:type="dxa"/>
          </w:tcPr>
          <w:p>
            <w:pPr/>
            <w:r>
              <w:t xml:space="preserve">5.6 Future Work</w:t>
            </w:r>
          </w:p>
        </w:tc>
        <w:tc>
          <w:tcPr>
            <w:tcW w:w="4920" w:type="dxa"/>
          </w:tcPr>
          <w:p>
            <w:pPr/>
            <w:r>
              <w:t xml:space="preserve">Already written. Reread it against the final findings</w:t>
            </w:r>
          </w:p>
        </w:tc>
        <w:tc>
          <w:tcPr>
            <w:tcW w:w="1778" w:type="dxa"/>
          </w:tcPr>
          <w:p>
            <w:pPr/>
            <w:r>
              <w:t xml:space="preserve">None</w:t>
            </w:r>
          </w:p>
        </w:tc>
      </w:tr>
    </w:tbl>
    <w:p>
      <w:pPr>
        <w:pStyle w:val="ListParagraph"/>
        <w:numPr>
          <w:ilvl w:val="0"/>
          <w:numId w:val="5"/>
        </w:numPr>
      </w:pPr>
      <w:r>
        <w:t xml:space="preserve">☐ Write the wormhole result as a finding if the windows do not separate. At 15 October the clusters found the delivery collapse behind the blackhole attacker and did not separate the wormhole-inspired windows; Section 4.2.5.5 already says that outcome is not a failure of the method.</w:t>
      </w:r>
    </w:p>
    <w:p>
      <w:pPr>
        <w:pStyle w:val="ListParagraph"/>
        <w:numPr>
          <w:ilvl w:val="0"/>
          <w:numId w:val="5"/>
        </w:numPr>
      </w:pPr>
      <w:r>
        <w:t xml:space="preserve">☐ Make sure each of the three objectives in 1.3.2 is answered by name in 5.7.</w:t>
      </w:r>
    </w:p>
    <w:p>
      <w:pPr>
        <w:pStyle w:val="ListParagraph"/>
        <w:numPr>
          <w:ilvl w:val="0"/>
          <w:numId w:val="5"/>
        </w:numPr>
      </w:pPr>
      <w:r>
        <w:t xml:space="preserve">☐ Update the abstract at the same time (see Formatting).</w:t>
      </w:r>
    </w:p>
    <w:p>
      <w:pPr>
        <w:pStyle w:val="Heading2"/>
      </w:pPr>
      <w:r>
        <w:t xml:space="preserve">Formatting and consistency</w:t>
      </w:r>
    </w:p>
    <w:p>
      <w:pPr/>
      <w:r>
        <w:t xml:space="preserve">The largest problem is not cosmetic: the Chapter 4 body is behind the contents list, the table and figure lists, and Chapter 5. These are typed text, so none of them updates on its own.</w:t>
      </w:r>
    </w:p>
    <w:p>
      <w:pPr/>
      <w:r>
        <w:rPr>
          <w:b/>
        </w:rPr>
        <w:t xml:space="preserve">1. Chapter 4 body against the contents, lists and Chapter 5</w:t>
      </w:r>
    </w:p>
    <w:p>
      <w:pPr>
        <w:pStyle w:val="ListParagraph"/>
        <w:numPr>
          <w:ilvl w:val="0"/>
          <w:numId w:val="6"/>
        </w:numPr>
      </w:pPr>
      <w:r>
        <w:t xml:space="preserve">☐ The body has no 4.2.5 "Data Clustering" opening or 4.2.5.1 "Feature Normalization", no 4.2.5.6 "Clustering Results" and no 4.2.6.1 "Benign Baseline Characterization". The contents list them, and Chapter 5 and Table D.1 point to them.</w:t>
      </w:r>
    </w:p>
    <w:p>
      <w:pPr>
        <w:pStyle w:val="ListParagraph"/>
        <w:numPr>
          <w:ilvl w:val="0"/>
          <w:numId w:val="6"/>
        </w:numPr>
      </w:pPr>
      <w:r>
        <w:t xml:space="preserve">☐ These are missing from the body: Table 4.19 (changes to the windowed schema), Table 4.21 (clustering metrics), Table 4.22 (baseline windows by site), Table 4.24 (per-cell attack check) and Figures 4.49 to 4.53 (k-sweep, time series, distributions, correlations, PCA and t-SNE). None of them is in the 15 October additions files I have either.</w:t>
      </w:r>
    </w:p>
    <w:p>
      <w:pPr>
        <w:pStyle w:val="ListParagraph"/>
        <w:numPr>
          <w:ilvl w:val="0"/>
          <w:numId w:val="6"/>
        </w:numPr>
      </w:pPr>
      <w:r>
        <w:t xml:space="preserve">☐ </w:t>
      </w:r>
      <w:r>
        <w:rPr>
          <w:b/>
        </w:rPr>
        <w:t xml:space="preserve">Decide:</w:t>
      </w:r>
      <w:r>
        <w:t xml:space="preserve"> write them once, from the final data on Oct 22 (my suggestion, so the provisional text is not written twice), or write them now from the 39-run results and replace them later. If it is once, delete the "(Provisional)" lines from the contents.</w:t>
      </w:r>
    </w:p>
    <w:p>
      <w:pPr>
        <w:pStyle w:val="ListParagraph"/>
        <w:numPr>
          <w:ilvl w:val="0"/>
          <w:numId w:val="6"/>
        </w:numPr>
      </w:pPr>
      <w:r>
        <w:t xml:space="preserve">☐ Body captions use the older numbering from Table 4.19 and Figure 4.33 on. For example the body's Table 4.21 (single-feature accuracy) is 4.25 in the list, its Table 4.22 (testbed parameters) is 4.26, and its Table 4.20 (validation checks) is 4.23. The figures shift the same way, from 4.33 to 4.55. Text references such as "Table 4.22 lists their setup" follow the body, not the list.</w:t>
      </w:r>
    </w:p>
    <w:p>
      <w:pPr>
        <w:pStyle w:val="ListParagraph"/>
        <w:numPr>
          <w:ilvl w:val="0"/>
          <w:numId w:val="6"/>
        </w:numPr>
      </w:pPr>
      <w:r>
        <w:t xml:space="preserve">☐ List entries 4.29 and 4.30 (Software Components of WSN Nodes, Sinkhole Event Log) name exhibits that are not in the body, and the body's Zhukabayeva exhibit, "Changes in Network Parameters under a Wormhole Attack", is not listed. List entry 4.57 says "Forwarding Ratio" where the body caption says "Package Fault Rate".</w:t>
      </w:r>
    </w:p>
    <w:p>
      <w:pPr>
        <w:pStyle w:val="ListParagraph"/>
        <w:numPr>
          <w:ilvl w:val="0"/>
          <w:numId w:val="6"/>
        </w:numPr>
      </w:pPr>
      <w:r>
        <w:t xml:space="preserve">☐ Renumber the captions and references in one pass at the end, after the sections above exist. Better still, turn the captions into Word caption fields so the lists build themselves.</w:t>
      </w:r>
    </w:p>
    <w:p>
      <w:pPr/>
      <w:r>
        <w:rPr>
          <w:b/>
        </w:rPr>
        <w:t xml:space="preserve">2. Heading numbers</w:t>
      </w:r>
    </w:p>
    <w:p>
      <w:pPr>
        <w:pStyle w:val="ListParagraph"/>
        <w:numPr>
          <w:ilvl w:val="0"/>
          <w:numId w:val="7"/>
        </w:numPr>
      </w:pPr>
      <w:r>
        <w:t xml:space="preserve">☐ About 31 headings from 4.2.5 on still carry old typed numbers: 4.1.1.1 to 4.1.1.4 (clustering), 4.1.2 (EDA), 4.1.3 and 4.1.3.1 to 4.1.3.6 (attack validation), 4.2.x (theory) and 4.3 (visualisation). They should read 4.2.5.x, 4.2.6, 4.2.7.x, 4.3.x and 4.4. Block "4.2.5. 4.1.1.1. Clustering Algorithms" even carries two numbers.</w:t>
      </w:r>
    </w:p>
    <w:p>
      <w:pPr>
        <w:pStyle w:val="ListParagraph"/>
        <w:numPr>
          <w:ilvl w:val="0"/>
          <w:numId w:val="7"/>
        </w:numPr>
      </w:pPr>
      <w:r>
        <w:t xml:space="preserve">☐ "Justification for the Other Algorithms" is numbered 4.2.2.5, which pushes the next theory headings down by one and adds a line to the contents.</w:t>
      </w:r>
    </w:p>
    <w:p>
      <w:pPr>
        <w:pStyle w:val="ListParagraph"/>
        <w:numPr>
          <w:ilvl w:val="0"/>
          <w:numId w:val="7"/>
        </w:numPr>
      </w:pPr>
      <w:r>
        <w:t xml:space="preserve">☐ Lettered sub-headings sit among numbered ones: A, B, C before 4.2.3.1.4; C after 4.2.3.3.2; A before 4.2.3.4.2; A and B before 4.2.3.6.3; and A to K (with E missing) under 4.2.5.2. Make them all numbered.</w:t>
      </w:r>
    </w:p>
    <w:p>
      <w:pPr>
        <w:pStyle w:val="ListParagraph"/>
        <w:numPr>
          <w:ilvl w:val="0"/>
          <w:numId w:val="7"/>
        </w:numPr>
      </w:pPr>
      <w:r>
        <w:t xml:space="preserve">☐ Chapter 3: 3.4.4 and 3.4.5 have the same title (Expected Observable Inconsistencies); the contents give different titles for 3.2.3.1 and 3.2.3.2 than the body; and one line reads "Layer 4 child of Layer 0", which cannot occur because the root is layer 1.</w:t>
      </w:r>
    </w:p>
    <w:p>
      <w:pPr/>
      <w:r>
        <w:rPr>
          <w:b/>
        </w:rPr>
        <w:t xml:space="preserve">3. Styles</w:t>
      </w:r>
    </w:p>
    <w:p>
      <w:pPr>
        <w:pStyle w:val="ListParagraph"/>
        <w:numPr>
          <w:ilvl w:val="0"/>
          <w:numId w:val="8"/>
        </w:numPr>
      </w:pPr>
      <w:r>
        <w:t xml:space="preserve">☐ About 325 body paragraphs in 4.2.5 to 4.4 are set in the Heading 3 style and formatted to look like body text. They fill the Navigation Pane and would flood a rebuilt contents list. Reset them to Normal.</w:t>
      </w:r>
    </w:p>
    <w:p>
      <w:pPr>
        <w:pStyle w:val="ListParagraph"/>
        <w:numPr>
          <w:ilvl w:val="0"/>
          <w:numId w:val="8"/>
        </w:numPr>
      </w:pPr>
      <w:r>
        <w:t xml:space="preserve">☐ Delete the stray empty Heading 1 in the bibliography.</w:t>
      </w:r>
    </w:p>
    <w:p>
      <w:pPr/>
      <w:r>
        <w:rPr>
          <w:b/>
        </w:rPr>
        <w:t xml:space="preserve">4. Front matter</w:t>
      </w:r>
    </w:p>
    <w:p>
      <w:pPr>
        <w:pStyle w:val="ListParagraph"/>
        <w:numPr>
          <w:ilvl w:val="0"/>
          <w:numId w:val="9"/>
        </w:numPr>
      </w:pPr>
      <w:r>
        <w:t xml:space="preserve">☐ The cover reads "A Thesis Proposal Presented to". Check whether the final submission should say "A Thesis Presented to". The date is already October 24, 2026.</w:t>
      </w:r>
    </w:p>
    <w:p>
      <w:pPr>
        <w:pStyle w:val="ListParagraph"/>
        <w:numPr>
          <w:ilvl w:val="0"/>
          <w:numId w:val="9"/>
        </w:numPr>
      </w:pPr>
      <w:r>
        <w:t xml:space="preserve">☐ Abstract: it still says "a controlled indoor environment" and "retransmission counts". Add the three sites, the four scenarios, the 108 runs, and the main finding once it is known. Application-layer retries are not MAC retransmissions (D-15).</w:t>
      </w:r>
    </w:p>
    <w:p>
      <w:pPr/>
      <w:r>
        <w:rPr>
          <w:b/>
        </w:rPr>
        <w:t xml:space="preserve">5. Last pass, in this order</w:t>
      </w:r>
    </w:p>
    <w:p>
      <w:pPr>
        <w:pStyle w:val="ListParagraph"/>
        <w:numPr>
          <w:ilvl w:val="0"/>
          <w:numId w:val="10"/>
        </w:numPr>
      </w:pPr>
      <w:r>
        <w:t xml:space="preserve">☐ Delete Appendix D; clear all yellow and cyan highlights; select all and press F9; rebuild the contents, table, figure and equation lists with their page numbers; then page through the PDF once.</w:t>
      </w:r>
    </w:p>
    <w:p>
      <w:pPr>
        <w:pStyle w:val="Heading2"/>
      </w:pPr>
      <w:r>
        <w:t xml:space="preserve">References and exhibits</w:t>
      </w:r>
    </w:p>
    <w:p>
      <w:pPr/>
      <w:r>
        <w:t xml:space="preserve">The bibliography has 79 entries, and every numbered citation in the text resolves to one. The gaps are the other way round: 28 entries are never cited, and the ten reference exhibits are still placeholders.</w:t>
      </w:r>
    </w:p>
    <w:p>
      <w:pPr>
        <w:pStyle w:val="ListParagraph"/>
        <w:numPr>
          <w:ilvl w:val="0"/>
          <w:numId w:val="11"/>
        </w:numPr>
      </w:pPr>
      <w:r>
        <w:t xml:space="preserve">☐ </w:t>
      </w:r>
      <w:r>
        <w:rPr>
          <w:b/>
        </w:rPr>
        <w:t xml:space="preserve">Cite or delete the 28 uncited entries:</w:t>
      </w:r>
      <w:r>
        <w:t xml:space="preserve"> [7], [10], [11], [12], [14], [15], [16], [17], [47], [73], [74] and [53] to [69]. For each, either add the sentence that uses it or remove it and renumber.</w:t>
      </w:r>
    </w:p>
    <w:p>
      <w:pPr>
        <w:pStyle w:val="ListParagraph"/>
        <w:numPr>
          <w:ilvl w:val="0"/>
          <w:numId w:val="11"/>
        </w:numPr>
      </w:pPr>
      <w:r>
        <w:t xml:space="preserve">☐ [53] to [56] and [59] to [69] are the web sources behind the clustering figures (4.29 to 4.47), but only Figures 4.34 and 4.35 carry a source line, and those cite Lloyd and Bishop by author and year. Add "Adapted from … [n]" to each figure, as the validation exhibits already do.</w:t>
      </w:r>
    </w:p>
    <w:p>
      <w:pPr>
        <w:pStyle w:val="ListParagraph"/>
        <w:numPr>
          <w:ilvl w:val="0"/>
          <w:numId w:val="11"/>
        </w:numPr>
      </w:pPr>
      <w:r>
        <w:t xml:space="preserve">☐ Change the author-year citations of Lloyd (1982) and Bishop (2006) in captions to [58] and [57], and the cyan "(van der Maaten &amp; Hinton, 2008)" in the t-SNE paragraph of 4.4 to [50]. That entry is already in the list.</w:t>
      </w:r>
    </w:p>
    <w:p>
      <w:pPr>
        <w:pStyle w:val="ListParagraph"/>
        <w:numPr>
          <w:ilvl w:val="0"/>
          <w:numId w:val="11"/>
        </w:numPr>
      </w:pPr>
      <w:r>
        <w:t xml:space="preserve">☐ Reference [74] (Abdallah et al., arXiv): decide where it is cited, or delete it. It is one of the 28.</w:t>
      </w:r>
    </w:p>
    <w:p>
      <w:pPr>
        <w:pStyle w:val="ListParagraph"/>
        <w:numPr>
          <w:ilvl w:val="0"/>
          <w:numId w:val="11"/>
        </w:numPr>
      </w:pPr>
      <w:r>
        <w:t xml:space="preserve">☐ Insert the ten reference exhibits in 4.2.7.6, which are still "[Insert picture: …]" lines. All ten crops are already in the uploads: Airehrour (testbed table, packet loss, rank changes, throughput), Khan (per-node figure, performance table), Zhukabayeva (hop count, parameter-change table, before and after) and Ramírez Gómez (wormhole setup). Then check each figure or table number in the caption against the source PDF, as the paper's own note asks.</w:t>
      </w:r>
    </w:p>
    <w:p>
      <w:pPr>
        <w:pStyle w:val="ListParagraph"/>
        <w:numPr>
          <w:ilvl w:val="0"/>
          <w:numId w:val="11"/>
        </w:numPr>
      </w:pPr>
      <w:r>
        <w:t xml:space="preserve">☐ Keep the Khan, Zhukabayeva and Ramírez Gómez wording as it now stands. It already uses only figures confirmed in the PDFs, so check that no edit adds numbers from memory.</w:t>
      </w:r>
    </w:p>
    <w:p>
      <w:pPr>
        <w:pStyle w:val="ListParagraph"/>
        <w:numPr>
          <w:ilvl w:val="0"/>
          <w:numId w:val="11"/>
        </w:numPr>
      </w:pPr>
      <w:r>
        <w:t xml:space="preserve">☐ Re-check [79] (the repository link) once the final data and code are pushed, so the paper points at the submitted state.</w:t>
      </w:r>
    </w:p>
    <w:p>
      <w:pPr>
        <w:pStyle w:val="Heading2"/>
      </w:pPr>
      <w:r>
        <w:t xml:space="preserve">Team, adviser and admin</w:t>
      </w:r>
    </w:p>
    <w:p>
      <w:pPr/>
      <w:r>
        <w:t xml:space="preserve">These need people, not more runs, and several of them gate the paper's wording. Ask Mr. Cu today so the answers arrive before the analysis.</w:t>
      </w:r>
    </w:p>
    <w:p>
      <w:pPr/>
      <w:r>
        <w:rPr>
          <w:b/>
        </w:rPr>
        <w:t xml:space="preserve">For the adviser</w:t>
      </w:r>
    </w:p>
    <w:p>
      <w:pPr>
        <w:pStyle w:val="ListParagraph"/>
        <w:numPr>
          <w:ilvl w:val="0"/>
          <w:numId w:val="12"/>
        </w:numPr>
      </w:pPr>
      <w:r>
        <w:t xml:space="preserve">☐ Do the star wormhole runs stay in the design? In a star both tunnel ends sit at hop 1, so the tunnel gives no hop shortcut (the paper flags this in cyan).</w:t>
      </w:r>
    </w:p>
    <w:p>
      <w:pPr>
        <w:pStyle w:val="ListParagraph"/>
        <w:numPr>
          <w:ilvl w:val="0"/>
          <w:numId w:val="12"/>
        </w:numPr>
      </w:pPr>
      <w:r>
        <w:t xml:space="preserve">☐ Is the partial-mesh limit acceptable as written in 4.2.7.5 and 1.4.1?</w:t>
      </w:r>
    </w:p>
    <w:p>
      <w:pPr>
        <w:pStyle w:val="ListParagraph"/>
        <w:numPr>
          <w:ilvl w:val="0"/>
          <w:numId w:val="12"/>
        </w:numPr>
      </w:pPr>
      <w:r>
        <w:t xml:space="preserve">☐ Sign-off on the deviations D-12 and D-17 to D-20, and the open items B3 and A20 on the repo's thesis-update checklist.</w:t>
      </w:r>
    </w:p>
    <w:p>
      <w:pPr>
        <w:pStyle w:val="ListParagraph"/>
        <w:numPr>
          <w:ilvl w:val="0"/>
          <w:numId w:val="12"/>
        </w:numPr>
      </w:pPr>
      <w:r>
        <w:t xml:space="preserve">☐ What happens if the 69 runs do not all fit (see Blockers)?</w:t>
      </w:r>
    </w:p>
    <w:p>
      <w:pPr>
        <w:pStyle w:val="ListParagraph"/>
        <w:numPr>
          <w:ilvl w:val="0"/>
          <w:numId w:val="12"/>
        </w:numPr>
      </w:pPr>
      <w:r>
        <w:t xml:space="preserve">☐ </w:t>
      </w:r>
      <w:r>
        <w:rPr>
          <w:b/>
        </w:rPr>
        <w:t xml:space="preserve">Milestones form gap.</w:t>
      </w:r>
      <w:r>
        <w:t xml:space="preserve"> The CTTHES2 milestones form assigns four items to CTTHES3: a sensitivity and robustness analysis (windows of 3 s, 5 s and 10 s; DBSCAN eps and min_samples ranges; feature subsets; stability across additional runs), a five-algorithm by four-metric table with centroid heatmaps, and at least 5 repeats per topology and attack. The paper has no sensitivity analysis, and its windows are 1 s (D-9). Either run a small one on the final table (re-windowing at 3, 5 and 10 s, and an eps and min_samples grid) or add a deviation entry that explains why not. The repeats are met in count (12 runs per topology and attack), but they differ in site and scenario.</w:t>
      </w:r>
    </w:p>
    <w:p>
      <w:pPr>
        <w:pStyle w:val="ListParagraph"/>
        <w:numPr>
          <w:ilvl w:val="0"/>
          <w:numId w:val="12"/>
        </w:numPr>
      </w:pPr>
      <w:r>
        <w:t xml:space="preserve">☐ Adviser endorsement and panel signatures: the form carries an adviser endorsement line, and the submission may need the signed form.</w:t>
      </w:r>
    </w:p>
    <w:p>
      <w:pPr/>
      <w:r>
        <w:rPr>
          <w:b/>
        </w:rPr>
        <w:t xml:space="preserve">For the team</w:t>
      </w:r>
    </w:p>
    <w:p>
      <w:pPr>
        <w:pStyle w:val="ListParagraph"/>
        <w:numPr>
          <w:ilvl w:val="0"/>
          <w:numId w:val="13"/>
        </w:numPr>
      </w:pPr>
      <w:r>
        <w:t xml:space="preserve">☐ Exact Yuchengco floor and room or corridor (D-19), written into Table 4.6.</w:t>
      </w:r>
    </w:p>
    <w:p>
      <w:pPr>
        <w:pStyle w:val="ListParagraph"/>
        <w:numPr>
          <w:ilvl w:val="0"/>
          <w:numId w:val="13"/>
        </w:numPr>
      </w:pPr>
      <w:r>
        <w:t xml:space="preserve">☐ Hardware test of the microSD fsync fix (D-13): run it, then confirm no card file has 0 rows.</w:t>
      </w:r>
    </w:p>
    <w:p>
      <w:pPr>
        <w:pStyle w:val="ListParagraph"/>
        <w:numPr>
          <w:ilvl w:val="0"/>
          <w:numId w:val="13"/>
        </w:numPr>
      </w:pPr>
      <w:r>
        <w:t xml:space="preserve">☐ One full-length 20 MHz run with a sniffer capture of its data frames (D-14).</w:t>
      </w:r>
    </w:p>
    <w:p>
      <w:pPr>
        <w:pStyle w:val="ListParagraph"/>
        <w:numPr>
          <w:ilvl w:val="0"/>
          <w:numId w:val="13"/>
        </w:numPr>
      </w:pPr>
      <w:r>
        <w:t xml:space="preserve">☐ Redraw Figure 4.17 with the attacker as the hub and the root behind it (D-16).</w:t>
      </w:r>
    </w:p>
    <w:p>
      <w:pPr>
        <w:pStyle w:val="ListParagraph"/>
        <w:numPr>
          <w:ilvl w:val="0"/>
          <w:numId w:val="13"/>
        </w:numPr>
      </w:pPr>
      <w:r>
        <w:t xml:space="preserve">☐ Attach the ethics note on the Library and Yuchengco sites to the filed form. No approval was requested because the areas are public spaces, so there is nothing else to attach, and the form is not resubmitted.</w:t>
      </w:r>
    </w:p>
    <w:p>
      <w:pPr>
        <w:pStyle w:val="ListParagraph"/>
        <w:numPr>
          <w:ilvl w:val="0"/>
          <w:numId w:val="13"/>
        </w:numPr>
      </w:pPr>
      <w:r>
        <w:t xml:space="preserve">☐ Keep a researcher at each public-space run for its whole length, as the ethics note says, and book the three site sessions now.</w:t>
      </w:r>
    </w:p>
    <w:p>
      <w:pPr>
        <w:pStyle w:val="ListParagraph"/>
        <w:numPr>
          <w:ilvl w:val="0"/>
          <w:numId w:val="13"/>
        </w:numPr>
      </w:pPr>
      <w:r>
        <w:t xml:space="preserve">☐ Push the final data, the plan file and the verifier outputs to the repo, so that link [79] matches what is submitted.</w:t>
      </w:r>
    </w:p>
    <w:p>
      <w:pPr>
        <w:pStyle w:val="ListParagraph"/>
        <w:numPr>
          <w:ilvl w:val="0"/>
          <w:numId w:val="13"/>
        </w:numPr>
      </w:pPr>
      <w:r>
        <w:t xml:space="preserve">☐ Confirm the submission details with the department: file format, who uploads, the deadline time on the 24th, and any printed copies.</w:t>
      </w:r>
    </w:p>
    <w:p>
      <w:pPr>
        <w:pStyle w:val="Heading2"/>
      </w:pPr>
      <w:r>
        <w:t xml:space="preserve">Plan, Oct 18 to Oct 24</w:t>
      </w:r>
    </w:p>
    <w:p>
      <w:pPr/>
      <w:r>
        <w:t xml:space="preserve">Capture ends Wednesday evening, the analysis runs Thursday, and Chapter 5 plus the final pass fill Friday. Saturday is only for the adviser's comments and submitting. Split the team: the people at the bench capture, the others do the desk work that needs no data.</w:t>
      </w:r>
    </w:p>
    <w:tbl>
      <w:tblPr>
        <w:tblStyle w:val="TableGrid"/>
        <w:tblW w:w="0" w:type="auto"/>
        <w:tblLayout w:type="fixed"/>
        <w:tblLook w:val="04A0" w:firstRow="1" w:lastRow="0" w:firstColumn="0" w:lastColumn="0" w:noHBand="0" w:noVBand="1"/>
      </w:tblPr>
      <w:tblGrid>
        <w:gridCol w:w="1430"/>
        <w:gridCol w:w="2340"/>
        <w:gridCol w:w="3940"/>
        <w:gridCol w:w="1650"/>
      </w:tblGrid>
      <w:tr>
        <w:trPr>
          <w:tblHeader/>
        </w:trPr>
        <w:tc>
          <w:tcPr>
            <w:tcW w:w="1430" w:type="dxa"/>
            <w:shd w:val="clear" w:color="auto" w:fill="F2F2F2"/>
          </w:tcPr>
          <w:p>
            <w:pPr/>
            <w:r>
              <w:t xml:space="preserve">Day</w:t>
            </w:r>
          </w:p>
        </w:tc>
        <w:tc>
          <w:tcPr>
            <w:tcW w:w="2340" w:type="dxa"/>
            <w:shd w:val="clear" w:color="auto" w:fill="F2F2F2"/>
          </w:tcPr>
          <w:p>
            <w:pPr/>
            <w:r>
              <w:t xml:space="preserve">At the bench</w:t>
            </w:r>
          </w:p>
        </w:tc>
        <w:tc>
          <w:tcPr>
            <w:tcW w:w="3940" w:type="dxa"/>
            <w:shd w:val="clear" w:color="auto" w:fill="F2F2F2"/>
          </w:tcPr>
          <w:p>
            <w:pPr/>
            <w:r>
              <w:t xml:space="preserve">At the desk</w:t>
            </w:r>
          </w:p>
        </w:tc>
        <w:tc>
          <w:tcPr>
            <w:tcW w:w="1650" w:type="dxa"/>
            <w:shd w:val="clear" w:color="auto" w:fill="F2F2F2"/>
          </w:tcPr>
          <w:p>
            <w:pPr/>
            <w:r>
              <w:t xml:space="preserve">Done when</w:t>
            </w:r>
          </w:p>
        </w:tc>
      </w:tr>
      <w:tr>
        <w:tc>
          <w:tcPr>
            <w:tcW w:w="1430" w:type="dxa"/>
          </w:tcPr>
          <w:p>
            <w:pPr/>
            <w:r>
              <w:t xml:space="preserve">Sun Oct 18</w:t>
            </w:r>
          </w:p>
        </w:tc>
        <w:tc>
          <w:tcPr>
            <w:tcW w:w="2340" w:type="dxa"/>
          </w:tcPr>
          <w:p>
            <w:pPr/>
            <w:r>
              <w:t xml:space="preserve">Edit </w:t>
            </w:r>
            <w:r>
              <w:rPr>
                <w:rStyle w:val="CodeChar"/>
              </w:rPr>
              <w:t xml:space="preserve">campaign_plan.json</w:t>
            </w:r>
            <w:r>
              <w:t xml:space="preserve"> to 96 + 12; recheck the live inventory; start G402 with the wormhole runs</w:t>
            </w:r>
          </w:p>
        </w:tc>
        <w:tc>
          <w:tcPr>
            <w:tcW w:w="3940" w:type="dxa"/>
          </w:tcPr>
          <w:p>
            <w:pPr/>
            <w:r>
              <w:t xml:space="preserve">Ask the adviser the questions in the previous section; decide the cut-off rule and whether to write the missing Chapter 4 sections once, with final data</w:t>
            </w:r>
          </w:p>
        </w:tc>
        <w:tc>
          <w:tcPr>
            <w:tcW w:w="1650" w:type="dxa"/>
          </w:tcPr>
          <w:p>
            <w:pPr/>
            <w:r>
              <w:t xml:space="preserve">Plan file matches the design; first runs pass the integrity, topology and 3-sigma checks</w:t>
            </w:r>
          </w:p>
        </w:tc>
      </w:tr>
      <w:tr>
        <w:tc>
          <w:tcPr>
            <w:tcW w:w="1430" w:type="dxa"/>
          </w:tcPr>
          <w:p>
            <w:pPr/>
            <w:r>
              <w:t xml:space="preserve">Mon Oct 19</w:t>
            </w:r>
          </w:p>
        </w:tc>
        <w:tc>
          <w:tcPr>
            <w:tcW w:w="2340" w:type="dxa"/>
          </w:tcPr>
          <w:p>
            <w:pPr/>
            <w:r>
              <w:t xml:space="preserve">Finish G402 (about 24 runs plus the tree wormhole recapture); run the D-13 fsync test and the D-14 20 MHz run on the same boards</w:t>
            </w:r>
          </w:p>
        </w:tc>
        <w:tc>
          <w:tcPr>
            <w:tcW w:w="3940" w:type="dxa"/>
          </w:tcPr>
          <w:p>
            <w:pPr/>
            <w:r>
              <w:t xml:space="preserve">Heading numbers, Heading 3 styles, uncited references, the ten exhibit pictures, Figure 4.17</w:t>
            </w:r>
          </w:p>
        </w:tc>
        <w:tc>
          <w:tcPr>
            <w:tcW w:w="1650" w:type="dxa"/>
          </w:tcPr>
          <w:p>
            <w:pPr/>
            <w:r>
              <w:t xml:space="preserve">G402 complete; D-13 and D-14 results written down</w:t>
            </w:r>
          </w:p>
        </w:tc>
      </w:tr>
      <w:tr>
        <w:tc>
          <w:tcPr>
            <w:tcW w:w="1430" w:type="dxa"/>
          </w:tcPr>
          <w:p>
            <w:pPr/>
            <w:r>
              <w:t xml:space="preserve">Tue Oct 20</w:t>
            </w:r>
          </w:p>
        </w:tc>
        <w:tc>
          <w:tcPr>
            <w:tcW w:w="2340" w:type="dxa"/>
          </w:tcPr>
          <w:p>
            <w:pPr/>
            <w:r>
              <w:t xml:space="preserve">DLSU Library (about 21 runs)</w:t>
            </w:r>
          </w:p>
        </w:tc>
        <w:tc>
          <w:tcPr>
            <w:tcW w:w="3940" w:type="dxa"/>
          </w:tcPr>
          <w:p>
            <w:pPr/>
            <w:r>
              <w:t xml:space="preserve">Same desk work; reread 5.6; decide the sensitivity analysis or its deviation entry</w:t>
            </w:r>
          </w:p>
        </w:tc>
        <w:tc>
          <w:tcPr>
            <w:tcW w:w="1650" w:type="dxa"/>
          </w:tcPr>
          <w:p>
            <w:pPr/>
            <w:r>
              <w:t xml:space="preserve">Library complete</w:t>
            </w:r>
          </w:p>
        </w:tc>
      </w:tr>
      <w:tr>
        <w:tc>
          <w:tcPr>
            <w:tcW w:w="1430" w:type="dxa"/>
          </w:tcPr>
          <w:p>
            <w:pPr/>
            <w:r>
              <w:t xml:space="preserve">Wed Oct 21</w:t>
            </w:r>
          </w:p>
        </w:tc>
        <w:tc>
          <w:tcPr>
            <w:tcW w:w="2340" w:type="dxa"/>
          </w:tcPr>
          <w:p>
            <w:pPr/>
            <w:r>
              <w:t xml:space="preserve">Yuchengco (about 24 runs); record the exact area (D-19)</w:t>
            </w:r>
          </w:p>
        </w:tc>
        <w:tc>
          <w:tcPr>
            <w:tcW w:w="3940" w:type="dxa"/>
          </w:tcPr>
          <w:p>
            <w:pPr/>
            <w:r>
              <w:t xml:space="preserve">Run the verifiers on what exists; get the pooled-table and analysis scripts ready</w:t>
            </w:r>
          </w:p>
        </w:tc>
        <w:tc>
          <w:tcPr>
            <w:tcW w:w="1650" w:type="dxa"/>
          </w:tcPr>
          <w:p>
            <w:pPr/>
            <w:r>
              <w:t xml:space="preserve">Capture stops at the cut-off; final inventory against the plan</w:t>
            </w:r>
          </w:p>
        </w:tc>
      </w:tr>
      <w:tr>
        <w:tc>
          <w:tcPr>
            <w:tcW w:w="1430" w:type="dxa"/>
          </w:tcPr>
          <w:p>
            <w:pPr/>
            <w:r>
              <w:t xml:space="preserve">Thu Oct 22</w:t>
            </w:r>
          </w:p>
        </w:tc>
        <w:tc>
          <w:tcPr>
            <w:tcW w:w="2340" w:type="dxa"/>
          </w:tcPr>
          <w:p>
            <w:pPr/>
            <w:r>
              <w:t xml:space="preserve">None</w:t>
            </w:r>
          </w:p>
        </w:tc>
        <w:tc>
          <w:tcPr>
            <w:tcW w:w="3940" w:type="dxa"/>
          </w:tcPr>
          <w:p>
            <w:pPr/>
            <w:r>
              <w:t xml:space="preserve">Final analysis: pooled table, 3-sigma table, leakage audit, clustering for seeds 42, 7 and 123, EDA; fill 4.2.2.5, 4.2.3.7 and 4.2.7.x; write 4.2.5.6 and 4.2.6.1; update Appendix C</w:t>
            </w:r>
          </w:p>
        </w:tc>
        <w:tc>
          <w:tcPr>
            <w:tcW w:w="1650" w:type="dxa"/>
          </w:tcPr>
          <w:p>
            <w:pPr/>
            <w:r>
              <w:t xml:space="preserve">Every [PENDING] in Chapters 1 to 4 is filled</w:t>
            </w:r>
          </w:p>
        </w:tc>
      </w:tr>
      <w:tr>
        <w:tc>
          <w:tcPr>
            <w:tcW w:w="1430" w:type="dxa"/>
          </w:tcPr>
          <w:p>
            <w:pPr/>
            <w:r>
              <w:t xml:space="preserve">Fri Oct 23</w:t>
            </w:r>
          </w:p>
        </w:tc>
        <w:tc>
          <w:tcPr>
            <w:tcW w:w="2340" w:type="dxa"/>
          </w:tcPr>
          <w:p>
            <w:pPr/>
            <w:r>
              <w:t xml:space="preserve">None</w:t>
            </w:r>
          </w:p>
        </w:tc>
        <w:tc>
          <w:tcPr>
            <w:tcW w:w="3940" w:type="dxa"/>
          </w:tcPr>
          <w:p>
            <w:pPr/>
            <w:r>
              <w:t xml:space="preserve">Chapter 5 and the abstract; strip the provisional labels; delete Appendix D; clear highlights; renumber captions; F9; rebuild the lists; adviser reads a full draft</w:t>
            </w:r>
          </w:p>
        </w:tc>
        <w:tc>
          <w:tcPr>
            <w:tcW w:w="1650" w:type="dxa"/>
          </w:tcPr>
          <w:p>
            <w:pPr/>
            <w:r>
              <w:t xml:space="preserve">A full draft with no highlights or cyan</w:t>
            </w:r>
          </w:p>
        </w:tc>
      </w:tr>
      <w:tr>
        <w:tc>
          <w:tcPr>
            <w:tcW w:w="1430" w:type="dxa"/>
          </w:tcPr>
          <w:p>
            <w:pPr/>
            <w:r>
              <w:t xml:space="preserve">Sat Oct 24</w:t>
            </w:r>
          </w:p>
        </w:tc>
        <w:tc>
          <w:tcPr>
            <w:tcW w:w="2340" w:type="dxa"/>
          </w:tcPr>
          <w:p>
            <w:pPr/>
            <w:r>
              <w:t xml:space="preserve">None</w:t>
            </w:r>
          </w:p>
        </w:tc>
        <w:tc>
          <w:tcPr>
            <w:tcW w:w="3940" w:type="dxa"/>
          </w:tcPr>
          <w:p>
            <w:pPr/>
            <w:r>
              <w:t xml:space="preserve">Fix the adviser's comments, page through the PDF once, export, submit, push the repo</w:t>
            </w:r>
          </w:p>
        </w:tc>
        <w:tc>
          <w:tcPr>
            <w:tcW w:w="1650" w:type="dxa"/>
          </w:tcPr>
          <w:p>
            <w:pPr/>
            <w:r>
              <w:t xml:space="preserve">Submitted</w:t>
            </w:r>
          </w:p>
        </w:tc>
      </w:tr>
    </w:tbl>
    <w:p>
      <w:pPr/>
      <w:r>
        <w:rPr>
          <w:b/>
        </w:rPr>
        <w:t xml:space="preserve">If capture slips.</w:t>
      </w:r>
      <w:r>
        <w:t xml:space="preserve"> At the end of Wednesday, stop and keep what exists. List the uncovered cells in 5.1 and 5.2 and in the limitations (1.4.1), and keep the wormhole cells ahead of blackhole jitter cells, since wormhole is the attack with the least evidence.</w:t>
      </w:r>
    </w:p>
    <w:p>
      <w:pPr/>
      <w:r>
        <w:rPr>
          <w:b/>
        </w:rPr>
        <w:t xml:space="preserve">Biggest risks.</w:t>
      </w:r>
      <w:r>
        <w:t xml:space="preserve"> About 22 h of bench time in three days at three sites, with one failed run costing a recapture; Thursday carrying all of the analysis and table filling; and Chapter 5 starting only on Friday.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Thesis 3 To-do before the Oct 24 submission</dc:title>
  <dc:description>Claude Docs node/c437f671-8367@11 docx-w7</dc:description>
  <cp:revision>11</cp:revision>
</cp:coreProperties>
</file>