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Fonts w:ascii="Calibri" w:cs="Calibri" w:eastAsia="Calibri" w:hAnsi="Calibri"/>
        </w:rPr>
        <w:t xml:space="preserve">Thesis 3 Paper Verification</w:t>
      </w:r>
    </w:p>
    <w:p>
      <w:pPr>
        <w:spacing w:after="80"/>
      </w:pPr>
      <w:r>
        <w:rPr>
          <w:sz w:val="20"/>
          <w:szCs w:val="20"/>
          <w:rFonts w:ascii="Calibri" w:cs="Calibri" w:eastAsia="Calibri" w:hAnsi="Calibri"/>
        </w:rPr>
        <w:t xml:space="preserve">Checked file: </w:t>
      </w:r>
      <w:r>
        <w:rPr>
          <w:b/>
          <w:bCs/>
          <w:sz w:val="20"/>
          <w:szCs w:val="20"/>
          <w:rFonts w:ascii="Calibri" w:cs="Calibri" w:eastAsia="Calibri" w:hAnsi="Calibri"/>
        </w:rPr>
        <w:t xml:space="preserve">Plan/Paper-Editing/1-Working-Copy/All_in_one_CTHESIS3_no_jitter.docx</w:t>
      </w:r>
      <w:r>
        <w:rPr>
          <w:sz w:val="20"/>
          <w:szCs w:val="20"/>
          <w:rFonts w:ascii="Calibri" w:cs="Calibri" w:eastAsia="Calibri" w:hAnsi="Calibri"/>
        </w:rPr>
        <w:t xml:space="preserve"> (Thesis 3 working copy, yellow and cyan highlights). Checked on 19 October 2026 against the firmware, the analysis code, every analysed run in datasets/, the source PDFs in Resources/, the ESP-IDF v5.3.5 headers and open-access pages.</w:t>
      </w:r>
    </w:p>
    <w:p>
      <w:pPr>
        <w:spacing w:after="120"/>
      </w:pPr>
      <w:r>
        <w:rPr>
          <w:i/>
          <w:iCs/>
          <w:color w:val="595959"/>
          <w:sz w:val="20"/>
          <w:szCs w:val="20"/>
          <w:rFonts w:ascii="Calibri" w:cs="Calibri" w:eastAsia="Calibri" w:hAnsi="Calibri"/>
        </w:rPr>
        <w:t xml:space="preserve">Data and run counts are as of 19 October 2026. Nothing in the paper was edited; apply the fixes below in the working copy.</w:t>
      </w:r>
    </w:p>
    <w:p>
      <w:pPr>
        <w:pStyle w:val="Heading1"/>
        <w:spacing w:before="280" w:after="120"/>
      </w:pPr>
      <w:r>
        <w:rPr>
          <w:rFonts w:ascii="Calibri" w:cs="Calibri" w:eastAsia="Calibri" w:hAnsi="Calibri"/>
        </w:rPr>
        <w:t xml:space="preserve">How to use this file</w:t>
      </w:r>
    </w:p>
    <w:p>
      <w:pPr>
        <w:pStyle w:val="ListParagraph"/>
        <w:numPr>
          <w:ilvl w:val="0"/>
          <w:numId w:val="2"/>
        </w:numPr>
        <w:spacing w:after="60"/>
      </w:pPr>
      <w:r>
        <w:rPr>
          <w:sz w:val="20"/>
          <w:szCs w:val="20"/>
          <w:rFonts w:ascii="Calibri" w:cs="Calibri" w:eastAsia="Calibri" w:hAnsi="Calibri"/>
        </w:rPr>
        <w:t xml:space="preserve">Work through </w:t>
      </w:r>
      <w:r>
        <w:rPr>
          <w:b/>
          <w:bCs/>
          <w:sz w:val="20"/>
          <w:szCs w:val="20"/>
          <w:rFonts w:ascii="Calibri" w:cs="Calibri" w:eastAsia="Calibri" w:hAnsi="Calibri"/>
        </w:rPr>
        <w:t xml:space="preserve">Must fix</w:t>
      </w:r>
      <w:r>
        <w:rPr>
          <w:sz w:val="20"/>
          <w:szCs w:val="20"/>
          <w:rFonts w:ascii="Calibri" w:cs="Calibri" w:eastAsia="Calibri" w:hAnsi="Calibri"/>
        </w:rPr>
        <w:t xml:space="preserve"> first; these are statements the data or sources contradict.</w:t>
      </w:r>
    </w:p>
    <w:p>
      <w:pPr>
        <w:pStyle w:val="ListParagraph"/>
        <w:numPr>
          <w:ilvl w:val="0"/>
          <w:numId w:val="2"/>
        </w:numPr>
        <w:spacing w:after="60"/>
      </w:pPr>
      <w:r>
        <w:rPr>
          <w:sz w:val="20"/>
          <w:szCs w:val="20"/>
          <w:rFonts w:ascii="Calibri" w:cs="Calibri" w:eastAsia="Calibri" w:hAnsi="Calibri"/>
        </w:rPr>
        <w:t xml:space="preserve">Then </w:t>
      </w:r>
      <w:r>
        <w:rPr>
          <w:b/>
          <w:bCs/>
          <w:sz w:val="20"/>
          <w:szCs w:val="20"/>
          <w:rFonts w:ascii="Calibri" w:cs="Calibri" w:eastAsia="Calibri" w:hAnsi="Calibri"/>
        </w:rPr>
        <w:t xml:space="preserve">Reword</w:t>
      </w:r>
      <w:r>
        <w:rPr>
          <w:sz w:val="20"/>
          <w:szCs w:val="20"/>
          <w:rFonts w:ascii="Calibri" w:cs="Calibri" w:eastAsia="Calibri" w:hAnsi="Calibri"/>
        </w:rPr>
        <w:t xml:space="preserve">: the substance is right but a detail is wrong or out of date.</w:t>
      </w:r>
    </w:p>
    <w:p>
      <w:pPr>
        <w:pStyle w:val="ListParagraph"/>
        <w:numPr>
          <w:ilvl w:val="0"/>
          <w:numId w:val="2"/>
        </w:numPr>
        <w:spacing w:after="60"/>
      </w:pPr>
      <w:r>
        <w:rPr>
          <w:sz w:val="20"/>
          <w:szCs w:val="20"/>
          <w:rFonts w:ascii="Calibri" w:cs="Calibri" w:eastAsia="Calibri" w:hAnsi="Calibri"/>
        </w:rPr>
        <w:t xml:space="preserve">Tick ☐ in the last column when the fix is in the working copy, and write your name next to it.</w:t>
      </w:r>
    </w:p>
    <w:p>
      <w:pPr>
        <w:pStyle w:val="ListParagraph"/>
        <w:numPr>
          <w:ilvl w:val="0"/>
          <w:numId w:val="2"/>
        </w:numPr>
        <w:spacing w:after="60"/>
      </w:pPr>
      <w:r>
        <w:rPr>
          <w:sz w:val="20"/>
          <w:szCs w:val="20"/>
          <w:rFonts w:ascii="Calibri" w:cs="Calibri" w:eastAsia="Calibri" w:hAnsi="Calibri"/>
        </w:rPr>
        <w:t xml:space="preserve">Unhighlighted text from Thesis 2 is not listed here unless it was rewritten for Thesis 3.</w:t>
      </w:r>
    </w:p>
    <w:p>
      <w:pPr>
        <w:pStyle w:val="Heading1"/>
        <w:spacing w:before="280" w:after="120"/>
      </w:pPr>
      <w:r>
        <w:rPr>
          <w:rFonts w:ascii="Calibri" w:cs="Calibri" w:eastAsia="Calibri" w:hAnsi="Calibri"/>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62"/>
        <w:gridCol w:w="1368"/>
        <w:gridCol w:w="9850"/>
      </w:tblGrid>
      <w:tr>
        <w:trPr>
          <w:tblHeader/>
        </w:trPr>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Category</w:t>
            </w:r>
          </w:p>
        </w:tc>
        <w:tc>
          <w:tcPr>
            <w:tcW w:type="dxa" w:w="136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Count</w:t>
            </w:r>
          </w:p>
        </w:tc>
        <w:tc>
          <w:tcPr>
            <w:tcW w:type="dxa" w:w="98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Meaning</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Must fix</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6</w:t>
            </w:r>
          </w:p>
        </w:tc>
        <w:tc>
          <w:tcPr>
            <w:tcW w:type="dxa" w:w="9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Contradicted by the data, the code or the cited source</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Reword</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18</w:t>
            </w:r>
          </w:p>
        </w:tc>
        <w:tc>
          <w:tcPr>
            <w:tcW w:type="dxa" w:w="9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Right in substance; a detail is wrong, missing or out of date</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Decisions</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3</w:t>
            </w:r>
          </w:p>
        </w:tc>
        <w:tc>
          <w:tcPr>
            <w:tcW w:type="dxa" w:w="9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Need the team or the adviser before the text can be final</w:t>
            </w:r>
          </w:p>
        </w:tc>
      </w:tr>
      <w:tr>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Not verified</w:t>
            </w:r>
          </w:p>
        </w:tc>
        <w:tc>
          <w:tcPr>
            <w:tcW w:type="dxa" w:w="13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8</w:t>
            </w:r>
          </w:p>
        </w:tc>
        <w:tc>
          <w:tcPr>
            <w:tcW w:type="dxa" w:w="9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Could not be checked here; needs the source PDF or the team</w:t>
            </w:r>
          </w:p>
        </w:tc>
      </w:tr>
    </w:tbl>
    <w:p>
      <w:pPr>
        <w:pStyle w:val="Heading1"/>
        <w:spacing w:before="280" w:after="120"/>
      </w:pPr>
      <w:r>
        <w:rPr>
          <w:rFonts w:ascii="Calibri" w:cs="Calibri" w:eastAsia="Calibri" w:hAnsi="Calibri"/>
        </w:rPr>
        <w:t xml:space="preserve">1. Must fix</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10"/>
        <w:gridCol w:w="2052"/>
        <w:gridCol w:w="2462"/>
        <w:gridCol w:w="3830"/>
        <w:gridCol w:w="4104"/>
        <w:gridCol w:w="822"/>
      </w:tblGrid>
      <w:tr>
        <w:trPr>
          <w:tblHeader/>
        </w:trPr>
        <w:tc>
          <w:tcPr>
            <w:tcW w:type="dxa" w:w="41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t>
            </w:r>
          </w:p>
        </w:tc>
        <w:tc>
          <w:tcPr>
            <w:tcW w:type="dxa" w:w="205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Where</w:t>
            </w:r>
          </w:p>
        </w:tc>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Paper says</w:t>
            </w:r>
          </w:p>
        </w:tc>
        <w:tc>
          <w:tcPr>
            <w:tcW w:type="dxa" w:w="383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What the evidence shows</w:t>
            </w:r>
          </w:p>
        </w:tc>
        <w:tc>
          <w:tcPr>
            <w:tcW w:type="dxa" w:w="410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Suggested fix</w:t>
            </w:r>
          </w:p>
        </w:tc>
        <w:tc>
          <w:tcPr>
            <w:tcW w:type="dxa" w:w="82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Done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1</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Table 4.4 (row "Delivery collapses"), §4.1.3.1 (body numbering; 4.2.7.1 in the contents), Table 4.23 rows 1 and 2</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G402 linear stationary blackhole run: attacker ForwardingRatio 0.995 → 0.000; child PDR 0.938 → 0.238 ("about 76% loss"). Baseline PDR 0.938 is "below" Khan's 97%.</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verify_attack.py on that run gives ForwardingRatio </w:t>
            </w:r>
            <w:r>
              <w:rPr>
                <w:b/>
                <w:bCs/>
                <w:sz w:val="19"/>
                <w:szCs w:val="19"/>
                <w:rFonts w:ascii="Calibri" w:cs="Calibri" w:eastAsia="Calibri" w:hAnsi="Calibri"/>
              </w:rPr>
              <w:t xml:space="preserve">1.000 → 0.000</w:t>
            </w:r>
            <w:r>
              <w:rPr>
                <w:sz w:val="19"/>
                <w:szCs w:val="19"/>
                <w:rFonts w:ascii="Calibri" w:cs="Calibri" w:eastAsia="Calibri" w:hAnsi="Calibri"/>
              </w:rPr>
              <w:t xml:space="preserve"> and </w:t>
            </w:r>
            <w:r>
              <w:rPr>
                <w:b/>
                <w:bCs/>
                <w:sz w:val="19"/>
                <w:szCs w:val="19"/>
                <w:rFonts w:ascii="Calibri" w:cs="Calibri" w:eastAsia="Calibri" w:hAnsi="Calibri"/>
              </w:rPr>
              <w:t xml:space="preserve">all 6 victims PDR 1.000 → 0.000</w:t>
            </w:r>
            <w:r>
              <w:rPr>
                <w:sz w:val="19"/>
                <w:szCs w:val="19"/>
                <w:rFonts w:ascii="Calibri" w:cs="Calibri" w:eastAsia="Calibri" w:hAnsi="Calibri"/>
              </w:rPr>
              <w:t xml:space="preserve"> (total loss). The baseline PDR of 1.000 is </w:t>
            </w:r>
            <w:r>
              <w:rPr>
                <w:b/>
                <w:bCs/>
                <w:sz w:val="19"/>
                <w:szCs w:val="19"/>
                <w:rFonts w:ascii="Calibri" w:cs="Calibri" w:eastAsia="Calibri" w:hAnsi="Calibri"/>
              </w:rPr>
              <w:t xml:space="preserve">above</w:t>
            </w:r>
            <w:r>
              <w:rPr>
                <w:sz w:val="19"/>
                <w:szCs w:val="19"/>
                <w:rFonts w:ascii="Calibri" w:cs="Calibri" w:eastAsia="Calibri" w:hAnsi="Calibri"/>
              </w:rPr>
              <w:t xml:space="preserve"> Khan's 97%. The paper's numbers are not in any current analysis output.</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Replace with 1.000 → 0.000 and "all six victims 1.000 → 0.000 (100% loss)". In Table 4.23: loss 100% (above the 60–75% range); healthy-mesh row: baseline PDR 1.000, at or above the benchmark. Fix the same numbers in the Validation Basis doc.</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2</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§1.4.1 (highload sentences), §4.1.3.5 Limits</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With seven nodes at highload, delivery collapsed and the mesh did not recover during cooldown; a no-attack run collapsed too, so highload is a limit of the testbed.</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That diagnosis (Sep 30) was made </w:t>
            </w:r>
            <w:r>
              <w:rPr>
                <w:b/>
                <w:bCs/>
                <w:sz w:val="19"/>
                <w:szCs w:val="19"/>
                <w:rFonts w:ascii="Calibri" w:cs="Calibri" w:eastAsia="Calibri" w:hAnsi="Calibri"/>
              </w:rPr>
              <w:t xml:space="preserve">before</w:t>
            </w:r>
            <w:r>
              <w:rPr>
                <w:sz w:val="19"/>
                <w:szCs w:val="19"/>
                <w:rFonts w:ascii="Calibri" w:cs="Calibri" w:eastAsia="Calibri" w:hAnsi="Calibri"/>
              </w:rPr>
              <w:t xml:space="preserve"> the Oct 7 fix to the root's arrival logging. The archive note for the Oct 7 run says the root logged too slowly, so "root-side PDR undercounts every node, bystanders included". In </w:t>
            </w:r>
            <w:r>
              <w:rPr>
                <w:b/>
                <w:bCs/>
                <w:sz w:val="19"/>
                <w:szCs w:val="19"/>
                <w:rFonts w:ascii="Calibri" w:cs="Calibri" w:eastAsia="Calibri" w:hAnsi="Calibri"/>
              </w:rPr>
              <w:t xml:space="preserve">all 12 campus highload blackhole runs captured after the fix, delivery recovers fully in cooldown</w:t>
            </w:r>
            <w:r>
              <w:rPr>
                <w:sz w:val="19"/>
                <w:szCs w:val="19"/>
                <w:rFonts w:ascii="Calibri" w:cs="Calibri" w:eastAsia="Calibri" w:hAnsi="Calibri"/>
              </w:rPr>
              <w:t xml:space="preserve"> (victims 1.00 → 0.00 → 1.00, bystanders 1.00 throughout). The no-attack run was never analysed.</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Rewrite: early highload captures lost arrival rows at the root (a logging limit, fixed on Oct 7, D-entry/§4.2.3.6); captures made after the fix show full recovery. Drop "highload is a limit of the testbed" unless the team has newer evidence.</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3</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§4.1.3.6 caption "Table 4.25 Changes in Network Parameters under a Wormhole Attack. Adapted from Zhukabayeva et al. [71, Table 7]" and the text around it</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Table 7 shows the network-parameter changes; text quotes "+40% delay" and "false readings in over 30% of cases".</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In the source PDF, Table 7 is titled </w:t>
            </w:r>
            <w:r>
              <w:rPr>
                <w:b/>
                <w:bCs/>
                <w:sz w:val="19"/>
                <w:szCs w:val="19"/>
                <w:rFonts w:ascii="Calibri" w:cs="Calibri" w:eastAsia="Calibri" w:hAnsi="Calibri"/>
              </w:rPr>
              <w:t xml:space="preserve">"Software components of WSN nodes"</w:t>
            </w:r>
            <w:r>
              <w:rPr>
                <w:sz w:val="19"/>
                <w:szCs w:val="19"/>
                <w:rFonts w:ascii="Calibri" w:cs="Calibri" w:eastAsia="Calibri" w:hAnsi="Calibri"/>
              </w:rPr>
              <w:t xml:space="preserve">. Its route-change row says 80–100 → 120–200 ms delay and </w:t>
            </w:r>
            <w:r>
              <w:rPr>
                <w:b/>
                <w:bCs/>
                <w:sz w:val="19"/>
                <w:szCs w:val="19"/>
                <w:rFonts w:ascii="Calibri" w:cs="Calibri" w:eastAsia="Calibri" w:hAnsi="Calibri"/>
              </w:rPr>
              <w:t xml:space="preserve">20–30%</w:t>
            </w:r>
            <w:r>
              <w:rPr>
                <w:sz w:val="19"/>
                <w:szCs w:val="19"/>
                <w:rFonts w:ascii="Calibri" w:cs="Calibri" w:eastAsia="Calibri" w:hAnsi="Calibri"/>
              </w:rPr>
              <w:t xml:space="preserve"> of data modified. "+40%" and "&gt;30%" come from the </w:t>
            </w:r>
            <w:r>
              <w:rPr>
                <w:b/>
                <w:bCs/>
                <w:sz w:val="19"/>
                <w:szCs w:val="19"/>
                <w:rFonts w:ascii="Calibri" w:cs="Calibri" w:eastAsia="Calibri" w:hAnsi="Calibri"/>
              </w:rPr>
              <w:t xml:space="preserve">abstract</w:t>
            </w:r>
            <w:r>
              <w:rPr>
                <w:sz w:val="19"/>
                <w:szCs w:val="19"/>
                <w:rFonts w:ascii="Calibri" w:cs="Calibri" w:eastAsia="Calibri" w:hAnsi="Calibri"/>
              </w:rPr>
              <w:t xml:space="preserve">. The source also contradicts itself (its Figure 19 text says hop count "increased slightly").</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Use the real title, or cite the row: "[71, Table 7, route-change row]". Quote one set of numbers and say where it is from, e.g. "the abstract reports +40% delay and over 30% false readings; Table 7 lists 120–200 ms and 20–30% modified data". The list of tables already has the right title.</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4</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§4.1.3.4 Predictions Tested and Not Observed</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Victim retry counters change by 0 across the attack window, so the predicted rise in retransmissions was not observed.</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retry_count is an application counter, not a MAC retry count (the paper's own D-15). The real test is the sniffer: victim MacRetryRate rose in only </w:t>
            </w:r>
            <w:r>
              <w:rPr>
                <w:b/>
                <w:bCs/>
                <w:sz w:val="19"/>
                <w:szCs w:val="19"/>
                <w:rFonts w:ascii="Calibri" w:cs="Calibri" w:eastAsia="Calibri" w:hAnsi="Calibri"/>
              </w:rPr>
              <w:t xml:space="preserve">8 of 22</w:t>
            </w:r>
            <w:r>
              <w:rPr>
                <w:sz w:val="19"/>
                <w:szCs w:val="19"/>
                <w:rFonts w:ascii="Calibri" w:cs="Calibri" w:eastAsia="Calibri" w:hAnsi="Calibri"/>
              </w:rPr>
              <w:t xml:space="preserve"> runs with sniffer coverage and did not rise in 14. App counters were 0 in every run of the 34-run set (2 later recaptures with crashed victims show 8 and 10).</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Keep the conclusion, change the evidence: cite the sniffer MacRetryRate result (no consistent rise, 8 of 22). Mention the app counters only as supporting, labelled "application counters (D-15)". This also fulfils the promise in §4.2.1.2 H.</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5</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Chapter 5 placeholder (5.4), list entries Table 4.21 "Clustering Quality Metrics, Seed 42, 8,000 Windows" and Figure 4.49</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A provisional clustering result exists: "the clusters found the collapse of delivery behind the blackhole attacker, and the wormhole-inspired windows were not separated".</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b/>
                <w:bCs/>
                <w:sz w:val="19"/>
                <w:szCs w:val="19"/>
                <w:rFonts w:ascii="Calibri" w:cs="Calibri" w:eastAsia="Calibri" w:hAnsi="Calibri"/>
              </w:rPr>
              <w:t xml:space="preserve">No clustering code or clustering output exists anywhere in the repository</w:t>
            </w:r>
            <w:r>
              <w:rPr>
                <w:sz w:val="19"/>
                <w:szCs w:val="19"/>
                <w:rFonts w:ascii="Calibri" w:cs="Calibri" w:eastAsia="Calibri" w:hAnsi="Calibri"/>
              </w:rPr>
              <w:t xml:space="preserve"> (searched for DBSCAN, KMeans, silhouette, ARI, GMM, spectral, "seed 42", "8,000 windows").</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Find out who ran it. If it lives on another laptop, push the script and outputs. If not, delete the "provisional reading" sentence until clustering is actually run. Clustering is also a CTTHES3 milestone.</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41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6</w:t>
            </w:r>
          </w:p>
        </w:tc>
        <w:tc>
          <w:tcPr>
            <w:tcW w:type="dxa" w:w="205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§4.2.3.6 B (Post-Experiment Log Extraction) and "Data Integrity" bullet</w:t>
            </w:r>
          </w:p>
        </w:tc>
        <w:tc>
          <w:tcPr>
            <w:tcW w:type="dxa" w:w="246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"A source file is deleted only if the person asks for that, after its copy has been verified." "Deletion is optional."</w:t>
            </w:r>
          </w:p>
        </w:tc>
        <w:tc>
          <w:tcPr>
            <w:tcW w:type="dxa" w:w="3830"/>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The import script deletes only with --delete-source and only after a verified copy (true). But </w:t>
            </w:r>
            <w:r>
              <w:rPr>
                <w:b/>
                <w:bCs/>
                <w:sz w:val="19"/>
                <w:szCs w:val="19"/>
                <w:rFonts w:ascii="Calibri" w:cs="Calibri" w:eastAsia="Calibri" w:hAnsi="Calibri"/>
              </w:rPr>
              <w:t xml:space="preserve">run_wizard.ps1 and menu.ps1 always pass --delete-source</w:t>
            </w:r>
            <w:r>
              <w:rPr>
                <w:sz w:val="19"/>
                <w:szCs w:val="19"/>
                <w:rFonts w:ascii="Calibri" w:cs="Calibri" w:eastAsia="Calibri" w:hAnsi="Calibri"/>
              </w:rPr>
              <w:t xml:space="preserve"> on the card-reader route. Only the GUI and the USB route leave it off.</w:t>
            </w:r>
          </w:p>
        </w:tc>
        <w:tc>
          <w:tcPr>
            <w:tcW w:type="dxa" w:w="4104"/>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Reword: "A card file is deleted only after its copy has been verified against the manifest. The wizard does this automatically on the card-reader route; the GUI leaves deletion to the operator."</w:t>
            </w:r>
          </w:p>
        </w:tc>
        <w:tc>
          <w:tcPr>
            <w:tcW w:type="dxa" w:w="822"/>
            <w:tcBorders>
              <w:top w:val="single" w:color="BFBFBF" w:sz="4"/>
              <w:left w:val="single" w:color="BFBFBF" w:sz="4"/>
              <w:bottom w:val="single" w:color="BFBFBF" w:sz="4"/>
              <w:right w:val="single" w:color="BFBFBF" w:sz="4"/>
            </w:tcBorders>
            <w:shd w:fill="FBE3E1" w:color="auto" w:val="clear"/>
            <w:tcMar>
              <w:top w:type="dxa" w:w="60"/>
              <w:left w:type="dxa" w:w="100"/>
              <w:bottom w:type="dxa" w:w="60"/>
              <w:right w:type="dxa" w:w="100"/>
            </w:tcMar>
          </w:tcPr>
          <w:p>
            <w:r>
              <w:rPr>
                <w:sz w:val="19"/>
                <w:szCs w:val="19"/>
                <w:rFonts w:ascii="Calibri" w:cs="Calibri" w:eastAsia="Calibri" w:hAnsi="Calibri"/>
              </w:rPr>
              <w:t xml:space="preserve">☐</w:t>
            </w:r>
          </w:p>
        </w:tc>
      </w:tr>
    </w:tbl>
    <w:p>
      <w:pPr>
        <w:pStyle w:val="Heading1"/>
        <w:spacing w:before="280" w:after="120"/>
      </w:pPr>
      <w:r>
        <w:rPr>
          <w:rFonts w:ascii="Calibri" w:cs="Calibri" w:eastAsia="Calibri" w:hAnsi="Calibri"/>
        </w:rPr>
        <w:t xml:space="preserve">2. Reword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57"/>
        <w:gridCol w:w="9302"/>
        <w:gridCol w:w="821"/>
      </w:tblGrid>
      <w:tr>
        <w:trPr>
          <w:tblHeader/>
        </w:trPr>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Where</w:t>
            </w:r>
          </w:p>
        </w:tc>
        <w:tc>
          <w:tcPr>
            <w:tcW w:type="dxa" w:w="930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What to change</w:t>
            </w:r>
          </w:p>
        </w:tc>
        <w:tc>
          <w:tcPr>
            <w:tcW w:type="dxa" w:w="82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Done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Table 4.14, rows "File naming (card)" and "File naming (flash)"</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Card files are named role_nodeID_</w:t>
            </w:r>
            <w:r>
              <w:rPr>
                <w:b/>
                <w:bCs/>
                <w:sz w:val="19"/>
                <w:szCs w:val="19"/>
                <w:rFonts w:ascii="Calibri" w:cs="Calibri" w:eastAsia="Calibri" w:hAnsi="Calibri"/>
              </w:rPr>
              <w:t xml:space="preserve">r&lt;run&gt;</w:t>
            </w:r>
            <w:r>
              <w:rPr>
                <w:sz w:val="19"/>
                <w:szCs w:val="19"/>
                <w:rFonts w:ascii="Calibri" w:cs="Calibri" w:eastAsia="Calibri" w:hAnsi="Calibri"/>
              </w:rPr>
              <w:t xml:space="preserve">_b&lt;boot&gt;_kind.csv (the paper leaves out the run number). On the board the flash file is a single /spiffs/telem.csv; the dated name nodeID_runID_YYYYMMDD_HHMMSS is applied by the laptop at export. File system is SPIFFS (not "SPIFFS or LittleFS").</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Appendix C D-9, §4.2.3.7 "discarded and not interpolated"</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preprocess.py fills gaps of up to 2 samples (0.2 s) by interpolation / forward fill inside kept windows; only windows with fewer than 8 of 10 real samples are discarded. Say "windows with fewer than 8 of 10 samples are discarded; gaps of 1–2 samples inside kept windows are filled".</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§4.2.1.3 (highlighted UART paragraph)</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"Before each run a numbered-ping test checks the wire": the numbered-ping test (uart_link_test) is an optional wizard item. What runs automatically before every wormhole run is the HELLO handshake plus the root's setup gate (both ends report UART OK, A shallower than B).</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§1.6.1 Hardware (sniffer) vs Appendix B note</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§1.6.1 says a MacBook (Wireless Diagnostics). The repo also has an ESP32 sniffer board (sniffer_node + tools/sniff.py), and the ethics note says "spare ESP32 board, or a laptop". State which one(s) produced the dataset captures.</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Table 4.1 note</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"In a benign run the attack window is skipped": true for benign stationary and highload runs, but a benign </w:t>
            </w:r>
            <w:r>
              <w:rPr>
                <w:b/>
                <w:bCs/>
                <w:sz w:val="19"/>
                <w:szCs w:val="19"/>
                <w:rFonts w:ascii="Calibri" w:cs="Calibri" w:eastAsia="Calibri" w:hAnsi="Calibri"/>
              </w:rPr>
              <w:t xml:space="preserve">burst</w:t>
            </w:r>
            <w:r>
              <w:rPr>
                <w:sz w:val="19"/>
                <w:szCs w:val="19"/>
                <w:rFonts w:ascii="Calibri" w:cs="Calibri" w:eastAsia="Calibri" w:hAnsi="Calibri"/>
              </w:rPr>
              <w:t xml:space="preserve"> run holds an attack-length window so the burst fires at the same offset (root_main.c). Add that exception.</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Appendix C D-17</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"It worked on hardware in one wormhole run": now 7 analysed wormhole runs; all have 0 parent switches and 0 hop changes during the attack.</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Appendix C D-14 and §4.2.3.3 [PENDING]</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Can be filled now: 26 full-length 20 MHz captures already have sniffer-decoded data frames (MacRetryRate is computed from unicast data frames).</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§1.4.1, §4.2.3.7, D-13 [PENDING]</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Partly answerable: none of the 441 campus capture files in datasets/exports has 0 rows. The deliberate mid-run-reset test is still needed to call D-13 validated.</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§1.6.2 Software (ESP-IDF version)</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Paper says ESP-IDF 5.3. The team builds with both v5.3.5 and v5.5.4 (project notes). State the versions actually used, or which one built the dataset firmware.</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§1.6.2 library versions</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pandas 3.0.2 and NumPy 2.4.4 are documented in analysis_README_2.md. SciPy 1.17.1, scikit-learn 1.8.0, Matplotlib 3.10.9, seaborn 0.13.2 and Python 3.11 are not recorded anywhere; confirm with "pip freeze" on the analysis laptop.</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Bibliography [70]</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Journal name is "</w:t>
            </w:r>
            <w:r>
              <w:rPr>
                <w:b/>
                <w:bCs/>
                <w:sz w:val="19"/>
                <w:szCs w:val="19"/>
                <w:rFonts w:ascii="Calibri" w:cs="Calibri" w:eastAsia="Calibri" w:hAnsi="Calibri"/>
              </w:rPr>
              <w:t xml:space="preserve">Australian</w:t>
            </w:r>
            <w:r>
              <w:rPr>
                <w:sz w:val="19"/>
                <w:szCs w:val="19"/>
                <w:rFonts w:ascii="Calibri" w:cs="Calibri" w:eastAsia="Calibri" w:hAnsi="Calibri"/>
              </w:rPr>
              <w:t xml:space="preserve"> Journal of Telecommunications and the Digital Economy".</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§4.1.3.6, Figure 4.54 "Wormhole Attack Setup. Adapted from Ramírez Gómez et al. [72, Figure 2]"; §4.2.1.3</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Their Figure 2 is a concept diagram ("Wormhole attack with malicious node"); their test setups are Figures 7 and 8. §4.2.1.3 says they "report" duplicated routing packets; §4.1.3.2 correctly says it is a proposed signature. Use the §4.1.3.2 wording in both.</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§4.1.3.6 / Table 4.30 "Sinkhole Event Log [71, Table 4]"</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Real title: "Pre-attack and post-attack transmission logs". It comes from their simulation, not their hardware testbed; say so if it is used as "the closest published record".</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§2.2 and Table 2.2 (Alshehri [13])</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The abstract describes two separate models (an SVM and a DNN at the base station, NS-3.37), not one hybrid. "No special hardware" and "adaptive learning as future work" are not in the abstract; check the full text.</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§2.2 and Table 2.2 (Srinivasan [19])</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PDR is 89.2879%, which rounds to 89.29%, not 89.28%.</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Table 4.23 row 2, §4.1.3.6 (Khan [22])</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"Sampled every 2 minutes" is the sensor-reading interval; the delivery (stability) test used a 60 s transmission interval over five days. Fix the reason given for comparing their values with ours.</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§4.2.2.1 star wormhole (cyan)</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The text says the ends are assigned by MAC address in a star. The current firmware's wormhole setup gate requires A to be shallower than B, which never holds in a star, so a star wormhole cannot start without START_ANYWAY (checklist A24, open).</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3557"/>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Appendix C (stops at D-20)</w:t>
            </w:r>
          </w:p>
        </w:tc>
        <w:tc>
          <w:tcPr>
            <w:tcW w:type="dxa" w:w="9302"/>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The repo deviation log has D-21 (wormhole verified by two primary checks: TunnelIntensity and root-measured DuplicateRate; "transition" windows unlabelled) and D-22 (pre-run gates and the manual START). Add both, and describe the START step in Table 4.1 / Figure 4.2 (formation lasts until the operator types START).</w:t>
            </w:r>
          </w:p>
        </w:tc>
        <w:tc>
          <w:tcPr>
            <w:tcW w:type="dxa" w:w="821"/>
            <w:tcBorders>
              <w:top w:val="single" w:color="BFBFBF" w:sz="4"/>
              <w:left w:val="single" w:color="BFBFBF" w:sz="4"/>
              <w:bottom w:val="single" w:color="BFBFBF" w:sz="4"/>
              <w:right w:val="single" w:color="BFBFBF" w:sz="4"/>
            </w:tcBorders>
            <w:shd w:fill="FFF3D6" w:color="auto" w:val="clear"/>
            <w:tcMar>
              <w:top w:type="dxa" w:w="60"/>
              <w:left w:type="dxa" w:w="100"/>
              <w:bottom w:type="dxa" w:w="60"/>
              <w:right w:type="dxa" w:w="100"/>
            </w:tcMar>
          </w:tcPr>
          <w:p>
            <w:r>
              <w:rPr>
                <w:sz w:val="19"/>
                <w:szCs w:val="19"/>
                <w:rFonts w:ascii="Calibri" w:cs="Calibri" w:eastAsia="Calibri" w:hAnsi="Calibri"/>
              </w:rPr>
              <w:t xml:space="preserve">☐</w:t>
            </w:r>
          </w:p>
        </w:tc>
      </w:tr>
    </w:tbl>
    <w:p>
      <w:pPr>
        <w:pStyle w:val="Heading1"/>
        <w:spacing w:before="280" w:after="120"/>
      </w:pPr>
      <w:r>
        <w:rPr>
          <w:rFonts w:ascii="Calibri" w:cs="Calibri" w:eastAsia="Calibri" w:hAnsi="Calibri"/>
        </w:rPr>
        <w:t xml:space="preserve">3. Decisions for the team and the adviser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62"/>
        <w:gridCol w:w="11218"/>
      </w:tblGrid>
      <w:tr>
        <w:trPr>
          <w:tblHeader/>
        </w:trPr>
        <w:tc>
          <w:tcPr>
            <w:tcW w:type="dxa" w:w="246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Decision</w:t>
            </w:r>
          </w:p>
        </w:tc>
        <w:tc>
          <w:tcPr>
            <w:tcW w:type="dxa" w:w="1121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Why it matters</w:t>
            </w:r>
          </w:p>
        </w:tc>
      </w:tr>
      <w:tr>
        <w:tc>
          <w:tcPr>
            <w:tcW w:type="dxa" w:w="2462"/>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Jitter in or out</w:t>
            </w:r>
          </w:p>
        </w:tc>
        <w:tc>
          <w:tcPr>
            <w:tcW w:type="dxa" w:w="11218"/>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This working copy leaves jitter out (72 attack + 9 benign = 81 runs). The live tools/campaign_plan.json still includes it (96 + 12 = 108), five jitter blackhole runs are already captured, and the To-do doc assumes 108. The firmware's jitter scenario randomises phase lengths (baseline +0–45 s), which fixes the "position in the run reveals the phase" limitation this copy has to admit. Decide before the benign runs are captured, because the two designs assign benign runs differently (9 vs 12; repo D-18 says 12).</w:t>
            </w:r>
          </w:p>
        </w:tc>
      </w:tr>
      <w:tr>
        <w:tc>
          <w:tcPr>
            <w:tcW w:type="dxa" w:w="2462"/>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Star wormhole</w:t>
            </w:r>
          </w:p>
        </w:tc>
        <w:tc>
          <w:tcPr>
            <w:tcW w:type="dxa" w:w="11218"/>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Keep (and change the gate) or drop from the design? See checklist A24.</w:t>
            </w:r>
          </w:p>
        </w:tc>
      </w:tr>
      <w:tr>
        <w:tc>
          <w:tcPr>
            <w:tcW w:type="dxa" w:w="2462"/>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Clustering</w:t>
            </w:r>
          </w:p>
        </w:tc>
        <w:tc>
          <w:tcPr>
            <w:tcW w:type="dxa" w:w="11218"/>
            <w:tcBorders>
              <w:top w:val="single" w:color="BFBFBF" w:sz="4"/>
              <w:left w:val="single" w:color="BFBFBF" w:sz="4"/>
              <w:bottom w:val="single" w:color="BFBFBF" w:sz="4"/>
              <w:right w:val="single" w:color="BFBFBF" w:sz="4"/>
            </w:tcBorders>
            <w:shd w:fill="E3EEF9" w:color="auto" w:val="clear"/>
            <w:tcMar>
              <w:top w:type="dxa" w:w="60"/>
              <w:left w:type="dxa" w:w="100"/>
              <w:bottom w:type="dxa" w:w="60"/>
              <w:right w:type="dxa" w:w="100"/>
            </w:tcMar>
          </w:tcPr>
          <w:p>
            <w:r>
              <w:rPr>
                <w:sz w:val="19"/>
                <w:szCs w:val="19"/>
                <w:rFonts w:ascii="Calibri" w:cs="Calibri" w:eastAsia="Calibri" w:hAnsi="Calibri"/>
              </w:rPr>
              <w:t xml:space="preserve">Who writes and runs it, and where the outputs go (see Must-fix 5).</w:t>
            </w:r>
          </w:p>
        </w:tc>
      </w:tr>
    </w:tbl>
    <w:p>
      <w:pPr>
        <w:pStyle w:val="Heading1"/>
        <w:spacing w:before="280" w:after="120"/>
      </w:pPr>
      <w:r>
        <w:rPr>
          <w:rFonts w:ascii="Calibri" w:cs="Calibri" w:eastAsia="Calibri" w:hAnsi="Calibri"/>
        </w:rPr>
        <w:t xml:space="preserve">4. Run status today vs the paper's 15 October snapshot</w:t>
      </w:r>
    </w:p>
    <w:p>
      <w:pPr>
        <w:spacing w:after="120"/>
      </w:pPr>
      <w:r>
        <w:rPr>
          <w:sz w:val="20"/>
          <w:szCs w:val="20"/>
          <w:rFonts w:ascii="Calibri" w:cs="Calibri" w:eastAsia="Calibri" w:hAnsi="Calibri"/>
        </w:rPr>
        <w:t xml:space="preserve">The paper's status numbers are labelled provisional for 15 October and are correct for that date. Use these when updating Tables 4.6 and 4.7, §4.2.2.5 and §4.2.3.7 (no jitter, campus sites only).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42"/>
        <w:gridCol w:w="1915"/>
        <w:gridCol w:w="10123"/>
      </w:tblGrid>
      <w:tr>
        <w:trPr>
          <w:tblHeader/>
        </w:trPr>
        <w:tc>
          <w:tcPr>
            <w:tcW w:type="dxa" w:w="1642"/>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Attack</w:t>
            </w:r>
          </w:p>
        </w:tc>
        <w:tc>
          <w:tcPr>
            <w:tcW w:type="dxa" w:w="1915"/>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Paper (15 Oct)</w:t>
            </w:r>
          </w:p>
        </w:tc>
        <w:tc>
          <w:tcPr>
            <w:tcW w:type="dxa" w:w="1012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Repo (19 Oct)</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Blackhole</w:t>
            </w:r>
          </w:p>
        </w:tc>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32 of 36</w:t>
            </w:r>
          </w:p>
        </w:tc>
        <w:tc>
          <w:tcPr>
            <w:tcW w:type="dxa" w:w="10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Fonts w:ascii="Calibri" w:cs="Calibri" w:eastAsia="Calibri" w:hAnsi="Calibri"/>
              </w:rPr>
              <w:t xml:space="preserve">36 of 36</w:t>
            </w:r>
            <w:r>
              <w:rPr>
                <w:sz w:val="19"/>
                <w:szCs w:val="19"/>
                <w:rFonts w:ascii="Calibri" w:cs="Calibri" w:eastAsia="Calibri" w:hAnsi="Calibri"/>
              </w:rPr>
              <w:t xml:space="preserve"> cells captured. Watch: Yuchengco linear stationary (94.5% coverage, also not linear), tree/G402/highload (victim crashes, 89.9%), tree/G402/stationary (victim crash).</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Wormhole</w:t>
            </w:r>
          </w:p>
        </w:tc>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2 of 36</w:t>
            </w:r>
          </w:p>
        </w:tc>
        <w:tc>
          <w:tcPr>
            <w:tcW w:type="dxa" w:w="10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Fonts w:ascii="Calibri" w:cs="Calibri" w:eastAsia="Calibri" w:hAnsi="Calibri"/>
              </w:rPr>
              <w:t xml:space="preserve">8 of 36</w:t>
            </w:r>
            <w:r>
              <w:rPr>
                <w:sz w:val="19"/>
                <w:szCs w:val="19"/>
                <w:rFonts w:ascii="Calibri" w:cs="Calibri" w:eastAsia="Calibri" w:hAnsi="Calibri"/>
              </w:rPr>
              <w:t xml:space="preserve">: linear at all three sites (7 runs) + tree/DLSU_Library/stationary (68.5% coverage, recapture). linear/DLSU_Library/highload not analysed yet.</w:t>
            </w:r>
          </w:p>
        </w:tc>
      </w:tr>
      <w:tr>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Benign</w:t>
            </w:r>
          </w:p>
        </w:tc>
        <w:tc>
          <w:tcPr>
            <w:tcW w:type="dxa" w:w="19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0 of 9</w:t>
            </w:r>
          </w:p>
        </w:tc>
        <w:tc>
          <w:tcPr>
            <w:tcW w:type="dxa" w:w="10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alibri" w:cs="Calibri" w:eastAsia="Calibri" w:hAnsi="Calibri"/>
              </w:rPr>
              <w:t xml:space="preserve">0 of 9 at the campus sites (only a home run exists, outside the design).</w:t>
            </w:r>
          </w:p>
        </w:tc>
      </w:tr>
    </w:tbl>
    <w:p>
      <w:pPr>
        <w:pStyle w:val="Heading1"/>
        <w:spacing w:before="280" w:after="120"/>
      </w:pPr>
      <w:r>
        <w:rPr>
          <w:rFonts w:ascii="Calibri" w:cs="Calibri" w:eastAsia="Calibri" w:hAnsi="Calibri"/>
        </w:rPr>
        <w:t xml:space="preserve">5. Verified correct</w:t>
      </w:r>
    </w:p>
    <w:p>
      <w:pPr>
        <w:spacing w:after="120"/>
      </w:pPr>
      <w:r>
        <w:rPr>
          <w:sz w:val="20"/>
          <w:szCs w:val="20"/>
          <w:rFonts w:ascii="Calibri" w:cs="Calibri" w:eastAsia="Calibri" w:hAnsi="Calibri"/>
        </w:rPr>
        <w:t xml:space="preserve">These claims were checked and match. No action needed.</w:t>
      </w:r>
    </w:p>
    <w:p>
      <w:pPr>
        <w:pStyle w:val="ListParagraph"/>
        <w:numPr>
          <w:ilvl w:val="0"/>
          <w:numId w:val="2"/>
        </w:numPr>
        <w:spacing w:after="60"/>
      </w:pPr>
      <w:r>
        <w:rPr>
          <w:b/>
          <w:bCs/>
          <w:sz w:val="20"/>
          <w:szCs w:val="20"/>
          <w:rFonts w:ascii="Calibri" w:cs="Calibri" w:eastAsia="Calibri" w:hAnsi="Calibri"/>
        </w:rPr>
        <w:t xml:space="preserve">Firmware.</w:t>
      </w:r>
      <w:r>
        <w:rPr>
          <w:sz w:val="20"/>
          <w:szCs w:val="20"/>
          <w:rFonts w:ascii="Calibri" w:cs="Calibri" w:eastAsia="Calibri" w:hAnsi="Calibri"/>
        </w:rPr>
        <w:t xml:space="preserve"> Shared probe relay on every node with the attacker's drop hook; queue of 128; overflow and failed sends count as drops; received = forwarded + dropped. Star blackhole victims pinned to the hub (self-organisation off + esp_mesh_set_parent). Wormhole: only Node B's own probes tunnelled, B always sends the normal copy, A re-injects with the PROW tag, every node relays PROW; HELLO decides the ends by depth and locks at phase 0. Counter mappings in Tables 4.11 and 4.12. UART1, GPIO17 → GPIO16, 115200; 30-byte tunnel frame with CRC32; HELLO frame of equal size with MAC, layer, end, locked and hears-peer flags; "tunnel carried nothing" warning.</w:t>
      </w:r>
    </w:p>
    <w:p>
      <w:pPr>
        <w:pStyle w:val="ListParagraph"/>
        <w:numPr>
          <w:ilvl w:val="0"/>
          <w:numId w:val="2"/>
        </w:numPr>
        <w:spacing w:after="60"/>
      </w:pPr>
      <w:r>
        <w:rPr>
          <w:b/>
          <w:bCs/>
          <w:sz w:val="20"/>
          <w:szCs w:val="20"/>
          <w:rFonts w:ascii="Calibri" w:cs="Calibri" w:eastAsia="Calibri" w:hAnsi="Calibri"/>
        </w:rPr>
        <w:t xml:space="preserve">Phase control.</w:t>
      </w:r>
      <w:r>
        <w:rPr>
          <w:sz w:val="20"/>
          <w:szCs w:val="20"/>
          <w:rFonts w:ascii="Calibri" w:cs="Calibri" w:eastAsia="Calibri" w:hAnsi="Calibri"/>
        </w:rPr>
        <w:t xml:space="preserve"> PREPARE (254) every 5 s; label 255 for formation; 300/180/120 s phases; 5 rounds 100 ms apart with one sequence number; one copy to the root itself plus one unicast per routing-table node; repeat every 10 s; per-boot session ID; TERMINATE repeated for 60 s. Roster gate and tree attacker-child gate.</w:t>
      </w:r>
    </w:p>
    <w:p>
      <w:pPr>
        <w:pStyle w:val="ListParagraph"/>
        <w:numPr>
          <w:ilvl w:val="0"/>
          <w:numId w:val="2"/>
        </w:numPr>
        <w:spacing w:after="60"/>
      </w:pPr>
      <w:r>
        <w:rPr>
          <w:b/>
          <w:bCs/>
          <w:sz w:val="20"/>
          <w:szCs w:val="20"/>
          <w:rFonts w:ascii="Calibri" w:cs="Calibri" w:eastAsia="Calibri" w:hAnsi="Calibri"/>
        </w:rPr>
        <w:t xml:space="preserve">Logging.</w:t>
      </w:r>
      <w:r>
        <w:rPr>
          <w:sz w:val="20"/>
          <w:szCs w:val="20"/>
          <w:rFonts w:ascii="Calibri" w:cs="Calibri" w:eastAsia="Calibri" w:hAnsi="Calibri"/>
        </w:rPr>
        <w:t xml:space="preserve"> 10 Hz sampling; flash flush every 10 rows; card fsync every 5 s; highload root arrivals to the card only in 4 KB batches flushed every 100 rows; SD on GPIO 5/18/19/23 at 4 MHz (jumper wires), reader powered from VIN; HT20 forced before Wi-Fi starts; channel 11; default TX power; runs.csv manifest with rows, ending and build; ~500 KB per run on flash.</w:t>
      </w:r>
    </w:p>
    <w:p>
      <w:pPr>
        <w:pStyle w:val="ListParagraph"/>
        <w:numPr>
          <w:ilvl w:val="0"/>
          <w:numId w:val="2"/>
        </w:numPr>
        <w:spacing w:after="60"/>
      </w:pPr>
      <w:r>
        <w:rPr>
          <w:b/>
          <w:bCs/>
          <w:sz w:val="20"/>
          <w:szCs w:val="20"/>
          <w:rFonts w:ascii="Calibri" w:cs="Calibri" w:eastAsia="Calibri" w:hAnsi="Calibri"/>
        </w:rPr>
        <w:t xml:space="preserve">Import script.</w:t>
      </w:r>
      <w:r>
        <w:rPr>
          <w:sz w:val="20"/>
          <w:szCs w:val="20"/>
          <w:rFonts w:ascii="Calibri" w:cs="Calibri" w:eastAsia="Calibri" w:hAnsi="Calibri"/>
        </w:rPr>
        <w:t xml:space="preserve"> Asks scenario and repeat, takes the date at import, picks the run's boots, skips unclean boots unless told, reads a card inside a board over USB, warns when rows differ from the manifest.</w:t>
      </w:r>
    </w:p>
    <w:p>
      <w:pPr>
        <w:pStyle w:val="ListParagraph"/>
        <w:numPr>
          <w:ilvl w:val="0"/>
          <w:numId w:val="2"/>
        </w:numPr>
        <w:spacing w:after="60"/>
      </w:pPr>
      <w:r>
        <w:rPr>
          <w:b/>
          <w:bCs/>
          <w:sz w:val="20"/>
          <w:szCs w:val="20"/>
          <w:rFonts w:ascii="Calibri" w:cs="Calibri" w:eastAsia="Calibri" w:hAnsi="Calibri"/>
        </w:rPr>
        <w:t xml:space="preserve">ESP-IDF v5.3.5 headers.</w:t>
      </w:r>
      <w:r>
        <w:rPr>
          <w:sz w:val="20"/>
          <w:szCs w:val="20"/>
          <w:rFonts w:ascii="Calibri" w:cs="Calibri" w:eastAsia="Calibri" w:hAnsi="Calibri"/>
        </w:rPr>
        <w:t xml:space="preserve"> MESH_ROOT_LAYER = 1; esp_mesh_recv receives a packet "targeted to self"; routing table can be read (esp_mesh_get_routing_table) and has no setter; self-organisation off + esp_mesh_set_parent; switch_rssi wording verbatim; MESH_TOPO_CHAIN up to 1000 layers; esp_wifi_statis_dump only prints.</w:t>
      </w:r>
    </w:p>
    <w:p>
      <w:pPr>
        <w:pStyle w:val="ListParagraph"/>
        <w:numPr>
          <w:ilvl w:val="0"/>
          <w:numId w:val="2"/>
        </w:numPr>
        <w:spacing w:after="60"/>
      </w:pPr>
      <w:r>
        <w:rPr>
          <w:b/>
          <w:bCs/>
          <w:sz w:val="20"/>
          <w:szCs w:val="20"/>
          <w:rFonts w:ascii="Calibri" w:cs="Calibri" w:eastAsia="Calibri" w:hAnsi="Calibri"/>
        </w:rPr>
        <w:t xml:space="preserve">Analysis code.</w:t>
      </w:r>
      <w:r>
        <w:rPr>
          <w:sz w:val="20"/>
          <w:szCs w:val="20"/>
          <w:rFonts w:ascii="Calibri" w:cs="Calibri" w:eastAsia="Calibri" w:hAnsi="Calibri"/>
        </w:rPr>
        <w:t xml:space="preserve"> 1 s non-overlapping windows, 8 of 10 samples; mean/var/min/max and counter deltas; alignment to each node's own exit from phase 0, last 300 s labelled baseline; PDR only when the node sent, was attached and the root was logging (blank, not 0, otherwise); forwarding features on every relay; RetryRate kept out of verification, EDA and leakage; tunnel features excluded from the leakage audit and projections; PCA/t-SNE on z-scores clipped at ±5; three correlation views.</w:t>
      </w:r>
    </w:p>
    <w:p>
      <w:pPr>
        <w:pStyle w:val="ListParagraph"/>
        <w:numPr>
          <w:ilvl w:val="0"/>
          <w:numId w:val="2"/>
        </w:numPr>
        <w:spacing w:after="60"/>
      </w:pPr>
      <w:r>
        <w:rPr>
          <w:b/>
          <w:bCs/>
          <w:sz w:val="20"/>
          <w:szCs w:val="20"/>
          <w:rFonts w:ascii="Calibri" w:cs="Calibri" w:eastAsia="Calibri" w:hAnsi="Calibri"/>
        </w:rPr>
        <w:t xml:space="preserve">Dataset numbers.</w:t>
      </w:r>
      <w:r>
        <w:rPr>
          <w:sz w:val="20"/>
          <w:szCs w:val="20"/>
          <w:rFonts w:ascii="Calibri" w:cs="Calibri" w:eastAsia="Calibri" w:hAnsi="Calibri"/>
        </w:rPr>
        <w:t xml:space="preserve"> Tables 4.6 and 4.7 and the topology split (10/9/8/7) for 15 October reproduce exactly (the G402 tree run was recaptured later). Table 4.21 leakage audit reproduces exactly (PDR 0.862, LatencyHopRatio 0.850, ConsistencyScore and ForwardingRatio 0.845; 12/12/9/9 runs at ≥ 0.95 = 9 star + 3 linear). Wormhole DLSU linear: 181 of 181 duplicates, none in baseline or cooldown, median gap 2.82 ms, 90th percentile 6.53 ms, Node A layer 5, Node B layer 7. Held-out Yuchengco run (94.5%). No node under a second parent in any of the 11 partial-mesh runs. No parent switch or hop change during the attack in any of the 7 wormhole runs. 3,151 lost rows at ~28 rows/s. D-1 (6 of 583 windows). D-4 (12.8 s). D-13 and D-14 status.</w:t>
      </w:r>
    </w:p>
    <w:p>
      <w:pPr>
        <w:pStyle w:val="ListParagraph"/>
        <w:numPr>
          <w:ilvl w:val="0"/>
          <w:numId w:val="2"/>
        </w:numPr>
        <w:spacing w:after="60"/>
      </w:pPr>
      <w:r>
        <w:rPr>
          <w:b/>
          <w:bCs/>
          <w:sz w:val="20"/>
          <w:szCs w:val="20"/>
          <w:rFonts w:ascii="Calibri" w:cs="Calibri" w:eastAsia="Calibri" w:hAnsi="Calibri"/>
        </w:rPr>
        <w:t xml:space="preserve">Sources.</w:t>
      </w:r>
      <w:r>
        <w:rPr>
          <w:sz w:val="20"/>
          <w:szCs w:val="20"/>
          <w:rFonts w:ascii="Calibri" w:cs="Calibri" w:eastAsia="Calibri" w:hAnsi="Calibri"/>
        </w:rPr>
        <w:t xml:space="preserve"> Airehrour [70]: 14 motes, 30 m × 30 m, 2 blackhole motes, smart building, loss 60–75% vs under 28%, rank changes 16–246 vs 15–55, Table 2, Figures 8, 9 and 10, blackhole = "false and low DIO rank". Zhukabayeva [71]: GSM/GPRS tunnel, 3-sigma rule, hop count 4 → 3, +40% delay and &gt;30% false readings (abstract), Figures 4 and 19. Ramírez Gómez [72]: XBee S2C, one malicious node (Raspberry Pi), "two source routing packets per data packet" as a signature. Bhatti [4]: ns-2.30, 98–99%, 0.67 s, ~22% overhead, post-wormhole actions. Boiano [25]: 21 devices, two Zigbee networks, accuracy drops across topologies. Khan [22]: campus, indoor and outdoor, every 2 min for 72 min, &gt;97% delivery and &lt;1.8% loss/error per active node, </w:t>
      </w:r>
      <w:r>
        <w:rPr>
          <w:b/>
          <w:bCs/>
          <w:sz w:val="20"/>
          <w:szCs w:val="20"/>
          <w:rFonts w:ascii="Calibri" w:cs="Calibri" w:eastAsia="Calibri" w:hAnsi="Calibri"/>
        </w:rPr>
        <w:t xml:space="preserve">seven nodes</w:t>
      </w:r>
      <w:r>
        <w:rPr>
          <w:sz w:val="20"/>
          <w:szCs w:val="20"/>
          <w:rFonts w:ascii="Calibri" w:cs="Calibri" w:eastAsia="Calibri" w:hAnsi="Calibri"/>
        </w:rPr>
        <w:t xml:space="preserve"> (the cyan "seven" is right). Hu, Perrig and Johnson [46] definition. Srinivasan [19]: E-SVM in NS-3, 12.5% dropping ratio.</w:t>
      </w:r>
    </w:p>
    <w:p>
      <w:pPr>
        <w:pStyle w:val="Heading1"/>
        <w:spacing w:before="280" w:after="120"/>
      </w:pPr>
      <w:r>
        <w:rPr>
          <w:rFonts w:ascii="Calibri" w:cs="Calibri" w:eastAsia="Calibri" w:hAnsi="Calibri"/>
        </w:rPr>
        <w:t xml:space="preserve">6. Not verified: check against the source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114"/>
        <w:gridCol w:w="2189"/>
        <w:gridCol w:w="3557"/>
        <w:gridCol w:w="820"/>
      </w:tblGrid>
      <w:tr>
        <w:trPr>
          <w:tblHeader/>
        </w:trP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Claim</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Where</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Needs</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Fonts w:ascii="Calibri" w:cs="Calibri" w:eastAsia="Calibri" w:hAnsi="Calibri"/>
              </w:rPr>
              <w:t xml:space="preserve">Done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Khan [22]: node H exception and the outdoor reason; self-healing 4.2 s and 3.5 s; titles of their Figure 20 and Table 6</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§1.1, §2.7, §3.1.1, §4.1.3.6</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MDPI full text (blocked to the checker)</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Al-Anzi [5] (all cyan sentences): cross-layer IDS features, flooding and battery-exhaustion results, disaster-recovery/vehicular uses, centralised IDS bottleneck</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§2.3, §2.6</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ScienceDirect full text</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Das et al. [26] UNR-IDD (cyan): emulated SDN, includes blackhole</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§2.8, Table 2.8</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CCNC paper (consistent with what is known of UNR-IDD; not fetched)</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Hanif [3] "up to 75% in a real-time system"</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§2.2</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MDPI full text (it is a review, so find the cited scheme)</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Rassam [41] F1 ≈ 0.96, PhysioNet, two ICU patients</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§2.5</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MDPI full text</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Qian [23] under 10 s networking, 4.5 s / 10 s self-repair, 12 h without failure</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§1.1, §2.7</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MDPI full text</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Ioulianou [6] overhead below 2%, no extra sniffing energy; Pedroso [39] 99% and up to 50%; Amouri [8] speeds/power and where performance declines; Akyildiz [1] "community and metropolitan area networks" (cyan); Tavallaee [29] and Tsai [33] (cyan)</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Ch. 2</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Full texts</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r>
        <w:tc>
          <w:tcPr>
            <w:tcW w:type="dxa" w:w="7114"/>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Yuchengco floor and room/corridor (D-19); root "about one metre" behind the star hub</w:t>
            </w:r>
          </w:p>
        </w:tc>
        <w:tc>
          <w:tcPr>
            <w:tcW w:type="dxa" w:w="218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Table 4.6, §4.2.2.1</w:t>
            </w:r>
          </w:p>
        </w:tc>
        <w:tc>
          <w:tcPr>
            <w:tcW w:type="dxa" w:w="3557"/>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Team site notes</w:t>
            </w:r>
          </w:p>
        </w:tc>
        <w:tc>
          <w:tcPr>
            <w:tcW w:type="dxa" w:w="82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sz w:val="19"/>
                <w:szCs w:val="19"/>
                <w:rFonts w:ascii="Calibri" w:cs="Calibri" w:eastAsia="Calibri" w:hAnsi="Calibri"/>
              </w:rPr>
              <w:t xml:space="preserve">☐</w:t>
            </w:r>
          </w:p>
        </w:tc>
      </w:tr>
    </w:tbl>
    <w:p>
      <w:pPr>
        <w:pStyle w:val="Heading1"/>
        <w:spacing w:before="280" w:after="120"/>
      </w:pPr>
      <w:r>
        <w:rPr>
          <w:rFonts w:ascii="Calibri" w:cs="Calibri" w:eastAsia="Calibri" w:hAnsi="Calibri"/>
        </w:rPr>
        <w:t xml:space="preserve">7. How the checks were done</w:t>
      </w:r>
    </w:p>
    <w:p>
      <w:pPr>
        <w:pStyle w:val="ListParagraph"/>
        <w:numPr>
          <w:ilvl w:val="0"/>
          <w:numId w:val="2"/>
        </w:numPr>
        <w:spacing w:after="60"/>
      </w:pPr>
      <w:r>
        <w:rPr>
          <w:sz w:val="20"/>
          <w:szCs w:val="20"/>
          <w:rFonts w:ascii="Calibri" w:cs="Calibri" w:eastAsia="Calibri" w:hAnsi="Calibri"/>
        </w:rPr>
        <w:t xml:space="preserve">Firmware: read components/mesh_common (probe_relay.c, phase_listener.c, csv_logger.c, mesh_setup.c, mesh_config.h), child_node/main and root_node/main.</w:t>
      </w:r>
    </w:p>
    <w:p>
      <w:pPr>
        <w:pStyle w:val="ListParagraph"/>
        <w:numPr>
          <w:ilvl w:val="0"/>
          <w:numId w:val="2"/>
        </w:numPr>
        <w:spacing w:after="60"/>
      </w:pPr>
      <w:r>
        <w:rPr>
          <w:sz w:val="20"/>
          <w:szCs w:val="20"/>
          <w:rFonts w:ascii="Calibri" w:cs="Calibri" w:eastAsia="Calibri" w:hAnsi="Calibri"/>
        </w:rPr>
        <w:t xml:space="preserve">Data: python tools/inventory_cells.py --live-only; python tools/verify_attack.py &lt;feature_table.csv&gt; on the cited runs; per-run leakage_audit.csv files re-aggregated for the 15 October set; feature tables scanned for MacRetryRate, retry deltas, parent changes and PDR by phase.</w:t>
      </w:r>
    </w:p>
    <w:p>
      <w:pPr>
        <w:pStyle w:val="ListParagraph"/>
        <w:numPr>
          <w:ilvl w:val="0"/>
          <w:numId w:val="2"/>
        </w:numPr>
        <w:spacing w:after="60"/>
      </w:pPr>
      <w:r>
        <w:rPr>
          <w:sz w:val="20"/>
          <w:szCs w:val="20"/>
          <w:rFonts w:ascii="Calibri" w:cs="Calibri" w:eastAsia="Calibri" w:hAnsi="Calibri"/>
        </w:rPr>
        <w:t xml:space="preserve">Sources: Resources/ PDFs (Airehrour, Zhukabayeva, Ramírez Gómez); ESP-IDF v5.3.5 headers on the team laptop; Europe PMC, arXiv and publisher abstracts for the Chapter 2 citations.</w:t>
      </w:r>
    </w:p>
    <w:sectPr>
      <w:footerReference w:type="default" r:id="rId6"/>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Fonts w:ascii="Calibri" w:cs="Calibri" w:eastAsia="Calibri" w:hAnsi="Calibri"/>
      </w:rPr>
      <w:t xml:space="preserve">Thesis 3 Paper Verification · 19 Oct 2026 · page </w:t>
    </w:r>
    <w:r>
      <w:rPr>
        <w:color w:val="808080"/>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b/>
      <w:bCs/>
      <w:color w:val="1F3864"/>
      <w:sz w:val="30"/>
      <w:szCs w:val="30"/>
      <w:rFonts w:ascii="Calibri" w:cs="Calibri" w:eastAsia="Calibri" w:hAnsi="Calibri"/>
    </w:rPr>
  </w:style>
  <w:style w:type="paragraph" w:styleId="Heading2">
    <w:name w:val="Heading 2"/>
    <w:basedOn w:val="Normal"/>
    <w:next w:val="Normal"/>
    <w:qFormat/>
    <w:pPr>
      <w:spacing w:before="200" w:after="100"/>
      <w:outlineLvl w:val="1"/>
    </w:pPr>
    <w:rPr>
      <w:b/>
      <w:bCs/>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2026-10-19T01:45:59.653Z</dcterms:created>
  <dcterms:modified xsi:type="dcterms:W3CDTF">2026-10-19T01:45:59.655Z</dcterms:modified>
</cp:coreProperties>
</file>

<file path=docProps/custom.xml><?xml version="1.0" encoding="utf-8"?>
<Properties xmlns="http://schemas.openxmlformats.org/officeDocument/2006/custom-properties" xmlns:vt="http://schemas.openxmlformats.org/officeDocument/2006/docPropsVTypes"/>
</file>