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nalysis-design-models"/>
    <w:p>
      <w:pPr>
        <w:pStyle w:val="Heading1"/>
      </w:pPr>
      <w:r>
        <w:t xml:space="preserve">Analysis &amp; Design Models</w:t>
      </w:r>
    </w:p>
    <w:p>
      <w:pPr>
        <w:pStyle w:val="FirstParagraph"/>
      </w:pPr>
      <w:r>
        <w:rPr>
          <w:b/>
          <w:bCs/>
        </w:rPr>
        <w:t xml:space="preserve">SRS supplements — use cases, activity, context/DFD, architecture, class &amp; sequence</w:t>
      </w:r>
      <w:r>
        <w:rPr>
          <w:b/>
          <w:bCs/>
        </w:rPr>
        <w:t xml:space="preserve"> </w:t>
      </w:r>
      <w:r>
        <w:rPr>
          <w:b/>
          <w:bCs/>
        </w:rPr>
        <w:t xml:space="preserve">models.</w:t>
      </w:r>
      <w:r>
        <w:t xml:space="preserve"> </w:t>
      </w:r>
      <w:r>
        <w:t xml:space="preserve">All diagrams are Mermaid (GitHub renders natively). IDs cross-reference the</w:t>
      </w:r>
      <w:r>
        <w:t xml:space="preserve"> </w:t>
      </w:r>
      <w:r>
        <w:t xml:space="preserve">user stories (US-xx) in the Requirements Document.</w:t>
      </w:r>
    </w:p>
    <w:p>
      <w:r>
        <w:pict>
          <v:rect style="width:0;height:1.5pt" o:hralign="center" o:hrstd="t" o:hr="t"/>
        </w:pict>
      </w:r>
    </w:p>
    <w:bookmarkStart w:id="15" w:name="use-case-diagram"/>
    <w:p>
      <w:pPr>
        <w:pStyle w:val="Heading2"/>
      </w:pPr>
      <w:r>
        <w:t xml:space="preserve">1. Use case diagram</w:t>
      </w:r>
    </w:p>
    <w:p>
      <w:pPr>
        <w:pStyle w:val="FirstParagraph"/>
      </w:pPr>
      <w:r>
        <w:t xml:space="preserve">Split into two views for readability (a single diagram with 15 use cases is unreadable</w:t>
      </w:r>
      <w:r>
        <w:t xml:space="preserve"> </w:t>
      </w:r>
      <w:r>
        <w:t xml:space="preserve">on a page). Role inheritance: Manager can do everything a Pharmacist/Inventory Officer</w:t>
      </w:r>
      <w:r>
        <w:t xml:space="preserve"> </w:t>
      </w:r>
      <w:r>
        <w:t xml:space="preserve">can; Admin can do everything (permission matrix in ADR-005).</w:t>
      </w:r>
    </w:p>
    <w:p>
      <w:pPr>
        <w:pStyle w:val="BodyText"/>
      </w:pPr>
      <w:r>
        <w:rPr>
          <w:b/>
          <w:bCs/>
        </w:rPr>
        <w:t xml:space="preserve">(a) POS &amp; sales operations</w:t>
      </w:r>
    </w:p>
    <w:p>
      <w:pPr>
        <w:pStyle w:val="CaptionedFigure"/>
      </w:pPr>
      <w:r>
        <w:drawing>
          <wp:inline>
            <wp:extent cx="5334000" cy="7844117"/>
            <wp:effectExtent b="0" l="0" r="0" t="0"/>
            <wp:docPr descr="Figure 1" title="" id="10" name="Picture"/>
            <a:graphic>
              <a:graphicData uri="http://schemas.openxmlformats.org/drawingml/2006/picture">
                <pic:pic>
                  <pic:nvPicPr>
                    <pic:cNvPr descr="diagrams/10-analysis-and-design-models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(b) Inventory, purchasing &amp; administration</w:t>
      </w:r>
    </w:p>
    <w:p>
      <w:pPr>
        <w:pStyle w:val="CaptionedFigure"/>
      </w:pPr>
      <w:r>
        <w:drawing>
          <wp:inline>
            <wp:extent cx="2916936" cy="8041553"/>
            <wp:effectExtent b="0" l="0" r="0" t="0"/>
            <wp:docPr descr="Figure 2" title="" id="13" name="Picture"/>
            <a:graphic>
              <a:graphicData uri="http://schemas.openxmlformats.org/drawingml/2006/picture">
                <pic:pic>
                  <pic:nvPicPr>
                    <pic:cNvPr descr="diagrams/10-analysis-and-design-models-0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6" cy="804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bookmarkEnd w:id="15"/>
    <w:bookmarkStart w:id="21" w:name="use-case-descriptions-5-primary"/>
    <w:p>
      <w:pPr>
        <w:pStyle w:val="Heading2"/>
      </w:pPr>
      <w:r>
        <w:t xml:space="preserve">2. Use case descriptions (5 primary)</w:t>
      </w:r>
    </w:p>
    <w:bookmarkStart w:id="16" w:name="uc-2-process-sale-us-0405060708"/>
    <w:p>
      <w:pPr>
        <w:pStyle w:val="Heading3"/>
      </w:pPr>
      <w:r>
        <w:t xml:space="preserve">UC-2 Process sale (US-04/05/06/07/08)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Cashier (primary), Customer (off-stage)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Cashier authenticated; catalogue cached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1. Cashier scans item (or searches by name/generic). 2. System adds line, showing unit options (carton/pack/strip/tablet) and FEFO batch availability. 3. Repeat for all items. 4. Cashier presses F4; enters tendered amount and method. 5. System validates stock atomically, records sale + movements, assigns receipt number. 6. Receipt prints; change displayed.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 flows</w:t>
            </w:r>
          </w:p>
        </w:tc>
        <w:tc>
          <w:tcPr/>
          <w:p>
            <w:pPr>
              <w:pStyle w:val="Compact"/>
            </w:pPr>
            <w:r>
              <w:t xml:space="preserve">A1 unknown barcode → search prompt. A2 offline → sale queued locally with client ID; receipt prints with local number; syncs on reconnect (UC-4). A3 insufficient stock → line blocked with on-hand shown. A4 expired batch only → sale blocked (BR-02).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</w:pPr>
            <w:r>
              <w:t xml:space="preserve">Stock reduced by movements; immutable sale record; audit trail</w:t>
            </w:r>
          </w:p>
        </w:tc>
      </w:tr>
    </w:tbl>
    <w:bookmarkEnd w:id="16"/>
    <w:bookmarkStart w:id="17" w:name="uc-7-receive-stock-us-0509"/>
    <w:p>
      <w:pPr>
        <w:pStyle w:val="Heading3"/>
      </w:pPr>
      <w:r>
        <w:t xml:space="preserve">UC-7 Receive stock (US-05/09)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Inventory Officer (primary), Manager (over-receipt approval)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PO exists (or direct receipt allowed); supplier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1. Officer opens PO, enters per line: qty received, batch number, expiry date. 2. System validates (expiry &gt; today; qty ≤ outstanding). 3. Officer posts. 4. System creates GRN, creates/tops up batches, writes RECEIPT movements, recalculates weighted-average cost, updates PO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 flows</w:t>
            </w:r>
          </w:p>
        </w:tc>
        <w:tc>
          <w:tcPr/>
          <w:p>
            <w:pPr>
              <w:pStyle w:val="Compact"/>
            </w:pPr>
            <w:r>
              <w:t xml:space="preserve">A1 over-receipt → Manager PIN required. A2 partial delivery → PO → PARTIALLY_RECEIVED. A3 short expiry (&lt;90 d) → warning requiring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</w:pPr>
            <w:r>
              <w:t xml:space="preserve">Sellable stock available to POS with correct expiry ordering</w:t>
            </w:r>
          </w:p>
        </w:tc>
      </w:tr>
    </w:tbl>
    <w:bookmarkEnd w:id="17"/>
    <w:bookmarkStart w:id="18" w:name="uc-9-adjust-stock-us-12"/>
    <w:p>
      <w:pPr>
        <w:pStyle w:val="Heading3"/>
      </w:pPr>
      <w:r>
        <w:t xml:space="preserve">UC-9 Adjust stock (US-12)</w:t>
      </w:r>
    </w:p>
    <w:p>
      <w:pPr>
        <w:pStyle w:val="FirstParagraph"/>
      </w:pPr>
      <w:r>
        <w:t xml:space="preserve">Actors: any stock role requests; Manager approves above threshold (BR-05). Main flow:</w:t>
      </w:r>
      <w:r>
        <w:t xml:space="preserve"> </w:t>
      </w:r>
      <w:r>
        <w:t xml:space="preserve">select product+batch → qty delta + reason + note → if |value| &gt; threshold, status</w:t>
      </w:r>
      <w:r>
        <w:t xml:space="preserve"> </w:t>
      </w:r>
      <w:r>
        <w:t xml:space="preserve">PENDING_APPROVAL → Manager approves → ADJUSTMENT movement posts. Rejected adjustments</w:t>
      </w:r>
      <w:r>
        <w:t xml:space="preserve"> </w:t>
      </w:r>
      <w:r>
        <w:t xml:space="preserve">post nothing. All paths audited; shrinkage reportable by reason.</w:t>
      </w:r>
    </w:p>
    <w:bookmarkEnd w:id="18"/>
    <w:bookmarkStart w:id="19" w:name="uc-4-sync-offline-sales-us-08"/>
    <w:p>
      <w:pPr>
        <w:pStyle w:val="Heading3"/>
      </w:pPr>
      <w:r>
        <w:t xml:space="preserve">UC-4 Sync offline sales (US-08)</w:t>
      </w:r>
    </w:p>
    <w:p>
      <w:pPr>
        <w:pStyle w:val="FirstParagraph"/>
      </w:pPr>
      <w:r>
        <w:t xml:space="preserve">Actor: system (background). Trigger: connectivity restored. Flow: queued sales POSTed in</w:t>
      </w:r>
      <w:r>
        <w:t xml:space="preserve"> </w:t>
      </w:r>
      <w:r>
        <w:t xml:space="preserve">order to</w:t>
      </w:r>
      <w:r>
        <w:t xml:space="preserve"> </w:t>
      </w:r>
      <w:r>
        <w:rPr>
          <w:rStyle w:val="VerbatimChar"/>
        </w:rPr>
        <w:t xml:space="preserve">/sync/sales</w:t>
      </w:r>
      <w:r>
        <w:t xml:space="preserve"> </w:t>
      </w:r>
      <w:r>
        <w:t xml:space="preserve">→ server creates each idempotently on</w:t>
      </w:r>
      <w:r>
        <w:t xml:space="preserve"> </w:t>
      </w:r>
      <w:r>
        <w:rPr>
          <w:rStyle w:val="VerbatimChar"/>
        </w:rPr>
        <w:t xml:space="preserve">clientSaleId</w:t>
      </w:r>
      <w:r>
        <w:t xml:space="preserve"> </w:t>
      </w:r>
      <w:r>
        <w:t xml:space="preserve">→ FEFO</w:t>
      </w:r>
      <w:r>
        <w:t xml:space="preserve"> </w:t>
      </w:r>
      <w:r>
        <w:t xml:space="preserve">deduction at sync time → response marks created/duplicate/error → till clears queue,</w:t>
      </w:r>
      <w:r>
        <w:t xml:space="preserve"> </w:t>
      </w:r>
      <w:r>
        <w:t xml:space="preserve">updates badge. Exception: batch oversold during outage → sale recorded, negative-stock</w:t>
      </w:r>
      <w:r>
        <w:t xml:space="preserve"> </w:t>
      </w:r>
      <w:r>
        <w:t xml:space="preserve">exception notification to Manager (ADR-006).</w:t>
      </w:r>
    </w:p>
    <w:bookmarkEnd w:id="19"/>
    <w:bookmarkStart w:id="20" w:name="uc-11-view-reports-us-13"/>
    <w:p>
      <w:pPr>
        <w:pStyle w:val="Heading3"/>
      </w:pPr>
      <w:r>
        <w:t xml:space="preserve">UC-11 View reports (US-13)</w:t>
      </w:r>
    </w:p>
    <w:p>
      <w:pPr>
        <w:pStyle w:val="FirstParagraph"/>
      </w:pPr>
      <w:r>
        <w:t xml:space="preserve">Actor: Manager/Owner. Flow: pick report + date range → server reads reporting views →</w:t>
      </w:r>
      <w:r>
        <w:t xml:space="preserve"> </w:t>
      </w:r>
      <w:r>
        <w:t xml:space="preserve">render table + chart → optional CSV/PDF export. Z-report closes the trading day.</w:t>
      </w:r>
    </w:p>
    <w:bookmarkEnd w:id="20"/>
    <w:bookmarkEnd w:id="21"/>
    <w:bookmarkStart w:id="25" w:name="X9433f4a87295502ca840b1770268a8823c8f261"/>
    <w:p>
      <w:pPr>
        <w:pStyle w:val="Heading2"/>
      </w:pPr>
      <w:r>
        <w:t xml:space="preserve">3. Activity diagram — Process sale (with offline branch)</w:t>
      </w:r>
    </w:p>
    <w:p>
      <w:pPr>
        <w:pStyle w:val="CaptionedFigure"/>
      </w:pPr>
      <w:r>
        <w:drawing>
          <wp:inline>
            <wp:extent cx="5334000" cy="7699385"/>
            <wp:effectExtent b="0" l="0" r="0" t="0"/>
            <wp:docPr descr="Figure 3" title="" id="23" name="Picture"/>
            <a:graphic>
              <a:graphicData uri="http://schemas.openxmlformats.org/drawingml/2006/picture">
                <pic:pic>
                  <pic:nvPicPr>
                    <pic:cNvPr descr="diagrams/10-analysis-and-design-models-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bookmarkEnd w:id="25"/>
    <w:bookmarkStart w:id="29" w:name="activity-diagram-receive-purchase-order"/>
    <w:p>
      <w:pPr>
        <w:pStyle w:val="Heading2"/>
      </w:pPr>
      <w:r>
        <w:t xml:space="preserve">4. Activity diagram — Receive purchase order</w:t>
      </w:r>
    </w:p>
    <w:p>
      <w:pPr>
        <w:pStyle w:val="CaptionedFigure"/>
      </w:pPr>
      <w:r>
        <w:drawing>
          <wp:inline>
            <wp:extent cx="3310128" cy="8047778"/>
            <wp:effectExtent b="0" l="0" r="0" t="0"/>
            <wp:docPr descr="Figure 4" title="" id="27" name="Picture"/>
            <a:graphic>
              <a:graphicData uri="http://schemas.openxmlformats.org/drawingml/2006/picture">
                <pic:pic>
                  <pic:nvPicPr>
                    <pic:cNvPr descr="diagrams/10-analysis-and-design-models-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28" cy="804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bookmarkEnd w:id="29"/>
    <w:bookmarkStart w:id="33" w:name="context-diagram-level-0-system-boundary"/>
    <w:p>
      <w:pPr>
        <w:pStyle w:val="Heading2"/>
      </w:pPr>
      <w:r>
        <w:t xml:space="preserve">5. Context diagram (Level 0 system boundary)</w:t>
      </w:r>
    </w:p>
    <w:p>
      <w:pPr>
        <w:pStyle w:val="CaptionedFigure"/>
      </w:pPr>
      <w:r>
        <w:drawing>
          <wp:inline>
            <wp:extent cx="5334000" cy="2820763"/>
            <wp:effectExtent b="0" l="0" r="0" t="0"/>
            <wp:docPr descr="Figure 5" title="" id="31" name="Picture"/>
            <a:graphic>
              <a:graphicData uri="http://schemas.openxmlformats.org/drawingml/2006/picture">
                <pic:pic>
                  <pic:nvPicPr>
                    <pic:cNvPr descr="diagrams/10-analysis-and-design-models-0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bookmarkEnd w:id="33"/>
    <w:bookmarkStart w:id="37" w:name="data-flow-diagram-level-0"/>
    <w:p>
      <w:pPr>
        <w:pStyle w:val="Heading2"/>
      </w:pPr>
      <w:r>
        <w:t xml:space="preserve">6. Data flow diagram — Level 0</w:t>
      </w:r>
    </w:p>
    <w:p>
      <w:pPr>
        <w:pStyle w:val="CaptionedFigure"/>
      </w:pPr>
      <w:r>
        <w:drawing>
          <wp:inline>
            <wp:extent cx="5334000" cy="5594831"/>
            <wp:effectExtent b="0" l="0" r="0" t="0"/>
            <wp:docPr descr="Figure 6" title="" id="35" name="Picture"/>
            <a:graphic>
              <a:graphicData uri="http://schemas.openxmlformats.org/drawingml/2006/picture">
                <pic:pic>
                  <pic:nvPicPr>
                    <pic:cNvPr descr="diagrams/10-analysis-and-design-models-0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bookmarkEnd w:id="37"/>
    <w:bookmarkStart w:id="41" w:name="X724fac4e856a8f71180d98c7b6423ed352b9da7"/>
    <w:p>
      <w:pPr>
        <w:pStyle w:val="Heading2"/>
      </w:pPr>
      <w:r>
        <w:t xml:space="preserve">7. Data flow diagram — Level 1 of process 1.0 (Sell)</w:t>
      </w:r>
    </w:p>
    <w:p>
      <w:pPr>
        <w:pStyle w:val="CaptionedFigure"/>
      </w:pPr>
      <w:r>
        <w:drawing>
          <wp:inline>
            <wp:extent cx="3374136" cy="8046996"/>
            <wp:effectExtent b="0" l="0" r="0" t="0"/>
            <wp:docPr descr="Figure 7" title="" id="39" name="Picture"/>
            <a:graphic>
              <a:graphicData uri="http://schemas.openxmlformats.org/drawingml/2006/picture">
                <pic:pic>
                  <pic:nvPicPr>
                    <pic:cNvPr descr="diagrams/10-analysis-and-design-models-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36" cy="804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bookmarkEnd w:id="41"/>
    <w:bookmarkStart w:id="45" w:name="system-architecture-diagram"/>
    <w:p>
      <w:pPr>
        <w:pStyle w:val="Heading2"/>
      </w:pPr>
      <w:r>
        <w:t xml:space="preserve">8. System architecture diagram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Figure 8" title="" id="43" name="Picture"/>
            <a:graphic>
              <a:graphicData uri="http://schemas.openxmlformats.org/drawingml/2006/picture">
                <pic:pic>
                  <pic:nvPicPr>
                    <pic:cNvPr descr="diagrams/10-analysis-and-design-models-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p>
      <w:pPr>
        <w:pStyle w:val="BodyText"/>
      </w:pPr>
      <w:r>
        <w:rPr>
          <w:i/>
          <w:iCs/>
        </w:rPr>
        <w:t xml:space="preserve">Module diagram: see the dependency table in ADR-001; arrows inside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</w:t>
      </w:r>
      <w:r>
        <w:rPr>
          <w:i/>
          <w:iCs/>
        </w:rPr>
        <w:t xml:space="preserve"> </w:t>
      </w:r>
      <w:r>
        <w:rPr>
          <w:i/>
          <w:iCs/>
        </w:rPr>
        <w:t xml:space="preserve">are enforced</w:t>
      </w:r>
      <w:r>
        <w:rPr>
          <w:i/>
          <w:iCs/>
        </w:rPr>
        <w:t xml:space="preserve"> </w:t>
      </w:r>
      <w:r>
        <w:rPr>
          <w:i/>
          <w:iCs/>
        </w:rPr>
        <w:t xml:space="preserve">by lint rules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sales → catalog/inventory/customers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purchasing → suppliers/catalog/ inventory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</w:t>
      </w:r>
      <w:r>
        <w:rPr>
          <w:i/>
          <w:iCs/>
        </w:rPr>
        <w:t xml:space="preserve"> </w:t>
      </w:r>
      <w:r>
        <w:rPr>
          <w:i/>
          <w:iCs/>
        </w:rPr>
        <w:t xml:space="preserve">subscribes to events from all,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reads views only.</w:t>
      </w:r>
    </w:p>
    <w:bookmarkEnd w:id="45"/>
    <w:bookmarkStart w:id="49" w:name="class-diagram-domain-layer-key-types"/>
    <w:p>
      <w:pPr>
        <w:pStyle w:val="Heading2"/>
      </w:pPr>
      <w:r>
        <w:t xml:space="preserve">9. Class diagram (domain layer, key types)</w:t>
      </w:r>
    </w:p>
    <w:p>
      <w:pPr>
        <w:pStyle w:val="CaptionedFigure"/>
      </w:pPr>
      <w:r>
        <w:drawing>
          <wp:inline>
            <wp:extent cx="5334000" cy="1481666"/>
            <wp:effectExtent b="0" l="0" r="0" t="0"/>
            <wp:docPr descr="Figure 9" title="" id="47" name="Picture"/>
            <a:graphic>
              <a:graphicData uri="http://schemas.openxmlformats.org/drawingml/2006/picture">
                <pic:pic>
                  <pic:nvPicPr>
                    <pic:cNvPr descr="diagrams/10-analysis-and-design-models-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bookmarkEnd w:id="49"/>
    <w:bookmarkStart w:id="53" w:name="sequence-diagram-online-pos-sale"/>
    <w:p>
      <w:pPr>
        <w:pStyle w:val="Heading2"/>
      </w:pPr>
      <w:r>
        <w:t xml:space="preserve">10. Sequence diagram — Online POS sale</w:t>
      </w:r>
    </w:p>
    <w:p>
      <w:pPr>
        <w:pStyle w:val="CaptionedFigure"/>
      </w:pPr>
      <w:r>
        <w:drawing>
          <wp:inline>
            <wp:extent cx="5334000" cy="2981496"/>
            <wp:effectExtent b="0" l="0" r="0" t="0"/>
            <wp:docPr descr="Figure 10" title="" id="51" name="Picture"/>
            <a:graphic>
              <a:graphicData uri="http://schemas.openxmlformats.org/drawingml/2006/picture">
                <pic:pic>
                  <pic:nvPicPr>
                    <pic:cNvPr descr="diagrams/10-analysis-and-design-models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bookmarkEnd w:id="53"/>
    <w:bookmarkStart w:id="57" w:name="X33d37cb78461ffca64ab00901469175df975b84"/>
    <w:p>
      <w:pPr>
        <w:pStyle w:val="Heading2"/>
      </w:pPr>
      <w:r>
        <w:t xml:space="preserve">11. Sequence diagram — Offline sale &amp; sync (ADR-006)</w:t>
      </w:r>
    </w:p>
    <w:p>
      <w:pPr>
        <w:pStyle w:val="CaptionedFigure"/>
      </w:pPr>
      <w:r>
        <w:drawing>
          <wp:inline>
            <wp:extent cx="5334000" cy="3027314"/>
            <wp:effectExtent b="0" l="0" r="0" t="0"/>
            <wp:docPr descr="Figure 11" title="" id="55" name="Picture"/>
            <a:graphic>
              <a:graphicData uri="http://schemas.openxmlformats.org/drawingml/2006/picture">
                <pic:pic>
                  <pic:nvPicPr>
                    <pic:cNvPr descr="diagrams/10-analysis-and-design-models-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bookmarkEnd w:id="57"/>
    <w:bookmarkStart w:id="61" w:name="X6d1fd04f80371851101a5838e1d48db1bee526c"/>
    <w:p>
      <w:pPr>
        <w:pStyle w:val="Heading2"/>
      </w:pPr>
      <w:r>
        <w:t xml:space="preserve">12. Sequence diagram — Login &amp; token refresh (ADR-005)</w:t>
      </w:r>
    </w:p>
    <w:p>
      <w:pPr>
        <w:pStyle w:val="CaptionedFigure"/>
      </w:pPr>
      <w:r>
        <w:drawing>
          <wp:inline>
            <wp:extent cx="5334000" cy="3094977"/>
            <wp:effectExtent b="0" l="0" r="0" t="0"/>
            <wp:docPr descr="Figure 12" title="" id="59" name="Picture"/>
            <a:graphic>
              <a:graphicData uri="http://schemas.openxmlformats.org/drawingml/2006/picture">
                <pic:pic>
                  <pic:nvPicPr>
                    <pic:cNvPr descr="diagrams/10-analysis-and-design-models-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2026-07-13T20:22:57Z</dcterms:created>
  <dcterms:modified xsi:type="dcterms:W3CDTF">2026-07-13T20:22:57Z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