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C47484" w14:textId="77777777" w:rsidR="004B6B44" w:rsidRPr="00AF4011" w:rsidRDefault="00000000">
      <w:pPr>
        <w:pStyle w:val="Heading1"/>
        <w:rPr>
          <w:b/>
          <w:bCs/>
          <w:color w:val="000000" w:themeColor="text1"/>
        </w:rPr>
      </w:pPr>
      <w:bookmarkStart w:id="0" w:name="architecture-decision-records"/>
      <w:r w:rsidRPr="00AF4011">
        <w:rPr>
          <w:b/>
          <w:bCs/>
          <w:color w:val="000000" w:themeColor="text1"/>
        </w:rPr>
        <w:t>Architecture Decision Records</w:t>
      </w:r>
    </w:p>
    <w:p w14:paraId="60902F84" w14:textId="77777777" w:rsidR="0021342E" w:rsidRDefault="00000000">
      <w:pPr>
        <w:pStyle w:val="FirstParagraph"/>
        <w:rPr>
          <w:b/>
          <w:bCs/>
        </w:rPr>
      </w:pPr>
      <w:r>
        <w:rPr>
          <w:b/>
          <w:bCs/>
        </w:rPr>
        <w:t xml:space="preserve">COE 454 — Week 3 Deliverable 1 </w:t>
      </w:r>
    </w:p>
    <w:p w14:paraId="760A9960" w14:textId="77777777" w:rsidR="0021342E" w:rsidRDefault="00000000">
      <w:pPr>
        <w:pStyle w:val="FirstParagraph"/>
      </w:pPr>
      <w:r>
        <w:rPr>
          <w:b/>
          <w:bCs/>
        </w:rPr>
        <w:t>Owner:</w:t>
      </w:r>
      <w:r>
        <w:t xml:space="preserve"> Backend Lead · </w:t>
      </w:r>
    </w:p>
    <w:p w14:paraId="07B6B948" w14:textId="083861BF" w:rsidR="004B6B44" w:rsidRDefault="00000000">
      <w:pPr>
        <w:pStyle w:val="FirstParagraph"/>
      </w:pPr>
      <w:r>
        <w:t>Status key: Proposed / Accepted / Superseded</w:t>
      </w:r>
    </w:p>
    <w:p w14:paraId="07EEC405" w14:textId="0FAAF289" w:rsidR="004B6B44" w:rsidRDefault="004B6B44"/>
    <w:p w14:paraId="6DE2A484" w14:textId="77777777" w:rsidR="004B6B44" w:rsidRPr="00AF4011" w:rsidRDefault="00000000">
      <w:pPr>
        <w:pStyle w:val="Heading2"/>
        <w:rPr>
          <w:b/>
          <w:bCs/>
          <w:color w:val="000000" w:themeColor="text1"/>
        </w:rPr>
      </w:pPr>
      <w:bookmarkStart w:id="1" w:name="Xdf9be688bd53f1e7ec6d5c0449e343f230ee32e"/>
      <w:r w:rsidRPr="00AF4011">
        <w:rPr>
          <w:b/>
          <w:bCs/>
          <w:color w:val="000000" w:themeColor="text1"/>
        </w:rPr>
        <w:t>ADR-001: Modular monolith, not microservices</w:t>
      </w:r>
    </w:p>
    <w:p w14:paraId="2ACE5EB4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4A13F7E1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The brief’s Weeks 7–8 require redesigning for thousands of users, which tempts teams toward microservices from day one. We have 3–4 part-time implementers, six weeks to a client-accepted MVP, one pharmacy, and one database. The client requirement list spans many domains (auth, catalogue, inventory, purchasing, POS, reporting, audit), which need clear boundaries regardless of deployment shape.</w:t>
      </w:r>
    </w:p>
    <w:p w14:paraId="7B19606E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Build a single deployable NestJS application organized into explicit modules with enforced boundaries: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B6B44" w14:paraId="5510BA33" w14:textId="77777777" w:rsidTr="004B6B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795592B" w14:textId="77777777" w:rsidR="004B6B44" w:rsidRDefault="00000000">
            <w:pPr>
              <w:pStyle w:val="Compact"/>
            </w:pPr>
            <w:r>
              <w:t>Module</w:t>
            </w:r>
          </w:p>
        </w:tc>
        <w:tc>
          <w:tcPr>
            <w:tcW w:w="2640" w:type="dxa"/>
          </w:tcPr>
          <w:p w14:paraId="578A8E2D" w14:textId="77777777" w:rsidR="004B6B44" w:rsidRDefault="00000000">
            <w:pPr>
              <w:pStyle w:val="Compact"/>
            </w:pPr>
            <w:r>
              <w:t>Owns (DB tables)</w:t>
            </w:r>
          </w:p>
        </w:tc>
        <w:tc>
          <w:tcPr>
            <w:tcW w:w="2640" w:type="dxa"/>
          </w:tcPr>
          <w:p w14:paraId="797D4017" w14:textId="77777777" w:rsidR="004B6B44" w:rsidRDefault="00000000">
            <w:pPr>
              <w:pStyle w:val="Compact"/>
            </w:pPr>
            <w:r>
              <w:t>Depends on</w:t>
            </w:r>
          </w:p>
        </w:tc>
      </w:tr>
      <w:tr w:rsidR="004B6B44" w14:paraId="738FBE48" w14:textId="77777777">
        <w:tc>
          <w:tcPr>
            <w:tcW w:w="2640" w:type="dxa"/>
          </w:tcPr>
          <w:p w14:paraId="7DC41C80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auth</w:t>
            </w:r>
          </w:p>
        </w:tc>
        <w:tc>
          <w:tcPr>
            <w:tcW w:w="2640" w:type="dxa"/>
          </w:tcPr>
          <w:p w14:paraId="678662DE" w14:textId="77777777" w:rsidR="004B6B44" w:rsidRDefault="00000000">
            <w:pPr>
              <w:pStyle w:val="Compact"/>
            </w:pPr>
            <w:r>
              <w:t>refresh_tokens</w:t>
            </w:r>
          </w:p>
        </w:tc>
        <w:tc>
          <w:tcPr>
            <w:tcW w:w="2640" w:type="dxa"/>
          </w:tcPr>
          <w:p w14:paraId="298BCEF8" w14:textId="77777777" w:rsidR="004B6B44" w:rsidRDefault="00000000">
            <w:pPr>
              <w:pStyle w:val="Compact"/>
            </w:pPr>
            <w:r>
              <w:t>users</w:t>
            </w:r>
          </w:p>
        </w:tc>
      </w:tr>
      <w:tr w:rsidR="004B6B44" w14:paraId="57473E6B" w14:textId="77777777">
        <w:tc>
          <w:tcPr>
            <w:tcW w:w="2640" w:type="dxa"/>
          </w:tcPr>
          <w:p w14:paraId="6C83C737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2640" w:type="dxa"/>
          </w:tcPr>
          <w:p w14:paraId="167E7AF3" w14:textId="77777777" w:rsidR="004B6B44" w:rsidRDefault="00000000">
            <w:pPr>
              <w:pStyle w:val="Compact"/>
            </w:pPr>
            <w:r>
              <w:t>users</w:t>
            </w:r>
          </w:p>
        </w:tc>
        <w:tc>
          <w:tcPr>
            <w:tcW w:w="2640" w:type="dxa"/>
          </w:tcPr>
          <w:p w14:paraId="0D3F7A65" w14:textId="77777777" w:rsidR="004B6B44" w:rsidRDefault="00000000">
            <w:pPr>
              <w:pStyle w:val="Compact"/>
            </w:pPr>
            <w:r>
              <w:t>—</w:t>
            </w:r>
          </w:p>
        </w:tc>
      </w:tr>
      <w:tr w:rsidR="004B6B44" w14:paraId="560F4365" w14:textId="77777777">
        <w:tc>
          <w:tcPr>
            <w:tcW w:w="2640" w:type="dxa"/>
          </w:tcPr>
          <w:p w14:paraId="633284E2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catalog</w:t>
            </w:r>
          </w:p>
        </w:tc>
        <w:tc>
          <w:tcPr>
            <w:tcW w:w="2640" w:type="dxa"/>
          </w:tcPr>
          <w:p w14:paraId="2420AF2A" w14:textId="77777777" w:rsidR="004B6B44" w:rsidRDefault="00000000">
            <w:pPr>
              <w:pStyle w:val="Compact"/>
            </w:pPr>
            <w:r>
              <w:t>products, categories, product_units, barcodes</w:t>
            </w:r>
          </w:p>
        </w:tc>
        <w:tc>
          <w:tcPr>
            <w:tcW w:w="2640" w:type="dxa"/>
          </w:tcPr>
          <w:p w14:paraId="14ECA8AA" w14:textId="77777777" w:rsidR="004B6B44" w:rsidRDefault="00000000">
            <w:pPr>
              <w:pStyle w:val="Compact"/>
            </w:pPr>
            <w:r>
              <w:t>—</w:t>
            </w:r>
          </w:p>
        </w:tc>
      </w:tr>
      <w:tr w:rsidR="004B6B44" w14:paraId="4B68E97F" w14:textId="77777777">
        <w:tc>
          <w:tcPr>
            <w:tcW w:w="2640" w:type="dxa"/>
          </w:tcPr>
          <w:p w14:paraId="22995807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inventory</w:t>
            </w:r>
          </w:p>
        </w:tc>
        <w:tc>
          <w:tcPr>
            <w:tcW w:w="2640" w:type="dxa"/>
          </w:tcPr>
          <w:p w14:paraId="6FD2D251" w14:textId="77777777" w:rsidR="004B6B44" w:rsidRDefault="00000000">
            <w:pPr>
              <w:pStyle w:val="Compact"/>
            </w:pPr>
            <w:r>
              <w:t>batches, stock_movements, stock_adjustments</w:t>
            </w:r>
          </w:p>
        </w:tc>
        <w:tc>
          <w:tcPr>
            <w:tcW w:w="2640" w:type="dxa"/>
          </w:tcPr>
          <w:p w14:paraId="05DB5C19" w14:textId="77777777" w:rsidR="004B6B44" w:rsidRDefault="00000000">
            <w:pPr>
              <w:pStyle w:val="Compact"/>
            </w:pPr>
            <w:r>
              <w:t>catalog</w:t>
            </w:r>
          </w:p>
        </w:tc>
      </w:tr>
      <w:tr w:rsidR="004B6B44" w14:paraId="2B985E52" w14:textId="77777777">
        <w:tc>
          <w:tcPr>
            <w:tcW w:w="2640" w:type="dxa"/>
          </w:tcPr>
          <w:p w14:paraId="12D292BE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suppliers</w:t>
            </w:r>
          </w:p>
        </w:tc>
        <w:tc>
          <w:tcPr>
            <w:tcW w:w="2640" w:type="dxa"/>
          </w:tcPr>
          <w:p w14:paraId="33544230" w14:textId="77777777" w:rsidR="004B6B44" w:rsidRDefault="00000000">
            <w:pPr>
              <w:pStyle w:val="Compact"/>
            </w:pPr>
            <w:r>
              <w:t>suppliers</w:t>
            </w:r>
          </w:p>
        </w:tc>
        <w:tc>
          <w:tcPr>
            <w:tcW w:w="2640" w:type="dxa"/>
          </w:tcPr>
          <w:p w14:paraId="427C09FF" w14:textId="77777777" w:rsidR="004B6B44" w:rsidRDefault="00000000">
            <w:pPr>
              <w:pStyle w:val="Compact"/>
            </w:pPr>
            <w:r>
              <w:t>—</w:t>
            </w:r>
          </w:p>
        </w:tc>
      </w:tr>
      <w:tr w:rsidR="004B6B44" w14:paraId="6C7972D7" w14:textId="77777777">
        <w:tc>
          <w:tcPr>
            <w:tcW w:w="2640" w:type="dxa"/>
          </w:tcPr>
          <w:p w14:paraId="0F672BBC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purchasing</w:t>
            </w:r>
          </w:p>
        </w:tc>
        <w:tc>
          <w:tcPr>
            <w:tcW w:w="2640" w:type="dxa"/>
          </w:tcPr>
          <w:p w14:paraId="04058AC4" w14:textId="77777777" w:rsidR="004B6B44" w:rsidRDefault="00000000">
            <w:pPr>
              <w:pStyle w:val="Compact"/>
            </w:pPr>
            <w:r>
              <w:t>purchase_orders, purchase_order_items, goods_receipts</w:t>
            </w:r>
          </w:p>
        </w:tc>
        <w:tc>
          <w:tcPr>
            <w:tcW w:w="2640" w:type="dxa"/>
          </w:tcPr>
          <w:p w14:paraId="63A92EE8" w14:textId="77777777" w:rsidR="004B6B44" w:rsidRDefault="00000000">
            <w:pPr>
              <w:pStyle w:val="Compact"/>
            </w:pPr>
            <w:r>
              <w:t>suppliers, catalog, inventory</w:t>
            </w:r>
          </w:p>
        </w:tc>
      </w:tr>
      <w:tr w:rsidR="004B6B44" w14:paraId="1933624C" w14:textId="77777777">
        <w:tc>
          <w:tcPr>
            <w:tcW w:w="2640" w:type="dxa"/>
          </w:tcPr>
          <w:p w14:paraId="0A3785EA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sales</w:t>
            </w:r>
            <w:r>
              <w:t xml:space="preserve"> (incl. POS + sync)</w:t>
            </w:r>
          </w:p>
        </w:tc>
        <w:tc>
          <w:tcPr>
            <w:tcW w:w="2640" w:type="dxa"/>
          </w:tcPr>
          <w:p w14:paraId="0F191364" w14:textId="77777777" w:rsidR="004B6B44" w:rsidRDefault="00000000">
            <w:pPr>
              <w:pStyle w:val="Compact"/>
            </w:pPr>
            <w:r>
              <w:t>sales, sale_items, payments, sale_returns</w:t>
            </w:r>
          </w:p>
        </w:tc>
        <w:tc>
          <w:tcPr>
            <w:tcW w:w="2640" w:type="dxa"/>
          </w:tcPr>
          <w:p w14:paraId="50098B57" w14:textId="77777777" w:rsidR="004B6B44" w:rsidRDefault="00000000">
            <w:pPr>
              <w:pStyle w:val="Compact"/>
            </w:pPr>
            <w:r>
              <w:t>catalog, inventory, customers</w:t>
            </w:r>
          </w:p>
        </w:tc>
      </w:tr>
      <w:tr w:rsidR="004B6B44" w14:paraId="09E1DD09" w14:textId="77777777">
        <w:tc>
          <w:tcPr>
            <w:tcW w:w="2640" w:type="dxa"/>
          </w:tcPr>
          <w:p w14:paraId="634EC158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customers</w:t>
            </w:r>
          </w:p>
        </w:tc>
        <w:tc>
          <w:tcPr>
            <w:tcW w:w="2640" w:type="dxa"/>
          </w:tcPr>
          <w:p w14:paraId="5F5C2E99" w14:textId="77777777" w:rsidR="004B6B44" w:rsidRDefault="00000000">
            <w:pPr>
              <w:pStyle w:val="Compact"/>
            </w:pPr>
            <w:r>
              <w:t>customers</w:t>
            </w:r>
          </w:p>
        </w:tc>
        <w:tc>
          <w:tcPr>
            <w:tcW w:w="2640" w:type="dxa"/>
          </w:tcPr>
          <w:p w14:paraId="6E74976B" w14:textId="77777777" w:rsidR="004B6B44" w:rsidRDefault="00000000">
            <w:pPr>
              <w:pStyle w:val="Compact"/>
            </w:pPr>
            <w:r>
              <w:t>—</w:t>
            </w:r>
          </w:p>
        </w:tc>
      </w:tr>
      <w:tr w:rsidR="004B6B44" w14:paraId="7CA062B9" w14:textId="77777777">
        <w:tc>
          <w:tcPr>
            <w:tcW w:w="2640" w:type="dxa"/>
          </w:tcPr>
          <w:p w14:paraId="38E94ACE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reporting</w:t>
            </w:r>
          </w:p>
        </w:tc>
        <w:tc>
          <w:tcPr>
            <w:tcW w:w="2640" w:type="dxa"/>
          </w:tcPr>
          <w:p w14:paraId="68E7A4F0" w14:textId="77777777" w:rsidR="004B6B44" w:rsidRDefault="00000000">
            <w:pPr>
              <w:pStyle w:val="Compact"/>
            </w:pPr>
            <w:r>
              <w:t>(read-only views)</w:t>
            </w:r>
          </w:p>
        </w:tc>
        <w:tc>
          <w:tcPr>
            <w:tcW w:w="2640" w:type="dxa"/>
          </w:tcPr>
          <w:p w14:paraId="19AF7ECE" w14:textId="77777777" w:rsidR="004B6B44" w:rsidRDefault="00000000">
            <w:pPr>
              <w:pStyle w:val="Compact"/>
            </w:pPr>
            <w:r>
              <w:t>read models of all</w:t>
            </w:r>
          </w:p>
        </w:tc>
      </w:tr>
      <w:tr w:rsidR="004B6B44" w14:paraId="1C5FF232" w14:textId="77777777">
        <w:tc>
          <w:tcPr>
            <w:tcW w:w="2640" w:type="dxa"/>
          </w:tcPr>
          <w:p w14:paraId="2FF854C2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notifications</w:t>
            </w:r>
          </w:p>
        </w:tc>
        <w:tc>
          <w:tcPr>
            <w:tcW w:w="2640" w:type="dxa"/>
          </w:tcPr>
          <w:p w14:paraId="64D87290" w14:textId="77777777" w:rsidR="004B6B44" w:rsidRDefault="00000000">
            <w:pPr>
              <w:pStyle w:val="Compact"/>
            </w:pPr>
            <w:r>
              <w:t>notifications</w:t>
            </w:r>
          </w:p>
        </w:tc>
        <w:tc>
          <w:tcPr>
            <w:tcW w:w="2640" w:type="dxa"/>
          </w:tcPr>
          <w:p w14:paraId="5EAFE137" w14:textId="77777777" w:rsidR="004B6B44" w:rsidRDefault="00000000">
            <w:pPr>
              <w:pStyle w:val="Compact"/>
            </w:pPr>
            <w:r>
              <w:t>inventory, settings</w:t>
            </w:r>
          </w:p>
        </w:tc>
      </w:tr>
      <w:tr w:rsidR="004B6B44" w14:paraId="32BB54CA" w14:textId="77777777">
        <w:tc>
          <w:tcPr>
            <w:tcW w:w="2640" w:type="dxa"/>
          </w:tcPr>
          <w:p w14:paraId="27DB1B44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audit</w:t>
            </w:r>
          </w:p>
        </w:tc>
        <w:tc>
          <w:tcPr>
            <w:tcW w:w="2640" w:type="dxa"/>
          </w:tcPr>
          <w:p w14:paraId="1BB1D4E6" w14:textId="77777777" w:rsidR="004B6B44" w:rsidRDefault="00000000">
            <w:pPr>
              <w:pStyle w:val="Compact"/>
            </w:pPr>
            <w:r>
              <w:t>audit_logs</w:t>
            </w:r>
          </w:p>
        </w:tc>
        <w:tc>
          <w:tcPr>
            <w:tcW w:w="2640" w:type="dxa"/>
          </w:tcPr>
          <w:p w14:paraId="10414330" w14:textId="77777777" w:rsidR="004B6B44" w:rsidRDefault="00000000">
            <w:pPr>
              <w:pStyle w:val="Compact"/>
            </w:pPr>
            <w:r>
              <w:t>(subscribed to all via events)</w:t>
            </w:r>
          </w:p>
        </w:tc>
      </w:tr>
      <w:tr w:rsidR="004B6B44" w14:paraId="5B22AD3E" w14:textId="77777777">
        <w:tc>
          <w:tcPr>
            <w:tcW w:w="2640" w:type="dxa"/>
          </w:tcPr>
          <w:p w14:paraId="57B0A6BE" w14:textId="77777777" w:rsidR="004B6B44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</w:p>
        </w:tc>
        <w:tc>
          <w:tcPr>
            <w:tcW w:w="2640" w:type="dxa"/>
          </w:tcPr>
          <w:p w14:paraId="2EF9AD4D" w14:textId="77777777" w:rsidR="004B6B44" w:rsidRDefault="00000000">
            <w:pPr>
              <w:pStyle w:val="Compact"/>
            </w:pPr>
            <w:r>
              <w:t>settings</w:t>
            </w:r>
          </w:p>
        </w:tc>
        <w:tc>
          <w:tcPr>
            <w:tcW w:w="2640" w:type="dxa"/>
          </w:tcPr>
          <w:p w14:paraId="3B7A3A7D" w14:textId="77777777" w:rsidR="004B6B44" w:rsidRDefault="00000000">
            <w:pPr>
              <w:pStyle w:val="Compact"/>
            </w:pPr>
            <w:r>
              <w:t>—</w:t>
            </w:r>
          </w:p>
        </w:tc>
      </w:tr>
    </w:tbl>
    <w:p w14:paraId="5C5D0993" w14:textId="77777777" w:rsidR="004B6B44" w:rsidRDefault="00000000">
      <w:pPr>
        <w:pStyle w:val="BodyText"/>
      </w:pPr>
      <w:r>
        <w:lastRenderedPageBreak/>
        <w:t>Rules: modules communicate through exported service interfaces or in-process domain events (</w:t>
      </w:r>
      <w:r>
        <w:rPr>
          <w:rStyle w:val="VerbatimChar"/>
        </w:rPr>
        <w:t>SaleCompleted</w:t>
      </w:r>
      <w:r>
        <w:t xml:space="preserve">, </w:t>
      </w:r>
      <w:r>
        <w:rPr>
          <w:rStyle w:val="VerbatimChar"/>
        </w:rPr>
        <w:t>StockReceived</w:t>
      </w:r>
      <w:r>
        <w:t>) — never by importing another module’s repository or touching its tables. Each module owns its migrations for its tables.</w:t>
      </w:r>
    </w:p>
    <w:p w14:paraId="78453560" w14:textId="7539B928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one </w:t>
      </w:r>
      <w:proofErr w:type="gramStart"/>
      <w:r>
        <w:t>deploy</w:t>
      </w:r>
      <w:proofErr w:type="gramEnd"/>
      <w:r>
        <w:t xml:space="preserve">, one DB transaction across sale + stock deduction (critical for NFR-05), simple local dev for all </w:t>
      </w:r>
      <w:r w:rsidR="0021342E">
        <w:t xml:space="preserve">8 </w:t>
      </w:r>
      <w:r>
        <w:t xml:space="preserve">members, cheap hosting. Module boundaries give us the seams to extract services in Week 8’s scaling exercise — on paper or in code. </w:t>
      </w:r>
      <w:r>
        <w:rPr>
          <w:i/>
          <w:iCs/>
        </w:rPr>
        <w:t>Harder:</w:t>
      </w:r>
      <w:r>
        <w:t xml:space="preserve"> discipline is on us (an ESLint </w:t>
      </w:r>
      <w:r>
        <w:rPr>
          <w:rStyle w:val="VerbatimChar"/>
        </w:rPr>
        <w:t>import/no-restricted-paths</w:t>
      </w:r>
      <w:r>
        <w:t xml:space="preserve"> rule enforces the boundaries); a single runtime means one noisy module can affect all (mitigated by queueing report generation).</w:t>
      </w:r>
    </w:p>
    <w:p w14:paraId="121D9013" w14:textId="42813874" w:rsidR="004B6B44" w:rsidRDefault="004B6B44"/>
    <w:p w14:paraId="59100698" w14:textId="77777777" w:rsidR="0021342E" w:rsidRDefault="0021342E">
      <w:pPr>
        <w:pStyle w:val="Heading2"/>
      </w:pPr>
      <w:bookmarkStart w:id="2" w:name="Xaad77bce1f15f7a982c23f184e5d00bf00c7d64"/>
      <w:bookmarkEnd w:id="1"/>
    </w:p>
    <w:p w14:paraId="7EB52F6D" w14:textId="77777777" w:rsidR="0021342E" w:rsidRDefault="0021342E">
      <w:pPr>
        <w:pStyle w:val="Heading2"/>
      </w:pPr>
    </w:p>
    <w:p w14:paraId="132CE778" w14:textId="56D9DB0C" w:rsidR="004B6B44" w:rsidRPr="00AF4011" w:rsidRDefault="00000000">
      <w:pPr>
        <w:pStyle w:val="Heading2"/>
        <w:rPr>
          <w:b/>
          <w:bCs/>
          <w:color w:val="000000" w:themeColor="text1"/>
        </w:rPr>
      </w:pPr>
      <w:r w:rsidRPr="00AF4011">
        <w:rPr>
          <w:b/>
          <w:bCs/>
          <w:color w:val="000000" w:themeColor="text1"/>
        </w:rPr>
        <w:t>ADR-002: Frontend — React 18 + TypeScript + Vite, as a PWA</w:t>
      </w:r>
    </w:p>
    <w:p w14:paraId="3CB8B3C5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14D569DB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Needs: a fast keyboard-driven POS, an owner dashboard usable on a phone over 3G, offline capability (US-08), and skills the team already has. Course requires responsive + mobile-3G operation. Alternatives considered: Next.js (SSR adds hosting and mental overhead we don’t need for an authenticated app), Angular (steeper for the team), Flutter (no team experience, complicates barcode-wedge input and browser printing), Electron desktop (fails the course’s public-URL and mobile requirements).</w:t>
      </w:r>
    </w:p>
    <w:p w14:paraId="5A4AAF81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React 18 + TypeScript on Vite, styled with Tailwind CSS; TanStack Query for server state; Zustand for the POS cart; </w:t>
      </w:r>
      <w:r>
        <w:rPr>
          <w:rStyle w:val="VerbatimChar"/>
        </w:rPr>
        <w:t>vite-plugin-pwa</w:t>
      </w:r>
      <w:r>
        <w:t xml:space="preserve"> (Workbox) for installability and offline caching; Dexie (IndexedDB) for the offline sale queue and cached catalogue.</w:t>
      </w:r>
    </w:p>
    <w:p w14:paraId="7E3BC37F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biggest ecosystem and team familiarity; Vite dev speed; PWA gives the till an app-like fullscreen experience and offline shell for free; one codebase serves till, phone, and laptop. </w:t>
      </w:r>
      <w:r>
        <w:rPr>
          <w:i/>
          <w:iCs/>
        </w:rPr>
        <w:t>Harder:</w:t>
      </w:r>
      <w:r>
        <w:t xml:space="preserve"> client-side-only rendering means we must manage bundle size for 3G (route-level code splitting, no heavy UI kits); PWA cache invalidation needs care (versioned service worker, “update available” toast).</w:t>
      </w:r>
    </w:p>
    <w:p w14:paraId="55C7E4F5" w14:textId="07E96129" w:rsidR="004B6B44" w:rsidRDefault="004B6B44"/>
    <w:p w14:paraId="70A77493" w14:textId="77777777" w:rsidR="004B6B44" w:rsidRPr="00AF4011" w:rsidRDefault="00000000">
      <w:pPr>
        <w:pStyle w:val="Heading2"/>
        <w:rPr>
          <w:b/>
          <w:bCs/>
          <w:color w:val="000000" w:themeColor="text1"/>
        </w:rPr>
      </w:pPr>
      <w:bookmarkStart w:id="3" w:name="adr-003-backend-node.js-22-nestjs"/>
      <w:bookmarkEnd w:id="2"/>
      <w:r w:rsidRPr="00AF4011">
        <w:rPr>
          <w:b/>
          <w:bCs/>
          <w:color w:val="000000" w:themeColor="text1"/>
        </w:rPr>
        <w:t>ADR-003: Backend — Node.js 22 + NestJS</w:t>
      </w:r>
    </w:p>
    <w:p w14:paraId="633028FB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49A10F82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The modular monolith (ADR-001) needs a framework with first-class module boundaries, dependency injection, guards/interceptors for RBAC and audit, and validation layers — in a language the whole team can read. Alternatives: Express (no structure — </w:t>
      </w:r>
      <w:r>
        <w:lastRenderedPageBreak/>
        <w:t>boundaries would be convention only), Django (Python; strong admin but team is JS-centric and we’d split languages across the stack), Spring Boot (heavyweight for the team’s experience), Laravel (no team experience).</w:t>
      </w:r>
    </w:p>
    <w:p w14:paraId="42DCBE66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NestJS on Node.js 22 LTS. DTOs validated with </w:t>
      </w:r>
      <w:r>
        <w:rPr>
          <w:rStyle w:val="VerbatimChar"/>
        </w:rPr>
        <w:t>class-validator</w:t>
      </w:r>
      <w:r>
        <w:t xml:space="preserve">; global exception filter for consistent error envelopes; </w:t>
      </w:r>
      <w:r>
        <w:rPr>
          <w:rStyle w:val="VerbatimChar"/>
        </w:rPr>
        <w:t>@Roles()</w:t>
      </w:r>
      <w:r>
        <w:t xml:space="preserve"> guard for RBAC; interceptor publishing audit events; </w:t>
      </w:r>
      <w:r>
        <w:rPr>
          <w:rStyle w:val="VerbatimChar"/>
        </w:rPr>
        <w:t>@nestjs/schedule</w:t>
      </w:r>
      <w:r>
        <w:t xml:space="preserve"> for cron jobs (expiry scan, alert digest); Pino structured logging.</w:t>
      </w:r>
    </w:p>
    <w:p w14:paraId="29813688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NestJS modules map 1:1 to our architecture modules; DI makes the repository pattern and testing natural (Jest + Supertest for the Week 4 test requirement); TypeScript types shared end-to-end with the frontend via a </w:t>
      </w:r>
      <w:r>
        <w:rPr>
          <w:rStyle w:val="VerbatimChar"/>
        </w:rPr>
        <w:t>shared</w:t>
      </w:r>
      <w:r>
        <w:t xml:space="preserve"> package. </w:t>
      </w:r>
      <w:r>
        <w:rPr>
          <w:i/>
          <w:iCs/>
        </w:rPr>
        <w:t>Harder:</w:t>
      </w:r>
      <w:r>
        <w:t xml:space="preserve"> NestJS has learning-curve ceremony (decorators, providers) — mitigated by scaffolding one exemplar module (</w:t>
      </w:r>
      <w:r>
        <w:rPr>
          <w:rStyle w:val="VerbatimChar"/>
        </w:rPr>
        <w:t>catalog</w:t>
      </w:r>
      <w:r>
        <w:t>) in Week 3 that the team copies.</w:t>
      </w:r>
    </w:p>
    <w:p w14:paraId="5D15D353" w14:textId="1F411F6A" w:rsidR="004B6B44" w:rsidRDefault="004B6B44"/>
    <w:p w14:paraId="295901C7" w14:textId="77777777" w:rsidR="004B6B44" w:rsidRPr="00AF4011" w:rsidRDefault="00000000">
      <w:pPr>
        <w:pStyle w:val="Heading2"/>
        <w:rPr>
          <w:b/>
          <w:bCs/>
          <w:color w:val="000000" w:themeColor="text1"/>
        </w:rPr>
      </w:pPr>
      <w:bookmarkStart w:id="4" w:name="X49b08579095954c0303523be3f43512418de226"/>
      <w:bookmarkEnd w:id="3"/>
      <w:r w:rsidRPr="00AF4011">
        <w:rPr>
          <w:b/>
          <w:bCs/>
          <w:color w:val="000000" w:themeColor="text1"/>
        </w:rPr>
        <w:t>ADR-004: Database — PostgreSQL 16 with Prisma ORM</w:t>
      </w:r>
    </w:p>
    <w:p w14:paraId="56A5F4FA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37B3F1D0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Inventory correctness is the product. We need real foreign keys, CHECK constraints, atomic multi-row transactions (sale + movements + batch deduction), row-level locking to prevent overselling a batch, and free managed hosting. Alternatives: MySQL (viable, fewer team-relevant features, weaker CHECK history), SQLite (perfect locally, but the hosted API needs concurrent writers), MongoDB (document model fights relational stock math; transactions exist but model mismatch), Supabase (attractive BaaS, but course expects us to own auth and API design — we use plain Postgres and keep Supabase as a fallback host).</w:t>
      </w:r>
    </w:p>
    <w:p w14:paraId="0D508DFC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PostgreSQL 16, accessed through Prisma. Money stored as </w:t>
      </w:r>
      <w:r>
        <w:rPr>
          <w:rStyle w:val="VerbatimChar"/>
        </w:rPr>
        <w:t>NUMERIC(12,2)</w:t>
      </w:r>
      <w:r>
        <w:t xml:space="preserve"> (GHS); quantities as integers in the product’s base unit. Serializable transaction (or </w:t>
      </w:r>
      <w:r>
        <w:rPr>
          <w:rStyle w:val="VerbatimChar"/>
        </w:rPr>
        <w:t>SELECT … FOR UPDATE</w:t>
      </w:r>
      <w:r>
        <w:t xml:space="preserve"> on batches) around stock deduction.</w:t>
      </w:r>
    </w:p>
    <w:p w14:paraId="6663B2B8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constraints enforce invariants even if app code slips (NFR-05); Prisma migrations give the team a reviewable schema history; Railway offers managed Postgres with the API. </w:t>
      </w:r>
      <w:r>
        <w:rPr>
          <w:i/>
          <w:iCs/>
        </w:rPr>
        <w:t>Harder:</w:t>
      </w:r>
      <w:r>
        <w:t xml:space="preserve"> Prisma hides some SQL — the two reporting queries that need window functions/CTEs are written as raw SQL views (</w:t>
      </w:r>
      <w:r>
        <w:rPr>
          <w:rStyle w:val="VerbatimChar"/>
        </w:rPr>
        <w:t>reporting</w:t>
      </w:r>
      <w:r>
        <w:t xml:space="preserve"> module); base-unit integer arithmetic pushes unit-conversion logic into one service (</w:t>
      </w:r>
      <w:r>
        <w:rPr>
          <w:rStyle w:val="VerbatimChar"/>
        </w:rPr>
        <w:t>catalog.UnitConverter</w:t>
      </w:r>
      <w:r>
        <w:t>) which must be well-tested.</w:t>
      </w:r>
    </w:p>
    <w:p w14:paraId="2F2351B3" w14:textId="77777777" w:rsidR="00AF4011" w:rsidRDefault="00AF4011">
      <w:pPr>
        <w:pStyle w:val="Heading2"/>
        <w:rPr>
          <w:color w:val="000000" w:themeColor="text1"/>
        </w:rPr>
      </w:pPr>
      <w:bookmarkStart w:id="5" w:name="Xe35a988f83d6d93d652057ce27ec1eb16c4c754"/>
      <w:bookmarkEnd w:id="4"/>
    </w:p>
    <w:p w14:paraId="60F1E7F5" w14:textId="77777777" w:rsidR="00AF4011" w:rsidRDefault="00AF4011">
      <w:pPr>
        <w:pStyle w:val="Heading2"/>
        <w:rPr>
          <w:color w:val="000000" w:themeColor="text1"/>
        </w:rPr>
      </w:pPr>
    </w:p>
    <w:p w14:paraId="476F13A6" w14:textId="79021BD0" w:rsidR="004B6B44" w:rsidRPr="00AF4011" w:rsidRDefault="00000000">
      <w:pPr>
        <w:pStyle w:val="Heading2"/>
        <w:rPr>
          <w:b/>
          <w:bCs/>
          <w:color w:val="000000" w:themeColor="text1"/>
        </w:rPr>
      </w:pPr>
      <w:r w:rsidRPr="00AF4011">
        <w:rPr>
          <w:b/>
          <w:bCs/>
          <w:color w:val="000000" w:themeColor="text1"/>
        </w:rPr>
        <w:t>ADR-005: Authentication — JWT access + rotating refresh tokens, server-enforced RBAC</w:t>
      </w:r>
    </w:p>
    <w:p w14:paraId="0B51A305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55E7B6E1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Course Sprint 1 mandates JWT issuance/validation and protected routes. We also need: five roles (Admin, Manager, Pharmacist, Inventory Officer, Cashier), audit attribution per user (BR-06), a 12-hour shift session that survives brief network loss, and offline-queued sales that can still be attributed. Alternatives: server sessions (simpler revocation, but awkward across the PWA offline window and the course names JWT), Auth0/Clerk (external dependency, free-tier limits, and hides the learning the course grades).</w:t>
      </w:r>
    </w:p>
    <w:p w14:paraId="355FBB31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Argon2id password hashing. On login: 15-minute JWT access token (contains </w:t>
      </w:r>
      <w:r>
        <w:rPr>
          <w:rStyle w:val="VerbatimChar"/>
        </w:rPr>
        <w:t>sub</w:t>
      </w:r>
      <w:r>
        <w:t xml:space="preserve">, </w:t>
      </w:r>
      <w:r>
        <w:rPr>
          <w:rStyle w:val="VerbatimChar"/>
        </w:rPr>
        <w:t>role</w:t>
      </w:r>
      <w:r>
        <w:t xml:space="preserve">) + 12-hour refresh token, rotated on every use, stored hashed in </w:t>
      </w:r>
      <w:r>
        <w:rPr>
          <w:rStyle w:val="VerbatimChar"/>
        </w:rPr>
        <w:t>refresh_tokens</w:t>
      </w:r>
      <w:r>
        <w:t xml:space="preserve"> with device label and revocation support. Roles are a Postgres enum on </w:t>
      </w:r>
      <w:r>
        <w:rPr>
          <w:rStyle w:val="VerbatimChar"/>
        </w:rPr>
        <w:t>users</w:t>
      </w:r>
      <w:r>
        <w:t xml:space="preserve">; permissions are enforced in a single </w:t>
      </w:r>
      <w:r>
        <w:rPr>
          <w:rStyle w:val="VerbatimChar"/>
        </w:rPr>
        <w:t>RolesGuard</w:t>
      </w:r>
      <w:r>
        <w:t xml:space="preserve"> matrix on the server — the UI merely hides what the server would refuse. Rate limiting on </w:t>
      </w:r>
      <w:r>
        <w:rPr>
          <w:rStyle w:val="VerbatimChar"/>
        </w:rPr>
        <w:t>/auth/login</w:t>
      </w:r>
      <w:r>
        <w:t xml:space="preserve"> (</w:t>
      </w:r>
      <w:r>
        <w:rPr>
          <w:rStyle w:val="VerbatimChar"/>
        </w:rPr>
        <w:t>@nestjs/throttler</w:t>
      </w:r>
      <w:r>
        <w:t>) implements US-01 lockout with audit events.</w:t>
      </w:r>
    </w:p>
    <w:p w14:paraId="349D1E65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stateless access checks; refresh rotation limits stolen-token lifetime; offline sales are queued with the user id and validated on sync. </w:t>
      </w:r>
      <w:r>
        <w:rPr>
          <w:i/>
          <w:iCs/>
        </w:rPr>
        <w:t>Harder:</w:t>
      </w:r>
      <w:r>
        <w:t xml:space="preserve"> we own lockout, rotation, and revocation logic (tests required); if a cashier’s 12-h refresh expires mid-outage, queued sales sync after re-login (queue is keyed to user, not token — by design).</w:t>
      </w:r>
    </w:p>
    <w:p w14:paraId="0AA3C922" w14:textId="3B5C8356" w:rsidR="004B6B44" w:rsidRDefault="004B6B44"/>
    <w:p w14:paraId="6A899E88" w14:textId="77777777" w:rsidR="00AF4011" w:rsidRDefault="00AF4011"/>
    <w:p w14:paraId="4867D8EB" w14:textId="77777777" w:rsidR="004B6B44" w:rsidRPr="00AF4011" w:rsidRDefault="00000000">
      <w:pPr>
        <w:pStyle w:val="Heading2"/>
        <w:rPr>
          <w:b/>
          <w:bCs/>
          <w:color w:val="000000" w:themeColor="text1"/>
        </w:rPr>
      </w:pPr>
      <w:bookmarkStart w:id="6" w:name="X870f92ae399a90e26e8981d7d7f15a0a0a8e4dc"/>
      <w:bookmarkEnd w:id="5"/>
      <w:r w:rsidRPr="00AF4011">
        <w:rPr>
          <w:b/>
          <w:bCs/>
          <w:color w:val="000000" w:themeColor="text1"/>
        </w:rPr>
        <w:t>ADR-006: Offline strategy — cached catalogue + append-only offline sales queue (not full sync)</w:t>
      </w:r>
    </w:p>
    <w:p w14:paraId="52F998B8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4C64B385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The client’s current system is fully offline (desktop). Internet at the shop is [⏳ intermittent]. The original wishlist (“full offline operation with bidirectional sync and conflict resolution”) is a research-grade problem; six weeks is not enough to do it safely, and unsafe sync in a pharmacy corrupts stock. What must survive an outage is </w:t>
      </w:r>
      <w:r>
        <w:rPr>
          <w:i/>
          <w:iCs/>
        </w:rPr>
        <w:t>selling</w:t>
      </w:r>
      <w:r>
        <w:t xml:space="preserve"> — catalogue edits, purchasing, and reporting can wait.</w:t>
      </w:r>
    </w:p>
    <w:p w14:paraId="4E47C5A4" w14:textId="77777777" w:rsidR="004B6B44" w:rsidRDefault="00000000">
      <w:pPr>
        <w:pStyle w:val="BodyText"/>
      </w:pPr>
      <w:r>
        <w:rPr>
          <w:b/>
          <w:bCs/>
        </w:rPr>
        <w:lastRenderedPageBreak/>
        <w:t>Decision.</w:t>
      </w:r>
      <w:r>
        <w:t xml:space="preserve"> The server is the single source of truth. The PWA maintains: (a) a read-only catalogue + open-batch snapshot in IndexedDB, refreshed on connect and every 15 min; (b) an append-only queue of completed sales, each with a client-generated UUIDv7 </w:t>
      </w:r>
      <w:r>
        <w:rPr>
          <w:rStyle w:val="VerbatimChar"/>
        </w:rPr>
        <w:t>client_sale_id</w:t>
      </w:r>
      <w:r>
        <w:t xml:space="preserve">. </w:t>
      </w:r>
      <w:r>
        <w:rPr>
          <w:rStyle w:val="VerbatimChar"/>
        </w:rPr>
        <w:t>POST /sync/sales</w:t>
      </w:r>
      <w:r>
        <w:t xml:space="preserve"> is idempotent on </w:t>
      </w:r>
      <w:r>
        <w:rPr>
          <w:rStyle w:val="VerbatimChar"/>
        </w:rPr>
        <w:t>client_sale_id</w:t>
      </w:r>
      <w:r>
        <w:t xml:space="preserve"> (unique index): replays are acknowledged, never duplicated. Stock is deducted server-side at sync time; if a batch was oversold during the outage, the sale still records (money was taken) and a negative-stock exception lands on the Manager’s adjustment queue rather than blocking sync. All non-POS features require connectivity in MVP. Offline logins use the last successful credential verification cached for 12 h (hash comparison locally, no role elevation offline).</w:t>
      </w:r>
    </w:p>
    <w:p w14:paraId="3275F3A1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no distributed conflicts by construction (append-only, one writer per record); sync is a single idempotent endpoint we can test; matches the Week 5 “works on mobile 3G” reality. </w:t>
      </w:r>
      <w:r>
        <w:rPr>
          <w:i/>
          <w:iCs/>
        </w:rPr>
        <w:t>Harder:</w:t>
      </w:r>
      <w:r>
        <w:t xml:space="preserve"> two devices selling offline from the same batch can oversell — surfaced as an explicit exception report (accepted: it mirrors physical reality — the tablets left the shelf); catalogue changes don’t reach an offline till until reconnect (accepted; price changes are Manager actions done online).</w:t>
      </w:r>
    </w:p>
    <w:p w14:paraId="7210332A" w14:textId="0A731192" w:rsidR="004B6B44" w:rsidRDefault="004B6B44"/>
    <w:p w14:paraId="7287BDA1" w14:textId="0E7B101F" w:rsidR="004B6B44" w:rsidRPr="00AF4011" w:rsidRDefault="00000000">
      <w:pPr>
        <w:pStyle w:val="Heading2"/>
        <w:rPr>
          <w:b/>
          <w:bCs/>
          <w:color w:val="000000" w:themeColor="text1"/>
        </w:rPr>
      </w:pPr>
      <w:bookmarkStart w:id="7" w:name="X87a2db79be1eed0e2643e461d18a01db9deec35"/>
      <w:bookmarkEnd w:id="6"/>
      <w:r w:rsidRPr="00AF4011">
        <w:rPr>
          <w:b/>
          <w:bCs/>
          <w:color w:val="000000" w:themeColor="text1"/>
        </w:rPr>
        <w:t xml:space="preserve">ADR-007: Deployment — </w:t>
      </w:r>
      <w:proofErr w:type="spellStart"/>
      <w:r w:rsidRPr="00AF4011">
        <w:rPr>
          <w:b/>
          <w:bCs/>
          <w:color w:val="000000" w:themeColor="text1"/>
        </w:rPr>
        <w:t>Vercel</w:t>
      </w:r>
      <w:proofErr w:type="spellEnd"/>
      <w:r w:rsidRPr="00AF4011">
        <w:rPr>
          <w:b/>
          <w:bCs/>
          <w:color w:val="000000" w:themeColor="text1"/>
        </w:rPr>
        <w:t xml:space="preserve"> (web) + </w:t>
      </w:r>
      <w:r w:rsidR="00AF4011" w:rsidRPr="00AF4011">
        <w:rPr>
          <w:b/>
          <w:bCs/>
          <w:color w:val="000000" w:themeColor="text1"/>
        </w:rPr>
        <w:t xml:space="preserve">Render and Neon </w:t>
      </w:r>
      <w:r w:rsidRPr="00AF4011">
        <w:rPr>
          <w:b/>
          <w:bCs/>
          <w:color w:val="000000" w:themeColor="text1"/>
        </w:rPr>
        <w:t>(API + PostgreSQL)</w:t>
      </w:r>
    </w:p>
    <w:p w14:paraId="5C82AE91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1C6FCBDE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Course Week 5 requires a public URL for frontend and backend on free-ish tiers, and Week 8 adds CI/CD. Options per brief: Vercel, Railway, Render. Render free tier sleeps (cold starts kill the POS feel in demos); Railway’s trial/hobby tier keeps the API warm and bundles managed Postgres in the same project.</w:t>
      </w:r>
    </w:p>
    <w:p w14:paraId="07ECB94D" w14:textId="7B75B406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Frontend: Vercel (Vite static build + PWA assets, preview deploys per PR). Backend + DB: </w:t>
      </w:r>
      <w:r w:rsidR="00AF4011">
        <w:t xml:space="preserve">Render and Neon </w:t>
      </w:r>
      <w:r>
        <w:t>(</w:t>
      </w:r>
      <w:proofErr w:type="spellStart"/>
      <w:r>
        <w:t>NestJS</w:t>
      </w:r>
      <w:proofErr w:type="spellEnd"/>
      <w:r>
        <w:t xml:space="preserve"> container + managed Postgres, nightly </w:t>
      </w:r>
      <w:r>
        <w:rPr>
          <w:rStyle w:val="VerbatimChar"/>
        </w:rPr>
        <w:t>pg_dump</w:t>
      </w:r>
      <w:r>
        <w:t xml:space="preserve"> to Supabase Storage or a private repo artifact for NFR-07). GitHub Actions from Week 4: lint + test on every PR; deploy </w:t>
      </w:r>
      <w:r>
        <w:rPr>
          <w:rStyle w:val="VerbatimChar"/>
        </w:rPr>
        <w:t>main</w:t>
      </w:r>
      <w:r>
        <w:t xml:space="preserve"> → Railway/Vercel (formalized as the Week 8 CI/CD deliverable). Secrets only in platform env vars; </w:t>
      </w:r>
      <w:r>
        <w:rPr>
          <w:rStyle w:val="VerbatimChar"/>
        </w:rPr>
        <w:t>.env.example</w:t>
      </w:r>
      <w:r>
        <w:t xml:space="preserve"> committed.</w:t>
      </w:r>
    </w:p>
    <w:p w14:paraId="1F8D748C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zero-ops deploys the whole team can trigger; preview URLs for the UX Lead’s usability checks; HTTPS everywhere by default. </w:t>
      </w:r>
      <w:r>
        <w:rPr>
          <w:i/>
          <w:iCs/>
        </w:rPr>
        <w:t>Harder:</w:t>
      </w:r>
      <w:r>
        <w:t xml:space="preserve"> two platforms to configure CORS/env across; Railway hobby limits (~USD 5 credit) — we monitor usage and the client is told the ~USD 5–10/month post-project cost before handover (Assumption 5).</w:t>
      </w:r>
    </w:p>
    <w:p w14:paraId="10BCF3D5" w14:textId="465A5FC7" w:rsidR="004B6B44" w:rsidRDefault="004B6B44"/>
    <w:p w14:paraId="234C32E2" w14:textId="77777777" w:rsidR="00AF4011" w:rsidRDefault="00AF4011">
      <w:pPr>
        <w:pStyle w:val="Heading2"/>
      </w:pPr>
      <w:bookmarkStart w:id="8" w:name="X5ea96fb035e15e556610ec9b5d8b470d66852ce"/>
      <w:bookmarkEnd w:id="7"/>
    </w:p>
    <w:p w14:paraId="3BE2E51B" w14:textId="14192279" w:rsidR="004B6B44" w:rsidRPr="00AF4011" w:rsidRDefault="00000000">
      <w:pPr>
        <w:pStyle w:val="Heading2"/>
        <w:rPr>
          <w:b/>
          <w:bCs/>
          <w:color w:val="000000" w:themeColor="text1"/>
        </w:rPr>
      </w:pPr>
      <w:r w:rsidRPr="00AF4011">
        <w:rPr>
          <w:b/>
          <w:bCs/>
          <w:color w:val="000000" w:themeColor="text1"/>
        </w:rPr>
        <w:t>ADR-008: Barcode input and receipt printing via browser-native paths</w:t>
      </w:r>
    </w:p>
    <w:p w14:paraId="0A7C1587" w14:textId="77777777" w:rsidR="004B6B44" w:rsidRDefault="00000000">
      <w:pPr>
        <w:pStyle w:val="FirstParagraph"/>
      </w:pPr>
      <w:r>
        <w:rPr>
          <w:b/>
          <w:bCs/>
        </w:rPr>
        <w:t>Status:</w:t>
      </w:r>
      <w:r>
        <w:t xml:space="preserve"> Accepted</w:t>
      </w:r>
    </w:p>
    <w:p w14:paraId="555291EA" w14:textId="77777777" w:rsidR="004B6B44" w:rsidRDefault="00000000">
      <w:pPr>
        <w:pStyle w:val="BodyText"/>
      </w:pPr>
      <w:r>
        <w:rPr>
          <w:b/>
          <w:bCs/>
        </w:rPr>
        <w:t>Context.</w:t>
      </w:r>
      <w:r>
        <w:t xml:space="preserve"> The pharmacy already owns a USB barcode scanner and an 80 mm receipt printer used by QB POS. Custom printer drivers (ESC/POS over USB/network) are per-device rabbit holes we can’t afford in six weeks.</w:t>
      </w:r>
    </w:p>
    <w:p w14:paraId="5BB4AED9" w14:textId="77777777" w:rsidR="004B6B44" w:rsidRDefault="00000000">
      <w:pPr>
        <w:pStyle w:val="BodyText"/>
      </w:pPr>
      <w:r>
        <w:rPr>
          <w:b/>
          <w:bCs/>
        </w:rPr>
        <w:t>Decision.</w:t>
      </w:r>
      <w:r>
        <w:t xml:space="preserve"> Barcode in: treat the USB scanner as a keyboard wedge — a global listener detects scan-speed keystroke bursts terminating in Enter and routes them to the POS search box regardless of focus. Mobile fallback: </w:t>
      </w:r>
      <w:r>
        <w:rPr>
          <w:rStyle w:val="VerbatimChar"/>
        </w:rPr>
        <w:t>@zxing/browser</w:t>
      </w:r>
      <w:r>
        <w:t xml:space="preserve"> camera scanning. Barcode out: labels rendered as Code 128 SVGs (</w:t>
      </w:r>
      <w:r>
        <w:rPr>
          <w:rStyle w:val="VerbatimChar"/>
        </w:rPr>
        <w:t>JsBarcode</w:t>
      </w:r>
      <w:r>
        <w:t xml:space="preserve">) printed from the browser. Receipts: a print-dedicated route styled with </w:t>
      </w:r>
      <w:r>
        <w:rPr>
          <w:rStyle w:val="VerbatimChar"/>
        </w:rPr>
        <w:t>@media print</w:t>
      </w:r>
      <w:r>
        <w:t xml:space="preserve"> CSS at 80 mm width, printed via the browser dialog (silent printing configured on the till with a kiosk-mode flag if the client wants it). ESC/POS direct printing is a Phase 2 spike, not MVP.</w:t>
      </w:r>
    </w:p>
    <w:p w14:paraId="3DA4A9CD" w14:textId="77777777" w:rsidR="004B6B44" w:rsidRDefault="00000000">
      <w:pPr>
        <w:pStyle w:val="BodyText"/>
      </w:pPr>
      <w:r>
        <w:rPr>
          <w:b/>
          <w:bCs/>
        </w:rPr>
        <w:t>Consequences.</w:t>
      </w:r>
      <w:r>
        <w:t xml:space="preserve"> </w:t>
      </w:r>
      <w:r>
        <w:rPr>
          <w:i/>
          <w:iCs/>
        </w:rPr>
        <w:t>Easier:</w:t>
      </w:r>
      <w:r>
        <w:t xml:space="preserve"> zero drivers, works on any machine including the demo laptop; printing testable by “print to PDF”. </w:t>
      </w:r>
      <w:r>
        <w:rPr>
          <w:i/>
          <w:iCs/>
        </w:rPr>
        <w:t>Harder:</w:t>
      </w:r>
      <w:r>
        <w:t xml:space="preserve"> browser print dialog adds one keypress unless kiosk-mode silent printing is configured on the till (we will configure it at handover); exotic printers may need margins tuned — verify the printer model at Visit 2 (Open Question 5).</w:t>
      </w:r>
      <w:bookmarkEnd w:id="0"/>
      <w:bookmarkEnd w:id="8"/>
    </w:p>
    <w:sectPr w:rsidR="004B6B4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A3662D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0336561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6B44"/>
    <w:rsid w:val="0021342E"/>
    <w:rsid w:val="004B6B44"/>
    <w:rsid w:val="0083776C"/>
    <w:rsid w:val="00AF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FA3E"/>
  <w15:docId w15:val="{22C39E8E-F8A8-104D-A5DB-BBA0E1B4F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1724</Words>
  <Characters>9828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Kemoko Foumba TRAORE</cp:lastModifiedBy>
  <cp:revision>2</cp:revision>
  <dcterms:created xsi:type="dcterms:W3CDTF">2026-07-13T20:22:00Z</dcterms:created>
  <dcterms:modified xsi:type="dcterms:W3CDTF">2026-07-25T22:43:00Z</dcterms:modified>
</cp:coreProperties>
</file>