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Benchmark comparison: all filter strategies</w:t>
      </w:r>
    </w:p>
    <w:p>
      <w:pPr>
        <w:pStyle w:val="Normal"/>
      </w:pPr>
      <w:r>
        <w:t xml:space="preserve">Rows grouped by filter strategy. Cell shading is scaled WITHIN each strategy (greener = better; reversed for Bray-Curtis Dist) so methods can be compared within a strategy.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1531"/>
        <w:gridCol w:w="1449"/>
        <w:gridCol w:w="1171"/>
        <w:gridCol w:w="1051"/>
        <w:gridCol w:w="1343"/>
        <w:gridCol w:w="1071"/>
        <w:gridCol w:w="1682"/>
        <w:gridCol w:w="1467"/>
        <w:gridCol w:w="1807"/>
        <w:gridCol w:w="1463"/>
        <w:gridCol w:w="1475"/>
      </w:tblGrid>
      <w:tr>
        <w:trPr>
          <w:trHeight w:val="89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10" w:space="0" w:color="2C3E50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BC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12" w:space="0" w:color="666666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756" w:hRule="auto"/>
        </w:trPr>
        <w:tc>
          <w:tcPr>
            <w:vMerge w:val="restart"/>
            <w:tcBorders>
              <w:bottom w:val="single" w:sz="14" w:space="0" w:color="2C3E50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Unfiltered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110.4M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3695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5FAB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0.251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 ± 0.133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75B7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0.839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0.742</w:t>
            </w:r>
          </w:p>
        </w:tc>
      </w:tr>
      <w:tr>
        <w:trPr>
          <w:trHeight w:val="728" w:hRule="auto"/>
        </w:trPr>
        <w:tc>
          <w:tcPr>
            <w:vMerge/>
            <w:tcBorders>
              <w:bottom w:val="single" w:sz="4" w:space="0" w:color="DDDDDD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89F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± 0.105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0.707</w:t>
            </w:r>
          </w:p>
        </w:tc>
      </w:tr>
      <w:tr>
        <w:trPr>
          <w:trHeight w:val="759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B8DA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E4F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0.571 ± 0.1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</w:tr>
      <w:tr>
        <w:trPr>
          <w:trHeight w:val="728" w:hRule="auto"/>
        </w:trPr>
        <w:tc>
          <w:tcPr>
            <w:vMerge/>
            <w:tcBorders>
              <w:bottom w:val="single" w:sz="14" w:space="0" w:color="2C3E50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0.601 ± 0.135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</w:tr>
      <w:tr>
        <w:trPr>
          <w:trHeight w:val="925" w:hRule="auto"/>
        </w:trPr>
        <w:tc>
          <w:tcPr>
            <w:vMerge w:val="restart"/>
            <w:tcBorders>
              <w:bottom w:val="single" w:sz="14" w:space="0" w:color="2C3E50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Proportional 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(≥ 0.0001% of sample reads)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≥4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0.872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74B6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0.476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± 0.118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72B5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0.789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3B98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0.814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DAA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7B7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0.362 ± 0.107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CB2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DAA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1BD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FC4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3F9A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0.486 ± 0.091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0.636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14" w:space="0" w:color="2C3E50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EE5C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0.441 ± 0.13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3C99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0.771</w:t>
            </w:r>
          </w:p>
        </w:tc>
      </w:tr>
      <w:tr>
        <w:trPr>
          <w:trHeight w:val="925" w:hRule="auto"/>
        </w:trPr>
        <w:tc>
          <w:tcPr>
            <w:vMerge w:val="restart"/>
            <w:tcBorders>
              <w:bottom w:val="single" w:sz="12" w:space="0" w:color="666666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Proportional 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(≥ 0.001% of sample reads)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≥32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110.1M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BF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0.645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56A6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0.420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0.302 ± 0.096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0.668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12" w:space="0" w:color="666666"/>
            </w:tcBorders>
            <w:shd w:val="clear" w:color="auto" w:fill="429C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0.744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A9D2A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0.388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7AF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 ± 0.093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8B8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EAB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0.728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A7D1A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0.440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0.456 ± 0.076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0.637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12" w:space="0" w:color="666666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≥45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0.768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0.355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4A5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0.337 ± 0.099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0.699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kenthompson</cp:lastModifiedBy>
  <cp:revision>9</cp:revision>
  <dcterms:created xsi:type="dcterms:W3CDTF">2017-02-28T11:18:00Z</dcterms:created>
  <dcterms:modified xsi:type="dcterms:W3CDTF">2026-06-05T16:22:02Z</dcterms:modified>
  <cp:category/>
</cp:coreProperties>
</file>