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Experiment 6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Batch Analytics Visualization &amp; Reporting</w:t>
      </w:r>
    </w:p>
    <w:p>
      <w:pPr>
        <w:spacing w:after="3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Group 17</w:t>
      </w:r>
    </w:p>
    <w:p>
      <w:pPr>
        <w:spacing w:after="80"/>
      </w:pP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Objective: </w:t>
      </w:r>
      <w:r>
        <w:rPr>
          <w:rFonts w:ascii="Calibri" w:cs="Calibri" w:eastAsia="Calibri" w:hAnsi="Calibri"/>
          <w:sz w:val="22"/>
          <w:szCs w:val="22"/>
        </w:rPr>
        <w:t xml:space="preserve">Transform the Experiment 5 batch analysis outputs into visual insights and a synthesized analytical summary report comparing Bus and Train reliability.</w:t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Dataset Description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experiment consumes the partitioned Parquet artifacts written in Experiment 5 (parquet_benchmarks/unified_transit_master.parquet and the query-specific aggregates), covering the full 100,000-record unified Bus + Train dataset, rather than re-reading the raw CSVs.</w:t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Theory: Visual Analytics for Smart City Reporting</w:t>
      </w:r>
    </w:p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1. From Aggregates to Insight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batch analytics pipeline's output is only as useful as the story it tells. Time-series trend lines expose seasonality and longitudinal drift, heatmap cross-tabulations expose where and why bottlenecks cluster, and executive scorecards compress dozens of aggregate queries into a handful of decision-ready KPIs.</w:t>
      </w:r>
    </w:p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2. Choosing the Right Chart per Question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Rolling averages and day-over-day trend lines answer 'is this getting better or worse over time'. Heatmaps (day-of-week × hour, or location × reason) answer 'where does this cluster'. Violin/density plots answer 'how spread out are delays within a time band', which a single mean would hide. Grouped bar and KPI scorecards answer 'how do the two modes compare at a glance' — this is why Experiment 6 pairs each aggregate query from Experiment 5 with the chart type suited to the question it answers, rather than defaulting to one chart style throughout.</w:t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Tasks &amp; Step-by-Step Implementation</w:t>
      </w:r>
    </w:p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Task 1: Connect Parquet Outputs to the Visualization Pipeline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Experiment 5 Parquet aggregates were read back into Spark/Pandas and further grouped (day-of-week, hourly, monthly) to feed each chart without re-scanning the raw CSVs.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parquet_master_path = 'parquet_benchmarks/unified_transit_master.parquet'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master_df = spark.read.parquet(parquet_master_path)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master_df.createOrReplaceTempView('master_transit')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print(f'Successfully loaded Parquet Dataset: {master_df.count():,} master records.')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master_df.printSchema()</w:t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Task 2: Multi-Granular Time-Series Trend Visualizations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Daily delay values were plotted against a 14-day rolling average across the full 2023-2024 window, alongside monthly cumulative passenger-hour totals and a day-of-week congestion profile.</w:t>
      </w:r>
    </w:p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Task 3: Geospatial &amp; Root-Cause Heatmap Matrices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Day-of-week × hour-of-day intensity matrices were built per mode, plus a Location/Line × Reason cross-tabulation heatmap quantifying passenger-hours lost per bottleneck cause.</w:t>
      </w:r>
    </w:p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Task 4: Multimodal Smart City Executive Dashboard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Severity-tier incident counts, cumulative passenger-hour burden by corridor, and delay-minute density distributions across time-of-day bands were combined into a single KPI dashboard, alongside a text-based executive scorecard panel.</w:t>
      </w:r>
    </w:p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Task 5: Synthesize the Batch Analytical Report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All of the above was distilled into batch_analytics_report.txt — a structured executive summary covering the scorecard, temporal dynamics, geospatial bottlenecks, and strategic recommendations, reproduced in full below.</w:t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Visual Analytics</w:t>
      </w:r>
    </w:p>
    <w:p>
      <w:pPr>
        <w:spacing w:after="200" w:before="120"/>
        <w:jc w:val="center"/>
      </w:pPr>
      <w:r>
        <w:drawing>
          <wp:inline distT="0" distB="0" distL="0" distR="0">
            <wp:extent cx="5905500" cy="517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5905500" cy="426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590550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Multimodal Performance &amp; Reliability Scorecard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400"/>
        <w:gridCol w:w="1000"/>
        <w:gridCol w:w="2400"/>
        <w:gridCol w:w="1800"/>
      </w:tblGrid>
      <w:tr>
        <w:trPr>
          <w:tblHeader/>
        </w:trP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Trips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 Delay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StdDev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Passenger-Hrs Lost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Severe (&gt;20m) %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50,000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12.03 m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8.51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180,136.27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15.41%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Train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50,000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8.03 m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6.40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936,851.86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5.50%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Combined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100,000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10.03 m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1,116,988.13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10.46%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Temporal &amp; Seasonal Urban Dynamics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Morning Peak (06:00–09:00): the highest cumulative passenger-delay impact of the day (over 10,400 passenger-hours lost per hourly bin), driven by high passenger loads during commuter ingress. Evening Peak (16:00–19:00): elevated mean delay duration (12.1+ minutes), worsened by roadway congestion spilling into suburban rail crossings. Off-Peak/Night (20:00–05:00): lower trip frequency but occasional high-variance delays from scheduled maintenance and road construction. Mid-week days (Tue-Thu) show the tightest, steadiest delay cluster (~12.0 min), while weekends show more variable, outlier-prone delays.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Geospatial Bottlenecks &amp; Root-Cause Attribution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Bus network: Brooklyn (14,958 passenger-hours lost) leads, driven by Heavy Traffic, then Mechanical Problem and Late Return From Route; Manhattan (13,052 hrs) is dominated by gridlock and curb-space conflicts; Queens and Bronx show moderate impact with weather/roadwork sensitivity. Train network: the East of Hudson and New Haven lines carry the largest commuter impact, where high onboard capacity (100-150 passengers/train) magnifies single incidents; Congestion (signal bottlenecks) and Track Work together generate over 65% of cumulative railway passenger-hours lost.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Strategic Smart City Recommendations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4200"/>
      </w:tblGrid>
      <w:tr>
        <w:trPr>
          <w:tblHeader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Dynamic Traffic Signal Priority (TSP)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Congested bus corridors in Brooklyn and Manhattan, 07:00-09:00 and 16:00-18:00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Predictive fleet maintenance (IoT telemetry)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Mitigate the 15.8% of bus delays caused by Mechanical Problems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Intelligent rail dispatching / automated headway management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High-density corridors: East of Hudson, New Haven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Scale out partitioned Parquet architecture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Municipal pipelines — realizes 77.5% disk savings and faster analytical queries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Analytical Findings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5800"/>
      </w:tblGrid>
      <w:tr>
        <w:trPr>
          <w:tblHeader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Finding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Empirical Evidence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Trains lose far more total passenger-hours despite shorter average delays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Train mean delay (8.03m) is lower than Bus (12.03m), yet Train's total passenger-hours lost (936,851.86) is over 5x Bus's (180,136.27), because train onboard capacity is far higher per incident.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 delays are proportionally more severe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15.41% of bus incidents exceed 20 minutes vs only 5.50% for train — buses have fewer riders per incident but a higher share of severe individual delays.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Signal Problem is the single largest train bottleneck category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Signal Problem alone accounts for the highest passenger-hours-lost column across every railway line in the root-cause heatmap, peaking at 28,070 hrs on the Harlem line.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Weekday delay patterns are remarkably stable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Mean bus delay stays within 11.92-12.28 minutes across all seven days of the week, showing no strong weekday/weekend effect at the aggregate level.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Parquet's storage win is independent of dataset size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77.5% disk compression and partition-pruning benefit carries over directly from Experiment 5's benchmark into this reporting layer, since both operate on the same Parquet artifacts.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Conclusion: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Successfully transformed the Experiment 5 Spark SQL aggregates into a full smart-city visual analytics suite — time-series trend lines with rolling averages, day-of-week/hour-of-day intensity heatmaps, root-cause cross-tabulations, and a multimodal executive KPI dashboard — and synthesized the findings into a structured batch_analytics_report.txt. The analysis confirms Bus and Train delays fail in structurally different ways (frequent-but-recoverable congestion for buses vs rarer-but-high-impact signal/track issues for trains), directly motivating the Experiment 7 real-time streaming and alerting pipeline that follows.</w:t>
      </w:r>
    </w:p>
    <w:sectPr>
      <w:headerReference w:type="default" r:id="rId7"/>
      <w:footerReference w:type="default" r:id="rId8"/>
      <w:pgSz w:w="12240" w:h="15840" w:orient="portrait"/>
      <w:pgMar w:top="1000" w:right="1200" w:bottom="1000" w:left="1200" w:header="708" w:footer="708" w:gutter="0"/>
      <w:pgBorders>
        <w:top w:val="single" w:color="000000" w:sz="6" w:space="24"/>
        <w:left w:val="single" w:color="000000" w:sz="6" w:space="24"/>
        <w:bottom w:val="single" w:color="000000" w:sz="6" w:space="24"/>
        <w:right w:val="single" w:color="000000" w:sz="6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6F78" w:sz="12" w:space="4"/>
      </w:pBdr>
      <w:tabs>
        <w:tab w:val="center" w:pos="4680"/>
        <w:tab w:val="right" w:pos="9360"/>
      </w:tabs>
    </w:pPr>
    <w:r>
      <w:rPr>
        <w:rFonts w:ascii="Calibri" w:cs="Calibri" w:eastAsia="Calibri" w:hAnsi="Calibri"/>
        <w:sz w:val="20"/>
        <w:szCs w:val="20"/>
      </w:rPr>
      <w:t xml:space="preserve">Group 17</w:t>
    </w:r>
    <w:r>
      <w:rPr>
        <w:rFonts w:ascii="Calibri" w:cs="Calibri" w:eastAsia="Calibri" w:hAnsi="Calibri"/>
        <w:sz w:val="20"/>
        <w:szCs w:val="20"/>
      </w:rPr>
      <w:t xml:space="preserve">	BDA - Experiment 6</w:t>
    </w:r>
    <w:r>
      <w:rPr>
        <w:rFonts w:ascii="Calibri" w:cs="Calibri" w:eastAsia="Calibri" w:hAnsi="Calibri"/>
        <w:sz w:val="20"/>
        <w:szCs w:val="20"/>
      </w:rPr>
      <w:t xml:space="preserve">	Page </w:t>
    </w: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4b1a155ebfd5ef7c5998678d3d32d806c617c7e.png"/><Relationship Id="rId10" Type="http://schemas.openxmlformats.org/officeDocument/2006/relationships/image" Target="media/ea260a983c81d8d1508fdf7f5bc6a349c2570f32.png"/><Relationship Id="rId11" Type="http://schemas.openxmlformats.org/officeDocument/2006/relationships/image" Target="media/4e6df2edb725ab47c87f3e751bfb0c2d1d20fd6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2026-09-27T21:58:59.495Z</dcterms:created>
  <dcterms:modified xsi:type="dcterms:W3CDTF">2026-09-27T21:58:59.495Z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