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GreenChain: Blockchain for Agricultural Supply Chains</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Theophilus Korir-SCT211-0018/2022</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Victor Mulila- SCT211-0049/2022</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 Mutuku- SCT211-0050/2022</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Richard Kawenze- SCT211-0053/2022</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Lee Thiongo-SCT211-0536/2022</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Joseph Kabuthi- SCT211-0055/2022</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3/4/2025</w:t>
      </w:r>
    </w:p>
    <w:p w:rsidR="00000000" w:rsidDel="00000000" w:rsidP="00000000" w:rsidRDefault="00000000" w:rsidRPr="00000000" w14:paraId="0000000F">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for Agricultural Supply Chains: A Path to Transparency and Traceability in Kenya</w:t>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Kenya's agricultural sector is pivotal to its economy, yet inefficiencies in its supply network leads to financial losses and food safety concerns. Traditional record-keeping methods hinder transparency and traceability, exacerbating foodborne disease risks and diminishing consumer trust. Blockchain technology presents a transformative solution by offering an immutable digital ledger that enhances visibility and streamlines operations. This study evaluates the feasibility of blockchain adoption in Kenya’s agricultural sector by exploring adoption barriers, economic impact, and policy considerations. Through surveys, interviews, and comparative case studies, this research aims to provide a structured implementation framework for blockchain in Kenya’s agricultural supply chains.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Kenya’s agricultural industry is central to its economy, contributing approximately 33% of GDP and employing over 40% of the total population. However, the sector faces severe inefficiencies, particularly in supply chain management. Food traceability issues, counterfeit agricultural inputs, and a lack of real-time monitoring contribute to economic losses and public health concerns. Blockchain, with its decentralized and tamper-proof ledger, has the potential to enhance transparency and efficiency in the supply chain. This paper aims to investigate how blockchain can enhance trust and transparency, what the barriers to adoption might be, the implication on blockchain in Kenya's agricultural sector and how policies can Influence blockchain adoption.</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Literature Review</w:t>
      </w:r>
    </w:p>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in Traditional Supply Chains</w:t>
      </w:r>
      <w:r w:rsidDel="00000000" w:rsidR="00000000" w:rsidRPr="00000000">
        <w:rPr>
          <w:rFonts w:ascii="Times New Roman" w:cs="Times New Roman" w:eastAsia="Times New Roman" w:hAnsi="Times New Roman"/>
          <w:sz w:val="24"/>
          <w:szCs w:val="24"/>
          <w:rtl w:val="0"/>
        </w:rPr>
        <w:t xml:space="preserve">: Traditional agricultural supply chains often rely on paper-based or non-existent records, increasing the risk of fraud and inefficiency. These manual systems are prone to errors and lack real-time data sharing, leading to delays and reduced trust among stakeholders (Xiong et al., 2020).</w:t>
      </w:r>
    </w:p>
    <w:p w:rsidR="00000000" w:rsidDel="00000000" w:rsidP="00000000" w:rsidRDefault="00000000" w:rsidRPr="00000000" w14:paraId="0000001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Blockchain in Agriculture</w:t>
      </w:r>
      <w:r w:rsidDel="00000000" w:rsidR="00000000" w:rsidRPr="00000000">
        <w:rPr>
          <w:rFonts w:ascii="Times New Roman" w:cs="Times New Roman" w:eastAsia="Times New Roman" w:hAnsi="Times New Roman"/>
          <w:sz w:val="24"/>
          <w:szCs w:val="24"/>
          <w:rtl w:val="0"/>
        </w:rPr>
        <w:t xml:space="preserve">: IBM’s Food Trust Blockchain has demonstrated how blockchain can improve food traceability globally by reducing the time required to track food origins from days to seconds (Fynd Academy, n.d.). Similarly, AgUnity has piloted blockchain solutions in Africa to enhance farmer payments and supply chain coordination (Disruption Banking, 2022).</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Kenya’s Initiatives and Adoption Barriers</w:t>
      </w:r>
      <w:r w:rsidDel="00000000" w:rsidR="00000000" w:rsidRPr="00000000">
        <w:rPr>
          <w:rFonts w:ascii="Times New Roman" w:cs="Times New Roman" w:eastAsia="Times New Roman" w:hAnsi="Times New Roman"/>
          <w:sz w:val="24"/>
          <w:szCs w:val="24"/>
          <w:rtl w:val="0"/>
        </w:rPr>
        <w:t xml:space="preserve">: While blockchain projects are gaining momentum globally, Kenya faces unique challenges, including low digital literacy, high implementation costs, and limited infrastructure in rural areas. Studies suggest that government involvement and targeted education initiatives could accelerate blockchain adoption (Torky &amp; Hassanein, 2020).</w:t>
      </w:r>
    </w:p>
    <w:p w:rsidR="00000000" w:rsidDel="00000000" w:rsidP="00000000" w:rsidRDefault="00000000" w:rsidRPr="00000000" w14:paraId="0000001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of Food Safety on Trust</w:t>
      </w:r>
      <w:r w:rsidDel="00000000" w:rsidR="00000000" w:rsidRPr="00000000">
        <w:rPr>
          <w:rFonts w:ascii="Times New Roman" w:cs="Times New Roman" w:eastAsia="Times New Roman" w:hAnsi="Times New Roman"/>
          <w:sz w:val="24"/>
          <w:szCs w:val="24"/>
          <w:rtl w:val="0"/>
        </w:rPr>
        <w:t xml:space="preserve">: Food safety incidents have a profound impact on consumer trust. In Kenya, foodborne diseases are a significant public health concern, contributing to illnesses, deaths, and child stunting. These incidents erode consumer confidence in the food supply chain, highlighting the need for improved traceability and transparency. (Grace, Alonso, &amp; Roesel, 2023)</w:t>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feasibility of implementing blockchain in Kenya's agricultural sector, this study will employ the following approaches: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Surveys and Interviews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150+ farmers, suppliers, and retailers will be surveyed to assess perceptions of blockchain technology..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Examine blockchain adoption in similar markets, such as IBM's Food Trust Blockchain, to identify best practices and potential pitfalls (Fynd Academy, n.d.).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Kenya's digital infrastructure for blockchain readiness, including internet penetration and mobile device usage among agricultural stakeholders.</w:t>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Findings &amp; Discussion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 &amp; Traceability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Blockchain allows for real-time tracking of produce from farm to market, reducing fraud and food spoilage (Xiong et al., 2020). Studies show that digital ledger systems can reduce transaction disputes by 30% and improve profit margins by 15% for small-scale farmers (Disruption Banking, 2022).</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Consumer Trust &amp; Food Safety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Kenya’s food safety concerns, particularly related to pesticide contamination and spoilage, can be mitigated through blockchain’s traceability features (Grace, Alonso, &amp; Roesel, 2023). By ensuring product authenticity, blockchain strengthens consumer confidence.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Speed &amp; 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Traditional tracking systems can take days to trace products, whereas blockchain enables near-instant traceability, saving time and costs. For instance, IBM's Food Trust Blockchain has demonstrated improved efficiency in tracking food products (Fynd Academy, n.d.).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Adoption Barriers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Farmers and retailers may lack blockchain knowledge; implementation costs must be considered. Additionally, ensuring the authenticity of data uploaded to the blockchain remains a challenge (Torky &amp; Hassanein, 2020).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and Policy Considerations: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Kenyan government is moving towards blockchain adoption with draft policies supporting digital ledger technologies (Daily Hodl, 2025). However, regulatory frameworks for data protection and digital transactions must be refined to ensure secure implementation.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 &amp; Recommendations</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presents a viable solution for Kenya’s agricultural sector by improving transparency, reducing inefficiencies, and enhancing consumer trust. However, successful adoption requires: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&amp; Training: Targeted initiatives to improve digital literacy among farmers.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Public-Private Partnerships: Collaboration between government, tech firms, and agricultural cooperatives.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Regulatory Support: Establishment of legal frameworks to govern blockchain integration.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Pilot Implementation: Testing blockchain in selected agricultural supply chains to assess real-world viability.</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Xiong, H., Dalhaus, T., Wang, P., &amp; Huang, J. (2020). Blockchain technology for agriculture: Applications and rationale. Frontiers in Blockchain, 3, Article 7. </w:t>
      </w:r>
      <w:hyperlink r:id="rId7">
        <w:r w:rsidDel="00000000" w:rsidR="00000000" w:rsidRPr="00000000">
          <w:rPr>
            <w:rFonts w:ascii="Times New Roman" w:cs="Times New Roman" w:eastAsia="Times New Roman" w:hAnsi="Times New Roman"/>
            <w:i w:val="1"/>
            <w:color w:val="467886"/>
            <w:sz w:val="24"/>
            <w:szCs w:val="24"/>
            <w:u w:val="single"/>
            <w:rtl w:val="0"/>
          </w:rPr>
          <w:t xml:space="preserve">https://doi.org/10.3389/fbloc.2020.00007</w:t>
        </w:r>
      </w:hyperlink>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Fynd Academy. (n.d.). Blockchain technology in agriculture in 2025: Real-world applications and future impact. Fynd Academy. Retrieved March 4, 2025, from </w:t>
      </w:r>
      <w:hyperlink r:id="rId8">
        <w:r w:rsidDel="00000000" w:rsidR="00000000" w:rsidRPr="00000000">
          <w:rPr>
            <w:rFonts w:ascii="Times New Roman" w:cs="Times New Roman" w:eastAsia="Times New Roman" w:hAnsi="Times New Roman"/>
            <w:i w:val="1"/>
            <w:color w:val="467886"/>
            <w:sz w:val="24"/>
            <w:szCs w:val="24"/>
            <w:u w:val="single"/>
            <w:rtl w:val="0"/>
          </w:rPr>
          <w:t xml:space="preserve">https://www.fynd.academy/blog/blockchain-technology-in-agriculture</w:t>
        </w:r>
      </w:hyperlink>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Torky, M., &amp; Hassanein, A. E. (2020). Integrating blockchain and the internet of things in precision agriculture: Analysis, opportunities, and challenges. Applied Sciences, 12(16), 8061. </w:t>
      </w:r>
      <w:hyperlink r:id="rId9">
        <w:r w:rsidDel="00000000" w:rsidR="00000000" w:rsidRPr="00000000">
          <w:rPr>
            <w:rFonts w:ascii="Times New Roman" w:cs="Times New Roman" w:eastAsia="Times New Roman" w:hAnsi="Times New Roman"/>
            <w:i w:val="1"/>
            <w:color w:val="467886"/>
            <w:sz w:val="24"/>
            <w:szCs w:val="24"/>
            <w:u w:val="single"/>
            <w:rtl w:val="0"/>
          </w:rPr>
          <w:t xml:space="preserve">https://doi.org/10.3390/app12168061</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6">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Grace, D., Alonso, S., &amp; Roesel, K. (2023). Food safety in Kenya: Status, challenges, and proposed solutions. In T. Reardon, J. Mburu, &amp; S. Wang (Eds.), Food systems transformation in Kenya: Lessons from the past and policy options for the future (pp. 107–123). International Food Policy Research Institute. </w:t>
      </w:r>
      <w:hyperlink r:id="rId10">
        <w:r w:rsidDel="00000000" w:rsidR="00000000" w:rsidRPr="00000000">
          <w:rPr>
            <w:rFonts w:ascii="Times New Roman" w:cs="Times New Roman" w:eastAsia="Times New Roman" w:hAnsi="Times New Roman"/>
            <w:i w:val="1"/>
            <w:color w:val="467886"/>
            <w:sz w:val="24"/>
            <w:szCs w:val="24"/>
            <w:u w:val="single"/>
            <w:rtl w:val="0"/>
          </w:rPr>
          <w:t xml:space="preserve">https://doi.org/10.2499/9780896294257</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7">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Disruption Banking. (2022). Kenya turns to blockchain to improve farmer incomes &amp; food supply chains. Retrieved from </w:t>
      </w:r>
      <w:hyperlink r:id="rId11">
        <w:r w:rsidDel="00000000" w:rsidR="00000000" w:rsidRPr="00000000">
          <w:rPr>
            <w:rFonts w:ascii="Times New Roman" w:cs="Times New Roman" w:eastAsia="Times New Roman" w:hAnsi="Times New Roman"/>
            <w:i w:val="1"/>
            <w:color w:val="467886"/>
            <w:sz w:val="24"/>
            <w:szCs w:val="24"/>
            <w:u w:val="single"/>
            <w:rtl w:val="0"/>
          </w:rPr>
          <w:t xml:space="preserve">https://www.disruptionbanking.com/2022/02/28/kenya-turns-to-blockchain-to-improve-farmer-incomes-food-supply-chains/</w:t>
        </w:r>
      </w:hyperlink>
      <w:r w:rsidDel="00000000" w:rsidR="00000000" w:rsidRPr="00000000">
        <w:rPr>
          <w:rtl w:val="0"/>
        </w:rPr>
      </w:r>
    </w:p>
    <w:p w:rsidR="00000000" w:rsidDel="00000000" w:rsidP="00000000" w:rsidRDefault="00000000" w:rsidRPr="00000000" w14:paraId="00000048">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Daily Hodl. (2025). Kenya’s government moves toward crypto legalization and regulation. Retrieved from </w:t>
      </w:r>
      <w:hyperlink r:id="rId12">
        <w:r w:rsidDel="00000000" w:rsidR="00000000" w:rsidRPr="00000000">
          <w:rPr>
            <w:rFonts w:ascii="Times New Roman" w:cs="Times New Roman" w:eastAsia="Times New Roman" w:hAnsi="Times New Roman"/>
            <w:i w:val="1"/>
            <w:color w:val="467886"/>
            <w:sz w:val="24"/>
            <w:szCs w:val="24"/>
            <w:u w:val="single"/>
            <w:rtl w:val="0"/>
          </w:rPr>
          <w:t xml:space="preserve">https://dailyhodl.com/2025/01/11/kenyas-government-moves-toward-crypto-legalization-and-regulation-with-new-draft-policy/</w:t>
        </w:r>
      </w:hyperlink>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1" w:default="1">
    <w:name w:val="Normal"/>
    <w:uiPriority w:val="0"/>
    <w:qFormat w:val="1"/>
    <w:pPr>
      <w:spacing w:after="160" w:line="279" w:lineRule="auto"/>
    </w:pPr>
    <w:rPr>
      <w:rFonts w:asciiTheme="minorHAnsi" w:cstheme="minorBidi" w:eastAsiaTheme="minorEastAsia" w:hAnsiTheme="minorHAnsi"/>
      <w:sz w:val="24"/>
      <w:szCs w:val="24"/>
      <w:lang w:bidi="ar-SA" w:eastAsia="ja-JP" w:val="en-US"/>
    </w:rPr>
  </w:style>
  <w:style w:type="paragraph" w:styleId="2">
    <w:name w:val="heading 1"/>
    <w:basedOn w:val="1"/>
    <w:next w:val="1"/>
    <w:link w:val="16"/>
    <w:uiPriority w:val="9"/>
    <w:qFormat w:val="1"/>
    <w:pPr>
      <w:keepNext w:val="1"/>
      <w:keepLines w:val="1"/>
      <w:spacing w:after="80" w:before="360"/>
      <w:outlineLvl w:val="0"/>
    </w:pPr>
    <w:rPr>
      <w:rFonts w:asciiTheme="majorHAnsi" w:cstheme="majorBidi" w:eastAsiaTheme="majorEastAsia" w:hAnsiTheme="majorHAnsi"/>
      <w:color w:val="104862" w:themeColor="accent1" w:themeShade="0000BF"/>
      <w:sz w:val="40"/>
      <w:szCs w:val="40"/>
    </w:rPr>
  </w:style>
  <w:style w:type="paragraph" w:styleId="3">
    <w:name w:val="heading 2"/>
    <w:basedOn w:val="1"/>
    <w:next w:val="1"/>
    <w:link w:val="17"/>
    <w:uiPriority w:val="9"/>
    <w:unhideWhenUsed w:val="1"/>
    <w:qFormat w:val="1"/>
    <w:pPr>
      <w:keepNext w:val="1"/>
      <w:keepLines w:val="1"/>
      <w:spacing w:after="80" w:before="160"/>
      <w:outlineLvl w:val="1"/>
    </w:pPr>
    <w:rPr>
      <w:rFonts w:asciiTheme="majorHAnsi" w:cstheme="majorBidi" w:eastAsiaTheme="majorEastAsia" w:hAnsiTheme="majorHAnsi"/>
      <w:color w:val="104862" w:themeColor="accent1" w:themeShade="0000BF"/>
      <w:sz w:val="32"/>
      <w:szCs w:val="32"/>
    </w:rPr>
  </w:style>
  <w:style w:type="paragraph" w:styleId="4">
    <w:name w:val="heading 3"/>
    <w:basedOn w:val="1"/>
    <w:next w:val="1"/>
    <w:link w:val="18"/>
    <w:uiPriority w:val="9"/>
    <w:unhideWhenUsed w:val="1"/>
    <w:qFormat w:val="1"/>
    <w:pPr>
      <w:keepNext w:val="1"/>
      <w:keepLines w:val="1"/>
      <w:spacing w:after="80" w:before="160"/>
      <w:outlineLvl w:val="2"/>
    </w:pPr>
    <w:rPr>
      <w:rFonts w:cstheme="majorBidi" w:eastAsiaTheme="majorEastAsia"/>
      <w:color w:val="104862" w:themeColor="accent1" w:themeShade="0000BF"/>
      <w:sz w:val="28"/>
      <w:szCs w:val="28"/>
    </w:rPr>
  </w:style>
  <w:style w:type="paragraph" w:styleId="5">
    <w:name w:val="heading 4"/>
    <w:basedOn w:val="1"/>
    <w:next w:val="1"/>
    <w:link w:val="19"/>
    <w:uiPriority w:val="9"/>
    <w:unhideWhenUsed w:val="1"/>
    <w:qFormat w:val="1"/>
    <w:pPr>
      <w:keepNext w:val="1"/>
      <w:keepLines w:val="1"/>
      <w:spacing w:after="40" w:before="80"/>
      <w:outlineLvl w:val="3"/>
    </w:pPr>
    <w:rPr>
      <w:rFonts w:cstheme="majorBidi" w:eastAsiaTheme="majorEastAsia"/>
      <w:i w:val="1"/>
      <w:iCs w:val="1"/>
      <w:color w:val="104862" w:themeColor="accent1" w:themeShade="0000BF"/>
    </w:rPr>
  </w:style>
  <w:style w:type="paragraph" w:styleId="6">
    <w:name w:val="heading 5"/>
    <w:basedOn w:val="1"/>
    <w:next w:val="1"/>
    <w:link w:val="20"/>
    <w:uiPriority w:val="9"/>
    <w:unhideWhenUsed w:val="1"/>
    <w:qFormat w:val="1"/>
    <w:pPr>
      <w:keepNext w:val="1"/>
      <w:keepLines w:val="1"/>
      <w:spacing w:after="40" w:before="80"/>
      <w:outlineLvl w:val="4"/>
    </w:pPr>
    <w:rPr>
      <w:rFonts w:cstheme="majorBidi" w:eastAsiaTheme="majorEastAsia"/>
      <w:color w:val="104862" w:themeColor="accent1" w:themeShade="0000BF"/>
    </w:rPr>
  </w:style>
  <w:style w:type="paragraph" w:styleId="7">
    <w:name w:val="heading 6"/>
    <w:basedOn w:val="1"/>
    <w:next w:val="1"/>
    <w:link w:val="21"/>
    <w:uiPriority w:val="9"/>
    <w:unhideWhenUsed w:val="1"/>
    <w:qFormat w:val="1"/>
    <w:pPr>
      <w:keepNext w:val="1"/>
      <w:keepLines w:val="1"/>
      <w:spacing w:after="0" w:before="40"/>
      <w:outlineLvl w:val="5"/>
    </w:pPr>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paragraph" w:styleId="8">
    <w:name w:val="heading 7"/>
    <w:basedOn w:val="1"/>
    <w:next w:val="1"/>
    <w:link w:val="22"/>
    <w:uiPriority w:val="9"/>
    <w:unhideWhenUsed w:val="1"/>
    <w:qFormat w:val="1"/>
    <w:pPr>
      <w:keepNext w:val="1"/>
      <w:keepLines w:val="1"/>
      <w:spacing w:after="0" w:before="40"/>
      <w:outlineLvl w:val="6"/>
    </w:pPr>
    <w:rPr>
      <w:rFonts w:cstheme="majorBidi" w:eastAsiaTheme="majorEastAsia"/>
      <w:color w:val="595959" w:themeColor="text1" w:themeTint="0000A6"/>
      <w14:textFill>
        <w14:solidFill>
          <w14:schemeClr w14:val="tx1">
            <w14:lumMod w14:val="65000"/>
            <w14:lumOff w14:val="35000"/>
          </w14:schemeClr>
        </w14:solidFill>
      </w14:textFill>
    </w:rPr>
  </w:style>
  <w:style w:type="paragraph" w:styleId="9">
    <w:name w:val="heading 8"/>
    <w:basedOn w:val="1"/>
    <w:next w:val="1"/>
    <w:link w:val="23"/>
    <w:uiPriority w:val="9"/>
    <w:unhideWhenUsed w:val="1"/>
    <w:qFormat w:val="1"/>
    <w:pPr>
      <w:keepNext w:val="1"/>
      <w:keepLines w:val="1"/>
      <w:spacing w:after="0"/>
      <w:outlineLvl w:val="7"/>
    </w:pPr>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paragraph" w:styleId="10">
    <w:name w:val="heading 9"/>
    <w:basedOn w:val="1"/>
    <w:next w:val="1"/>
    <w:link w:val="24"/>
    <w:uiPriority w:val="9"/>
    <w:unhideWhenUsed w:val="1"/>
    <w:qFormat w:val="1"/>
    <w:pPr>
      <w:keepNext w:val="1"/>
      <w:keepLines w:val="1"/>
      <w:spacing w:after="0"/>
      <w:outlineLvl w:val="8"/>
    </w:pPr>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11" w:default="1">
    <w:name w:val="Default Paragraph Font"/>
    <w:uiPriority w:val="1"/>
    <w:semiHidden w:val="1"/>
    <w:unhideWhenUsed w:val="1"/>
  </w:style>
  <w:style w:type="table" w:styleId="12" w:default="1">
    <w:name w:val="Normal Table"/>
    <w:uiPriority w:val="99"/>
    <w:semiHidden w:val="1"/>
    <w:unhideWhenUsed w:val="1"/>
    <w:tblPr>
      <w:tblCellMar>
        <w:top w:w="0.0" w:type="dxa"/>
        <w:left w:w="108.0" w:type="dxa"/>
        <w:bottom w:w="0.0" w:type="dxa"/>
        <w:right w:w="108.0" w:type="dxa"/>
      </w:tblCellMar>
    </w:tblPr>
  </w:style>
  <w:style w:type="character" w:styleId="13">
    <w:name w:val="Hyperlink"/>
    <w:basedOn w:val="11"/>
    <w:uiPriority w:val="99"/>
    <w:unhideWhenUsed w:val="1"/>
    <w:rPr>
      <w:color w:val="467886"/>
      <w:u w:val="single"/>
    </w:rPr>
  </w:style>
  <w:style w:type="paragraph" w:styleId="14">
    <w:name w:val="Subtitle"/>
    <w:basedOn w:val="1"/>
    <w:next w:val="1"/>
    <w:link w:val="26"/>
    <w:uiPriority w:val="11"/>
    <w:qFormat w:val="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paragraph" w:styleId="15">
    <w:name w:val="Title"/>
    <w:basedOn w:val="1"/>
    <w:next w:val="1"/>
    <w:link w:val="25"/>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16" w:customStyle="1">
    <w:name w:val="Heading 1 Char"/>
    <w:basedOn w:val="11"/>
    <w:link w:val="2"/>
    <w:uiPriority w:val="9"/>
    <w:rPr>
      <w:rFonts w:asciiTheme="majorHAnsi" w:cstheme="majorBidi" w:eastAsiaTheme="majorEastAsia" w:hAnsiTheme="majorHAnsi"/>
      <w:color w:val="104862" w:themeColor="accent1" w:themeShade="0000BF"/>
      <w:sz w:val="40"/>
      <w:szCs w:val="40"/>
    </w:rPr>
  </w:style>
  <w:style w:type="character" w:styleId="17" w:customStyle="1">
    <w:name w:val="Heading 2 Char"/>
    <w:basedOn w:val="11"/>
    <w:link w:val="3"/>
    <w:uiPriority w:val="9"/>
    <w:rPr>
      <w:rFonts w:asciiTheme="majorHAnsi" w:cstheme="majorBidi" w:eastAsiaTheme="majorEastAsia" w:hAnsiTheme="majorHAnsi"/>
      <w:color w:val="104862" w:themeColor="accent1" w:themeShade="0000BF"/>
      <w:sz w:val="32"/>
      <w:szCs w:val="32"/>
    </w:rPr>
  </w:style>
  <w:style w:type="character" w:styleId="18" w:customStyle="1">
    <w:name w:val="Heading 3 Char"/>
    <w:basedOn w:val="11"/>
    <w:link w:val="4"/>
    <w:uiPriority w:val="9"/>
    <w:rPr>
      <w:rFonts w:cstheme="majorBidi" w:eastAsiaTheme="majorEastAsia"/>
      <w:color w:val="104862" w:themeColor="accent1" w:themeShade="0000BF"/>
      <w:sz w:val="28"/>
      <w:szCs w:val="28"/>
    </w:rPr>
  </w:style>
  <w:style w:type="character" w:styleId="19" w:customStyle="1">
    <w:name w:val="Heading 4 Char"/>
    <w:basedOn w:val="11"/>
    <w:link w:val="5"/>
    <w:uiPriority w:val="9"/>
    <w:rPr>
      <w:rFonts w:cstheme="majorBidi" w:eastAsiaTheme="majorEastAsia"/>
      <w:i w:val="1"/>
      <w:iCs w:val="1"/>
      <w:color w:val="104862" w:themeColor="accent1" w:themeShade="0000BF"/>
    </w:rPr>
  </w:style>
  <w:style w:type="character" w:styleId="20" w:customStyle="1">
    <w:name w:val="Heading 5 Char"/>
    <w:basedOn w:val="11"/>
    <w:link w:val="6"/>
    <w:uiPriority w:val="9"/>
    <w:rPr>
      <w:rFonts w:cstheme="majorBidi" w:eastAsiaTheme="majorEastAsia"/>
      <w:color w:val="104862" w:themeColor="accent1" w:themeShade="0000BF"/>
    </w:rPr>
  </w:style>
  <w:style w:type="character" w:styleId="21" w:customStyle="1">
    <w:name w:val="Heading 6 Char"/>
    <w:basedOn w:val="11"/>
    <w:link w:val="7"/>
    <w:uiPriority w:val="9"/>
    <w:qFormat w:val="1"/>
    <w:rPr>
      <w:rFonts w:cstheme="majorBidi" w:eastAsiaTheme="majorEastAsia"/>
      <w:i w:val="1"/>
      <w:iCs w:val="1"/>
      <w:color w:val="595959" w:themeColor="text1" w:themeTint="0000A6"/>
      <w14:textFill>
        <w14:solidFill>
          <w14:schemeClr w14:val="tx1">
            <w14:lumMod w14:val="65000"/>
            <w14:lumOff w14:val="35000"/>
          </w14:schemeClr>
        </w14:solidFill>
      </w14:textFill>
    </w:rPr>
  </w:style>
  <w:style w:type="character" w:styleId="22" w:customStyle="1">
    <w:name w:val="Heading 7 Char"/>
    <w:basedOn w:val="11"/>
    <w:link w:val="8"/>
    <w:uiPriority w:val="9"/>
    <w:rPr>
      <w:rFonts w:cstheme="majorBidi" w:eastAsiaTheme="majorEastAsia"/>
      <w:color w:val="595959" w:themeColor="text1" w:themeTint="0000A6"/>
      <w14:textFill>
        <w14:solidFill>
          <w14:schemeClr w14:val="tx1">
            <w14:lumMod w14:val="65000"/>
            <w14:lumOff w14:val="35000"/>
          </w14:schemeClr>
        </w14:solidFill>
      </w14:textFill>
    </w:rPr>
  </w:style>
  <w:style w:type="character" w:styleId="23" w:customStyle="1">
    <w:name w:val="Heading 8 Char"/>
    <w:basedOn w:val="11"/>
    <w:link w:val="9"/>
    <w:uiPriority w:val="9"/>
    <w:rPr>
      <w:rFonts w:cstheme="majorBidi" w:eastAsiaTheme="majorEastAsia"/>
      <w:i w:val="1"/>
      <w:iCs w:val="1"/>
      <w:color w:val="262626" w:themeColor="text1" w:themeTint="0000D9"/>
      <w14:textFill>
        <w14:solidFill>
          <w14:schemeClr w14:val="tx1">
            <w14:lumMod w14:val="85000"/>
            <w14:lumOff w14:val="15000"/>
          </w14:schemeClr>
        </w14:solidFill>
      </w14:textFill>
    </w:rPr>
  </w:style>
  <w:style w:type="character" w:styleId="24" w:customStyle="1">
    <w:name w:val="Heading 9 Char"/>
    <w:basedOn w:val="11"/>
    <w:link w:val="10"/>
    <w:uiPriority w:val="9"/>
    <w:qFormat w:val="1"/>
    <w:rPr>
      <w:rFonts w:cstheme="majorBidi" w:eastAsiaTheme="majorEastAsia"/>
      <w:color w:val="262626" w:themeColor="text1" w:themeTint="0000D9"/>
      <w14:textFill>
        <w14:solidFill>
          <w14:schemeClr w14:val="tx1">
            <w14:lumMod w14:val="85000"/>
            <w14:lumOff w14:val="15000"/>
          </w14:schemeClr>
        </w14:solidFill>
      </w14:textFill>
    </w:rPr>
  </w:style>
  <w:style w:type="character" w:styleId="25" w:customStyle="1">
    <w:name w:val="Title Char"/>
    <w:basedOn w:val="11"/>
    <w:link w:val="15"/>
    <w:uiPriority w:val="10"/>
    <w:rPr>
      <w:rFonts w:asciiTheme="majorHAnsi" w:cstheme="majorBidi" w:eastAsiaTheme="majorEastAsia" w:hAnsiTheme="majorHAnsi"/>
      <w:spacing w:val="-10"/>
      <w:kern w:val="28"/>
      <w:sz w:val="56"/>
      <w:szCs w:val="56"/>
    </w:rPr>
  </w:style>
  <w:style w:type="character" w:styleId="26" w:customStyle="1">
    <w:name w:val="Subtitle Char"/>
    <w:basedOn w:val="11"/>
    <w:link w:val="14"/>
    <w:uiPriority w:val="11"/>
    <w:rPr>
      <w:rFonts w:cstheme="majorBidi" w:eastAsiaTheme="majorEastAsia"/>
      <w:color w:val="595959" w:themeColor="text1" w:themeTint="0000A6"/>
      <w:spacing w:val="15"/>
      <w:sz w:val="28"/>
      <w:szCs w:val="28"/>
      <w14:textFill>
        <w14:solidFill>
          <w14:schemeClr w14:val="tx1">
            <w14:lumMod w14:val="65000"/>
            <w14:lumOff w14:val="35000"/>
          </w14:schemeClr>
        </w14:solidFill>
      </w14:textFill>
    </w:rPr>
  </w:style>
  <w:style w:type="character" w:styleId="27" w:customStyle="1">
    <w:name w:val="Intense Emphasis"/>
    <w:basedOn w:val="11"/>
    <w:uiPriority w:val="21"/>
    <w:qFormat w:val="1"/>
    <w:rPr>
      <w:i w:val="1"/>
      <w:iCs w:val="1"/>
      <w:color w:val="104862" w:themeColor="accent1" w:themeShade="0000BF"/>
    </w:rPr>
  </w:style>
  <w:style w:type="character" w:styleId="28" w:customStyle="1">
    <w:name w:val="Quote Char"/>
    <w:basedOn w:val="11"/>
    <w:link w:val="29"/>
    <w:uiPriority w:val="29"/>
    <w:qFormat w:val="1"/>
    <w:rPr>
      <w:i w:val="1"/>
      <w:iCs w:val="1"/>
      <w:color w:val="404040" w:themeColor="text1" w:themeTint="0000BF"/>
      <w14:textFill>
        <w14:solidFill>
          <w14:schemeClr w14:val="tx1">
            <w14:lumMod w14:val="75000"/>
            <w14:lumOff w14:val="25000"/>
          </w14:schemeClr>
        </w14:solidFill>
      </w14:textFill>
    </w:rPr>
  </w:style>
  <w:style w:type="paragraph" w:styleId="29">
    <w:name w:val="Quote"/>
    <w:basedOn w:val="1"/>
    <w:next w:val="1"/>
    <w:link w:val="28"/>
    <w:uiPriority w:val="29"/>
    <w:qFormat w:val="1"/>
    <w:pPr>
      <w:spacing w:before="160"/>
      <w:jc w:val="center"/>
    </w:pPr>
    <w:rPr>
      <w:i w:val="1"/>
      <w:iCs w:val="1"/>
      <w:color w:val="404040" w:themeColor="text1" w:themeTint="0000BF"/>
      <w14:textFill>
        <w14:solidFill>
          <w14:schemeClr w14:val="tx1">
            <w14:lumMod w14:val="75000"/>
            <w14:lumOff w14:val="25000"/>
          </w14:schemeClr>
        </w14:solidFill>
      </w14:textFill>
    </w:rPr>
  </w:style>
  <w:style w:type="character" w:styleId="30" w:customStyle="1">
    <w:name w:val="Intense Quote Char"/>
    <w:basedOn w:val="11"/>
    <w:link w:val="31"/>
    <w:uiPriority w:val="30"/>
    <w:qFormat w:val="1"/>
    <w:rPr>
      <w:i w:val="1"/>
      <w:iCs w:val="1"/>
      <w:color w:val="104862" w:themeColor="accent1" w:themeShade="0000BF"/>
    </w:rPr>
  </w:style>
  <w:style w:type="paragraph" w:styleId="31">
    <w:name w:val="Intense Quote"/>
    <w:basedOn w:val="1"/>
    <w:next w:val="1"/>
    <w:link w:val="30"/>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104862" w:themeColor="accent1" w:themeShade="0000BF"/>
    </w:rPr>
  </w:style>
  <w:style w:type="character" w:styleId="32" w:customStyle="1">
    <w:name w:val="Intense Reference"/>
    <w:basedOn w:val="11"/>
    <w:uiPriority w:val="32"/>
    <w:qFormat w:val="1"/>
    <w:rPr>
      <w:b w:val="1"/>
      <w:bCs w:val="1"/>
      <w:smallCaps w:val="1"/>
      <w:color w:val="104862" w:themeColor="accent1" w:themeShade="0000BF"/>
      <w:spacing w:val="5"/>
    </w:rPr>
  </w:style>
  <w:style w:type="paragraph" w:styleId="33">
    <w:name w:val="List Paragraph"/>
    <w:basedOn w:val="1"/>
    <w:uiPriority w:val="34"/>
    <w:qFormat w:val="1"/>
    <w:pPr>
      <w:ind w:left="720"/>
      <w:contextualSpacing w:val="1"/>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isruptionbanking.com/2022/02/28/kenya-turns-to-blockchain-to-improve-farmer-incomes-food-supply-chains/" TargetMode="External"/><Relationship Id="rId10" Type="http://schemas.openxmlformats.org/officeDocument/2006/relationships/hyperlink" Target="https://doi.org/10.2499/9780896294257" TargetMode="External"/><Relationship Id="rId12" Type="http://schemas.openxmlformats.org/officeDocument/2006/relationships/hyperlink" Target="https://dailyhodl.com/2025/01/11/kenyas-government-moves-toward-crypto-legalization-and-regulation-with-new-draft-policy/" TargetMode="External"/><Relationship Id="rId9" Type="http://schemas.openxmlformats.org/officeDocument/2006/relationships/hyperlink" Target="https://doi.org/10.3390/app1216806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3389/fbloc.2020.00007" TargetMode="External"/><Relationship Id="rId8" Type="http://schemas.openxmlformats.org/officeDocument/2006/relationships/hyperlink" Target="https://www.fynd.academy/blog/blockchain-technology-in-agricul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Dxnhk9A21P7f5JlMi4XS7i21rA==">CgMxLjAyCGguZ2pkZ3hzOAByITFMSXNheG1UWThCelVPZk45YUtMRlcyazVnZWMxUHhsTg==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2025-03-03T11:45:00Z</dcterms:created>
  <dc:creator>Theo Korir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E162A8EE0617485BA1B8742C3FFE15D1_12</vt:lpwstr>
  </property>
</Properties>
</file>