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48"/>
          <w:szCs w:val="48"/>
        </w:rPr>
        <w:t xml:space="preserve">THE GENERAL BUSINESS STARTER PACKET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Four AI Governance Tools for Boards and Leadership Teams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WHAT'S INSIDE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Tool 1: Board Resolution on AI Oversight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Tool 2: AI Use and Data Governance Policy, with AI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Tool 3: 90-Day AI Governance Sprint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Tool 4: Board Briefing Template, with questions for your broker and vendors</w:t>
      </w:r>
    </w:p>
    <w:p>
      <w:pPr>
        <w:spacing w:after="60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KEN LEATHERMAN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Storify Studio  |  Newport, Oregon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Free from the companion workbook to Senior Housing: The AI Gap. Adapted for organizations outside senior housing.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Before You Start: Why This Packet Exists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Most organizations are already using AI. It sits inside the vendors' software, in the browser tabs employees open, and in the tools a department bought on a corporate card. What most of them lack is a file: a record showing who approved it, what data it touches, and who answers for it.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That gap is where governance theater lives. A committee meets, a slide gets shown, and nothing is decided. When a lender, insurer, regulator, or plaintiff's lawyer asks what you use and who approved it, "we discussed it" is not an answer.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Why 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State AI law is a patchwork. Colorado, California, Texas, and other states have each taken different approaches, and your obligations depend on where your customers, employees, and vendors 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Insurers are adding AI exclusions and asking AI questions at renewal. What your policy covers for an AI error may differ from what you assume.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Vendors keep shipping AI features into tools you already pay for, often switched on by default.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How to use this packet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Work through the tools in order. Each one is built to be adopted, not admired: edit the bracketed items, take it to your next meeting, and get a signature.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 1 </w:t>
      </w:r>
      <w:r>
        <w:rPr>
          <w:rFonts w:ascii="Calibri" w:cs="Calibri" w:eastAsia="Calibri" w:hAnsi="Calibri"/>
          <w:sz w:val="22"/>
          <w:szCs w:val="22"/>
        </w:rPr>
        <w:t xml:space="preserve">puts oversight on the record.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 2 </w:t>
      </w:r>
      <w:r>
        <w:rPr>
          <w:rFonts w:ascii="Calibri" w:cs="Calibri" w:eastAsia="Calibri" w:hAnsi="Calibri"/>
          <w:sz w:val="22"/>
          <w:szCs w:val="22"/>
        </w:rPr>
        <w:t xml:space="preserve">sets the rules and starts your AI inventory.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 3 </w:t>
      </w:r>
      <w:r>
        <w:rPr>
          <w:rFonts w:ascii="Calibri" w:cs="Calibri" w:eastAsia="Calibri" w:hAnsi="Calibri"/>
          <w:sz w:val="22"/>
          <w:szCs w:val="22"/>
        </w:rPr>
        <w:t xml:space="preserve">gives the next 90 days a shape.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 4 </w:t>
      </w:r>
      <w:r>
        <w:rPr>
          <w:rFonts w:ascii="Calibri" w:cs="Calibri" w:eastAsia="Calibri" w:hAnsi="Calibri"/>
          <w:sz w:val="22"/>
          <w:szCs w:val="22"/>
        </w:rPr>
        <w:t xml:space="preserve">keeps the board informed without a 40-slide deck.</w:t>
      </w:r>
    </w:p>
    <w:p>
      <w:pPr>
        <w:spacing w:after="120" w:before="16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These are starting templates, not legal advice. Have your counsel review them against the laws and contracts that apply to you before adoption.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Tool 1: Board Resolution on AI Oversight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Adopt at a regular meeting. Replace bracketed items. Record in the minutes.</w:t>
      </w:r>
    </w:p>
    <w:p>
      <w:pPr>
        <w:spacing w:after="200" w:before="16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RESOLUTION OF THE BOARD OF DIRECTORS OF [ORGANIZATION NAME]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WHEREAS, artificial intelligence tools are in use or being evaluated across [Organization] and are capable of affecting customers, employees, finances, and legal obligations; and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WHEREAS, the Board has a duty of oversight over material risks to the organization and wishes to document how that oversight will be exercised;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NOW, THEREFORE, BE IT RESOLVED: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Executive Sponsor.</w:t>
      </w:r>
      <w:r>
        <w:rPr>
          <w:rFonts w:ascii="Calibri" w:cs="Calibri" w:eastAsia="Calibri" w:hAnsi="Calibri"/>
          <w:sz w:val="22"/>
          <w:szCs w:val="22"/>
        </w:rPr>
        <w:t xml:space="preserve"> The Board designates [Title] as Executive Sponsor for AI, accountable for the AI inventory, the policy in Tool 2, and reporting to the Board.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Inventory.</w:t>
      </w:r>
      <w:r>
        <w:rPr>
          <w:rFonts w:ascii="Calibri" w:cs="Calibri" w:eastAsia="Calibri" w:hAnsi="Calibri"/>
          <w:sz w:val="22"/>
          <w:szCs w:val="22"/>
        </w:rPr>
        <w:t xml:space="preserve"> Within 30 days, management shall deliver an inventory of AI tools in use, including those embedded in vendor products, with owner, purpose, data touched, and autonomy level.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Autonomy levels.</w:t>
      </w:r>
      <w:r>
        <w:rPr>
          <w:rFonts w:ascii="Calibri" w:cs="Calibri" w:eastAsia="Calibri" w:hAnsi="Calibri"/>
          <w:sz w:val="22"/>
          <w:szCs w:val="22"/>
        </w:rPr>
        <w:t xml:space="preserve"> No AI tool may operate above the approved autonomy level without written approval: L1, AI suggests and a human decides; L2, AI drafts and a human reviews before release; L3, AI acts and a human reviews samples afterward; L4, AI acts with no routine human review. L3 and L4 uses require Board or committee approval.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Data.</w:t>
      </w:r>
      <w:r>
        <w:rPr>
          <w:rFonts w:ascii="Calibri" w:cs="Calibri" w:eastAsia="Calibri" w:hAnsi="Calibri"/>
          <w:sz w:val="22"/>
          <w:szCs w:val="22"/>
        </w:rPr>
        <w:t xml:space="preserve"> AI tools may not receive [confidential / regulated / personal] data unless covered by the policy in Tool 2 and a vendor agreement addressing retention and model training.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Insurance.</w:t>
      </w:r>
      <w:r>
        <w:rPr>
          <w:rFonts w:ascii="Calibri" w:cs="Calibri" w:eastAsia="Calibri" w:hAnsi="Calibri"/>
          <w:sz w:val="22"/>
          <w:szCs w:val="22"/>
        </w:rPr>
        <w:t xml:space="preserve"> Management shall review AI-related exclusions and endorsements with the organization's broker before the next renewal and report the results to the Board.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Reporting.</w:t>
      </w:r>
      <w:r>
        <w:rPr>
          <w:rFonts w:ascii="Calibri" w:cs="Calibri" w:eastAsia="Calibri" w:hAnsi="Calibri"/>
          <w:sz w:val="22"/>
          <w:szCs w:val="22"/>
        </w:rPr>
        <w:t xml:space="preserve"> Management shall report on AI use, incidents, and decisions at least [quarterly] using the Board Briefing in Tool 4.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Day-90 decision.</w:t>
      </w:r>
      <w:r>
        <w:rPr>
          <w:rFonts w:ascii="Calibri" w:cs="Calibri" w:eastAsia="Calibri" w:hAnsi="Calibri"/>
          <w:sz w:val="22"/>
          <w:szCs w:val="22"/>
        </w:rPr>
        <w:t xml:space="preserve"> At day 90, the Board shall decide to expand, hold, or stop each pilot. Extensions without a decision are not permitted.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ADOPTED this ____ day of ______________, 20___.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Executive Sponsor: ______________________________   Date: ______________</w:t>
      </w:r>
    </w:p>
    <w:p>
      <w:pPr>
        <w:spacing w:after="120" w:before="200"/>
      </w:pPr>
      <w:r>
        <w:rPr>
          <w:rFonts w:ascii="Calibri" w:cs="Calibri" w:eastAsia="Calibri" w:hAnsi="Calibri"/>
          <w:sz w:val="22"/>
          <w:szCs w:val="22"/>
        </w:rPr>
        <w:t xml:space="preserve">Board Chair: ______________________________   Date: ______________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Tool 2: AI Use and Data Governance Policy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A starting policy. Adapt to your industry and counsel's advice.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Purpose and scope. </w:t>
      </w:r>
      <w:r>
        <w:rPr>
          <w:rFonts w:ascii="Calibri" w:cs="Calibri" w:eastAsia="Calibri" w:hAnsi="Calibri"/>
          <w:sz w:val="22"/>
          <w:szCs w:val="22"/>
        </w:rPr>
        <w:t xml:space="preserve">This policy governs the use of AI tools, including generative AI, automated decision tools, and AI features embedded in vendor software, by employees, contractors, and vendors acting for [Organization].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Roles. </w:t>
      </w:r>
      <w:r>
        <w:rPr>
          <w:rFonts w:ascii="Calibri" w:cs="Calibri" w:eastAsia="Calibri" w:hAnsi="Calibri"/>
          <w:sz w:val="22"/>
          <w:szCs w:val="22"/>
        </w:rPr>
        <w:t xml:space="preserve">The Executive Sponsor owns this policy. Department heads approve use cases in their area. Legal/Compliance reviews any use affecting customers, employment, credit, or regulated activity.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Approved tools. </w:t>
      </w:r>
      <w:r>
        <w:rPr>
          <w:rFonts w:ascii="Calibri" w:cs="Calibri" w:eastAsia="Calibri" w:hAnsi="Calibri"/>
          <w:sz w:val="22"/>
          <w:szCs w:val="22"/>
        </w:rPr>
        <w:t xml:space="preserve">Only tools on the AI inventory may be used with organizational data. Employees may not enter confidential, regulated, or personal data into unapproved tools.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Data classification. </w:t>
      </w:r>
      <w:r>
        <w:rPr>
          <w:rFonts w:ascii="Calibri" w:cs="Calibri" w:eastAsia="Calibri" w:hAnsi="Calibri"/>
          <w:sz w:val="22"/>
          <w:szCs w:val="22"/>
        </w:rPr>
        <w:t xml:space="preserve">All data used with AI is classified using the table below. Each tool is approved only for the classes it is cleared for.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Human oversight. </w:t>
      </w:r>
      <w:r>
        <w:rPr>
          <w:rFonts w:ascii="Calibri" w:cs="Calibri" w:eastAsia="Calibri" w:hAnsi="Calibri"/>
          <w:sz w:val="22"/>
          <w:szCs w:val="22"/>
        </w:rPr>
        <w:t xml:space="preserve">Every use case is assigned an autonomy level (L1 to L4). Outputs that affect a person's job, pay, credit, health, benefits, or legal rights require human review before action.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Vendors. </w:t>
      </w:r>
      <w:r>
        <w:rPr>
          <w:rFonts w:ascii="Calibri" w:cs="Calibri" w:eastAsia="Calibri" w:hAnsi="Calibri"/>
          <w:sz w:val="22"/>
          <w:szCs w:val="22"/>
        </w:rPr>
        <w:t xml:space="preserve">Contracts for AI tools must address data retention, use of our data for model training, security, incident notice, subprocessors, and indemnity. Where available, request the vendor's AI documentation.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Incidents. </w:t>
      </w:r>
      <w:r>
        <w:rPr>
          <w:rFonts w:ascii="Calibri" w:cs="Calibri" w:eastAsia="Calibri" w:hAnsi="Calibri"/>
          <w:sz w:val="22"/>
          <w:szCs w:val="22"/>
        </w:rPr>
        <w:t xml:space="preserve">Suspected AI errors, data exposure, or harmful outputs are reported to the Executive Sponsor within [24 hours] and logged.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Review. </w:t>
      </w:r>
      <w:r>
        <w:rPr>
          <w:rFonts w:ascii="Calibri" w:cs="Calibri" w:eastAsia="Calibri" w:hAnsi="Calibri"/>
          <w:sz w:val="22"/>
          <w:szCs w:val="22"/>
        </w:rPr>
        <w:t xml:space="preserve">This policy and the inventory are reviewed at least annually and whenever a new law, insurer requirement, or major tool change occurs.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Data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rule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Regulated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Health, financial account, government ID, children's data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Only tools with a signed agreement and Legal approval. No public AI tools.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Personal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Employee records, customer contact and account data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tools only. No training on our data. Minimum necessary.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Contracts, pricing, strategy, source code, unreleased financials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Approved enterprise tools only, with retention terms reviewed.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Published marketing, public filings</w:t>
            </w:r>
          </w:p>
        </w:tc>
        <w:tc>
          <w:tcPr>
            <w:tcW w:type="dxa" w:w="4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Any tool permitted, human review for accuracy.</w:t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AI inventory (start here)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2000"/>
        <w:gridCol w:w="1400"/>
        <w:gridCol w:w="800"/>
        <w:gridCol w:w="1360"/>
      </w:tblGrid>
      <w:tr>
        <w:trPr>
          <w:tblHeader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 / feature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 class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Approved?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[e.g., CRM AI assistant]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[draft emails]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[e.g., meeting notetaker]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[name]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[summaries]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Confidential</w:t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8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Tool 3: 90-Day AI Governance Sprint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Twelve weeks from governance theater to a decision. Assign an owner to every deliverable.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3860"/>
        <w:gridCol w:w="3000"/>
      </w:tblGrid>
      <w:tr>
        <w:trPr>
          <w:tblHeader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activity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Mandate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 the Executive Sponsor; adopt the Tool 1 resolution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Signed resolution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Discover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Survey departments and IT for AI tools in use, including embedded vendor features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inventory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Discover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Ask top vendors in writing about AI features, data use, and training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Vendor responses log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Classify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Assign data class and autonomy level to each tool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Completed inventory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Tool 2 policy; Legal/Compliance review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 draft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Insure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 policy language and AI exclusions with your broker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Coverage gap list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Approve policy; communicate to staff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Adopted policy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Select one low-risk, L1/L2 use case with a named owner and a success measure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 charter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 the pilot; log errors and overrides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 log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Pilot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Measure against the success measure; collect user feedback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Results summary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Report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Prepare Board Briefing (Tool 4) with a recommendation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Board briefing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Decide</w:t>
            </w:r>
          </w:p>
        </w:tc>
        <w:tc>
          <w:tcPr>
            <w:tcW w:type="dxa" w:w="38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Board decides: expand, hold, or stop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Recorded decision</w:t>
            </w:r>
          </w:p>
        </w:tc>
      </w:tr>
    </w:tbl>
    <w:p>
      <w:pPr>
        <w:spacing w:after="12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Day 90 decision is mandatory. Extensions are governance theater.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Tool 4: Board Briefing Template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One to two pages. Same structure every time, so the board can compare quarter to quarter.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1. Status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[On track / At risk / Off track] with one sentence on why. Sprint week: [__ of 12].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2. 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9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Last report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This report</w:t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AI tools in inventory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Tools approved / unapproved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L3 or L4 uses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Incidents or overrides logged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Vendor responses received</w:t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3. Financial summary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Spend on AI tools: $[___]. Pilot cost: $[___]. Measured benefit: [hours saved / errors avoided / revenue]. Open exposure: [uninsured or unquantified].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4. Stakeholder pulse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Employees: [___]. Customers: [___]. Regulators, lenders, or insurers who have asked about AI: [___].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5. Compliance checklist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[ ] Inventory current within 90 days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[ ] Policy adopted and communicated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[ ] Vendor contracts reviewed for AI terms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[ ] Applicable state AI laws reviewed by counsel</w:t>
      </w:r>
    </w:p>
    <w:p>
      <w:pPr>
        <w:spacing w:after="60" w:before="0"/>
      </w:pPr>
      <w:r>
        <w:rPr>
          <w:rFonts w:ascii="Calibri" w:cs="Calibri" w:eastAsia="Calibri" w:hAnsi="Calibri"/>
          <w:sz w:val="22"/>
          <w:szCs w:val="22"/>
        </w:rPr>
        <w:t xml:space="preserve">[ ] Broker has reviewed AI exclusions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6. Decision required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[State the single decision the board is asked to make at this meeting.]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7. Recommendation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[Management recommendation and the main alternative considered.]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Tool 4 Add-On: Questions for Your Broker and Vendors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Questions to ask your broker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Does any policy we hold contain an AI exclusion or limitation? Where is the language?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an AI tool makes an error that harms a customer, which policy responds, and are there sublimits?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AI information do underwriters expect at renewal, and what can they already see about us?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Does our cyber or E&amp;O coverage address AI-generated errors, data exposure, and vendor failures?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Questions to ask your vendors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AI features are in this product, and which are on by default?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Is our data used to train or improve models? Can we opt out in writing?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 is data processed and how long is it retained?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What happens to our service if a model or hosting provider changes?</w:t>
      </w:r>
    </w:p>
    <w:p>
      <w:r>
        <w:br w:type="page"/>
      </w:r>
    </w:p>
    <w:p>
      <w:pPr>
        <w:pStyle w:val="Heading1"/>
        <w:pBdr>
          <w:bottom w:val="single" w:color="1F3A5F" w:sz="8" w:space="4"/>
        </w:pBd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What's in the Complete Workbook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This packet is an excerpt from the 76-page companion workbook to Senior Housing: The AI Gap. The full workbook adds compliance checklists, vendor evaluation tools, and the complete ninety-day playbook. It was written for senior housing operators; the structures here carry over to any organization with a board or leadership team.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The Second Ledger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Governance records what you decided. The Second Ledger method records what AI is doing on your behalf and who approved it, so the file exists before someone asks.</w:t>
      </w:r>
    </w:p>
    <w:p>
      <w:pPr>
        <w:pStyle w:val="Heading2"/>
        <w:keepNext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6"/>
          <w:szCs w:val="26"/>
        </w:rPr>
        <w:t xml:space="preserve">Keep going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Book and workbook: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amazon.com/dp/B0GWW3X5F6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Weekly briefing and posts: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youraigap.com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Contact: ken_leatherman@ajg.com  ·  kenleatherman.com  ·  linkedin.com/in/kenleatherman</w:t>
      </w:r>
    </w:p>
    <w:p>
      <w:pPr>
        <w:spacing w:after="120" w:before="2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Ken Leatherman. Senior Vice President, Gallagher. Author, Senior Housing: The AI Gap. Founder, Leadership in Tough Times.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Ken Leatherman is employed by Gallagher. This packet is published independently through Storify Studio and is not a Gallagher product or endorsed by Gallagher. It is general information, not legal, insurance, or compliance advice.</w:t>
      </w:r>
    </w:p>
    <w:sectPr>
      <w:footerReference w:type="default" r:id="rId7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Leadership in Tough Times • General Business Starter Packet • Storify Studio •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2026-10-07T23:54:02.847Z</dcterms:created>
  <dcterms:modified xsi:type="dcterms:W3CDTF">2026-10-07T23:54:02.847Z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