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color w:val="B8862B"/>
          <w:spacing w:val="20"/>
          <w:sz w:val="20"/>
          <w:szCs w:val="20"/>
        </w:rPr>
        <w:t xml:space="preserve">SENIOR HOUSING: THE AI GAP</w:t>
      </w:r>
    </w:p>
    <w:p>
      <w:pPr>
        <w:spacing w:after="100" w:before="300"/>
        <w:jc w:val="center"/>
      </w:pPr>
      <w:r>
        <w:rPr>
          <w:b/>
          <w:bCs/>
          <w:color w:val="1B2A4A"/>
          <w:sz w:val="48"/>
          <w:szCs w:val="48"/>
        </w:rPr>
        <w:t xml:space="preserve">THE BOARD-READY</w:t>
      </w:r>
    </w:p>
    <w:p>
      <w:pPr>
        <w:spacing w:after="300"/>
        <w:jc w:val="center"/>
      </w:pPr>
      <w:r>
        <w:rPr>
          <w:b/>
          <w:bCs/>
          <w:color w:val="1B2A4A"/>
          <w:sz w:val="48"/>
          <w:szCs w:val="48"/>
        </w:rPr>
        <w:t xml:space="preserve">STARTER PACKET</w:t>
      </w:r>
    </w:p>
    <w:p>
      <w:pPr>
        <w:pBdr>
          <w:top w:val="single" w:color="B8862B" w:sz="4" w:space="10"/>
          <w:bottom w:val="single" w:color="B8862B" w:sz="4" w:space="10"/>
        </w:pBdr>
        <w:spacing w:after="100" w:before="100"/>
        <w:jc w:val="center"/>
      </w:pPr>
      <w:r>
        <w:rPr>
          <w:i/>
          <w:iCs/>
          <w:color w:val="444444"/>
          <w:sz w:val="24"/>
          <w:szCs w:val="24"/>
        </w:rPr>
        <w:t xml:space="preserve">Four Governance Tools From the Companion Workbook</w:t>
      </w:r>
    </w:p>
    <w:p>
      <w:pPr>
        <w:spacing w:after="80" w:before="500"/>
        <w:jc w:val="center"/>
      </w:pPr>
      <w:r>
        <w:rPr>
          <w:b/>
          <w:bCs/>
          <w:color w:val="B8862B"/>
          <w:spacing w:val="30"/>
          <w:sz w:val="18"/>
          <w:szCs w:val="18"/>
        </w:rPr>
        <w:t xml:space="preserve">WHAT'S INSIDE</w:t>
      </w:r>
    </w:p>
    <w:p>
      <w:pPr>
        <w:spacing w:after="60"/>
        <w:jc w:val="center"/>
      </w:pPr>
      <w:r>
        <w:rPr>
          <w:color w:val="1B2A4A"/>
          <w:sz w:val="21"/>
          <w:szCs w:val="21"/>
        </w:rPr>
        <w:t xml:space="preserve">The Board Resolution Template</w:t>
      </w:r>
    </w:p>
    <w:p>
      <w:pPr>
        <w:spacing w:after="60"/>
        <w:jc w:val="center"/>
      </w:pPr>
      <w:r>
        <w:rPr>
          <w:color w:val="1B2A4A"/>
          <w:sz w:val="21"/>
          <w:szCs w:val="21"/>
        </w:rPr>
        <w:t xml:space="preserve">The Data Governance Policy Template</w:t>
      </w:r>
    </w:p>
    <w:p>
      <w:pPr>
        <w:spacing w:after="60"/>
        <w:jc w:val="center"/>
      </w:pPr>
      <w:r>
        <w:rPr>
          <w:color w:val="1B2A4A"/>
          <w:sz w:val="21"/>
          <w:szCs w:val="21"/>
        </w:rPr>
        <w:t xml:space="preserve">The 90-Day AI Governance Sprint, at a Glance</w:t>
      </w:r>
    </w:p>
    <w:p>
      <w:pPr>
        <w:spacing w:after="60"/>
        <w:jc w:val="center"/>
      </w:pPr>
      <w:r>
        <w:rPr>
          <w:color w:val="1B2A4A"/>
          <w:sz w:val="21"/>
          <w:szCs w:val="21"/>
        </w:rPr>
        <w:t xml:space="preserve">The Board Briefing Template</w:t>
      </w:r>
    </w:p>
    <w:p>
      <w:pPr>
        <w:spacing w:before="700"/>
        <w:jc w:val="center"/>
      </w:pPr>
      <w:r>
        <w:rPr>
          <w:b/>
          <w:bCs/>
          <w:color w:val="1B2A4A"/>
          <w:sz w:val="22"/>
          <w:szCs w:val="22"/>
        </w:rPr>
        <w:t xml:space="preserve">KEN LEATHERMAN</w:t>
      </w:r>
    </w:p>
    <w:p>
      <w:pPr>
        <w:spacing w:after="40"/>
        <w:jc w:val="center"/>
      </w:pPr>
      <w:r>
        <w:rPr>
          <w:color w:val="666666"/>
          <w:sz w:val="16"/>
          <w:szCs w:val="16"/>
        </w:rPr>
        <w:t xml:space="preserve">Storify Studios  |  Newport, Oregon</w:t>
      </w:r>
    </w:p>
    <w:p>
      <w:pPr>
        <w:spacing w:before="40"/>
        <w:jc w:val="center"/>
      </w:pPr>
      <w:r>
        <w:rPr>
          <w:i/>
          <w:iCs/>
          <w:color w:val="888888"/>
          <w:sz w:val="15"/>
          <w:szCs w:val="15"/>
        </w:rPr>
        <w:t xml:space="preserve">Free companion excerpt. The complete workbook has sixty-plus tools; this is four of them.</w:t>
      </w:r>
    </w:p>
    <w:p>
      <w:r>
        <w:br w:type="page"/>
      </w:r>
    </w:p>
    <w:p>
      <w:pPr>
        <w:pBdr>
          <w:bottom w:val="single" w:color="B8862B" w:sz="6" w:space="6"/>
        </w:pBdr>
        <w:spacing w:after="60"/>
      </w:pPr>
      <w:r>
        <w:rPr>
          <w:b/>
          <w:bCs/>
          <w:color w:val="1B2A4A"/>
          <w:spacing w:val="20"/>
          <w:sz w:val="16"/>
          <w:szCs w:val="16"/>
        </w:rPr>
        <w:t xml:space="preserve">BEFORE YOU START</w:t>
      </w:r>
    </w:p>
    <w:p>
      <w:pPr>
        <w:pStyle w:val="Heading1"/>
        <w:spacing w:after="240" w:before="120"/>
      </w:pPr>
      <w:r>
        <w:rPr>
          <w:b/>
          <w:bCs/>
          <w:color w:val="1B2A4A"/>
          <w:sz w:val="32"/>
          <w:szCs w:val="32"/>
        </w:rPr>
        <w:t xml:space="preserve">Why This Packet Exists</w:t>
      </w:r>
    </w:p>
    <w:p>
      <w:pPr>
        <w:spacing w:after="140" w:line="270"/>
      </w:pPr>
      <w:r>
        <w:rPr>
          <w:b w:val="false"/>
          <w:bCs w:val="false"/>
          <w:i w:val="false"/>
          <w:iCs w:val="false"/>
          <w:color w:val="222222"/>
          <w:sz w:val="20"/>
          <w:szCs w:val="20"/>
        </w:rPr>
        <w:t xml:space="preserve">Most AI governance committees fail the same way. They meet. They discuss. Somebody drafts a policy nobody signs. Six months pass, and the committee is still “researching,” which is the polite word for stalled.</w:t>
      </w:r>
    </w:p>
    <w:p>
      <w:pPr>
        <w:spacing w:after="140" w:line="270"/>
      </w:pPr>
      <w:r>
        <w:rPr>
          <w:b w:val="false"/>
          <w:bCs w:val="false"/>
          <w:i w:val="false"/>
          <w:iCs w:val="false"/>
          <w:color w:val="222222"/>
          <w:sz w:val="20"/>
          <w:szCs w:val="20"/>
        </w:rPr>
        <w:t xml:space="preserve">I call that governance theater, and I named it that in Senior Housing: The AI Gap because I'd watched too many boards mistake the meeting for the decision.</w:t>
      </w:r>
    </w:p>
    <w:p>
      <w:pPr>
        <w:spacing w:after="140" w:line="270"/>
      </w:pPr>
      <w:r>
        <w:rPr>
          <w:b w:val="false"/>
          <w:bCs w:val="false"/>
          <w:i w:val="false"/>
          <w:iCs w:val="false"/>
          <w:color w:val="222222"/>
          <w:sz w:val="20"/>
          <w:szCs w:val="20"/>
        </w:rPr>
        <w:t xml:space="preserve">The four tools in this packet exist to break that pattern in one sitting. A board resolution your committee can actually adopt. A data governance policy you can actually approve. A ninety-day timeline with a mandatory decision date, so “we'll revisit next quarter” stops being an option. And a board briefing template that forces a status, a number, and a recommendation onto one page, every time.</w:t>
      </w:r>
    </w:p>
    <w:p>
      <w:pPr>
        <w:spacing w:after="140" w:line="270"/>
      </w:pPr>
      <w:r>
        <w:rPr>
          <w:b w:val="false"/>
          <w:bCs w:val="false"/>
          <w:i w:val="false"/>
          <w:iCs w:val="false"/>
          <w:color w:val="222222"/>
          <w:sz w:val="20"/>
          <w:szCs w:val="20"/>
        </w:rPr>
        <w:t xml:space="preserve">They're built for senior housing specifically: skilled nursing, assisted living, memory care, independent living, and home care. Every field that says [Facility Name] or [Organization Name] is yours to fill in. Every checkbox is yours to check.</w:t>
      </w:r>
    </w:p>
    <w:p>
      <w:pPr>
        <w:spacing w:after="140" w:line="270"/>
      </w:pPr>
      <w:r>
        <w:rPr>
          <w:b w:val="false"/>
          <w:bCs w:val="false"/>
          <w:i/>
          <w:iCs/>
          <w:color w:val="222222"/>
          <w:sz w:val="20"/>
          <w:szCs w:val="20"/>
        </w:rPr>
        <w:t xml:space="preserve">This is four tools out of more than sixty in the complete companion workbook, which also covers vendor evaluation by care setting, ROI calculators, state-by-state regulatory compliance, stakeholder communication templates, and incident response protocols, all tied to the frameworks in the book itself. If these four are useful to your committee this week, the full set is one page over.</w:t>
      </w:r>
    </w:p>
    <w:p>
      <w:pPr>
        <w:pBdr>
          <w:left w:val="single" w:color="B8862B" w:sz="24" w:space="8"/>
        </w:pBdr>
        <w:shd w:fill="F4EEE1" w:val="clear"/>
        <w:spacing w:after="200" w:before="140"/>
        <w:ind w:left="200"/>
      </w:pPr>
      <w:r>
        <w:rPr>
          <w:i/>
          <w:iCs/>
          <w:color w:val="5A4A1E"/>
          <w:sz w:val="19"/>
          <w:szCs w:val="19"/>
        </w:rPr>
        <w:t xml:space="preserve">A note on how to use this: don't try to complete all four in one meeting. Bring the Board Resolution and the 90-Day Sprint timeline to your next governance committee meeting. Bring the Data Governance Policy to whoever owns IT and compliance. Save the Board Briefing Template for the first board update after your pilot launches.</w:t>
      </w:r>
    </w:p>
    <w:p>
      <w:r>
        <w:br w:type="page"/>
      </w:r>
    </w:p>
    <w:p>
      <w:pPr>
        <w:pBdr>
          <w:bottom w:val="single" w:color="B8862B" w:sz="6" w:space="6"/>
        </w:pBdr>
        <w:spacing w:after="60"/>
      </w:pPr>
      <w:r>
        <w:rPr>
          <w:b/>
          <w:bCs/>
          <w:color w:val="1B2A4A"/>
          <w:spacing w:val="20"/>
          <w:sz w:val="16"/>
          <w:szCs w:val="16"/>
        </w:rPr>
        <w:t xml:space="preserve">TOOL 1 OF 4</w:t>
      </w:r>
    </w:p>
    <w:p>
      <w:pPr>
        <w:pStyle w:val="Heading1"/>
        <w:spacing w:after="240" w:before="120"/>
      </w:pPr>
      <w:r>
        <w:rPr>
          <w:b/>
          <w:bCs/>
          <w:color w:val="1B2A4A"/>
          <w:sz w:val="32"/>
          <w:szCs w:val="32"/>
        </w:rPr>
        <w:t xml:space="preserve">The Board Resolution Template</w:t>
      </w:r>
    </w:p>
    <w:p>
      <w:pPr>
        <w:spacing w:after="140" w:line="270"/>
      </w:pPr>
      <w:r>
        <w:rPr>
          <w:b w:val="false"/>
          <w:bCs w:val="false"/>
          <w:i w:val="false"/>
          <w:iCs w:val="false"/>
          <w:color w:val="222222"/>
          <w:sz w:val="20"/>
          <w:szCs w:val="20"/>
        </w:rPr>
        <w:t xml:space="preserve">Adopt this at the meeting where your governance committee is formed. It authorizes the committee to act, sets the guardrails, and names who's accountable, in one motion instead of a slow drift toward informal oversight nobody actually owns.</w:t>
      </w:r>
    </w:p>
    <w:p>
      <w:pPr>
        <w:pStyle w:val="Heading2"/>
        <w:spacing w:after="100" w:before="260"/>
      </w:pPr>
      <w:r>
        <w:rPr>
          <w:b/>
          <w:bCs/>
          <w:color w:val="B8862B"/>
          <w:sz w:val="21"/>
          <w:szCs w:val="21"/>
        </w:rPr>
        <w:t xml:space="preserve">Board Resolution: AI Governance Adoption</w:t>
      </w:r>
    </w:p>
    <w:p>
      <w:pPr>
        <w:spacing w:after="140" w:line="270"/>
      </w:pPr>
      <w:r>
        <w:rPr>
          <w:b/>
          <w:bCs/>
          <w:i w:val="false"/>
          <w:iCs w:val="false"/>
          <w:color w:val="222222"/>
          <w:sz w:val="20"/>
          <w:szCs w:val="20"/>
        </w:rPr>
        <w:t xml:space="preserve">RESOLVED, that the Board of [Organization Name] hereby authorizes the formation of an AI Governance Committee with authority to evaluate, pilot, and recommend AI technologies for [facility/portfolio], subject to the following constraints:</w:t>
      </w:r>
    </w:p>
    <w:p>
      <w:pPr>
        <w:spacing w:after="100"/>
        <w:ind w:left="360"/>
      </w:pPr>
      <w:r>
        <w:rPr>
          <w:sz w:val="20"/>
          <w:szCs w:val="20"/>
        </w:rPr>
        <w:t xml:space="preserve">1. AI deployments shall not exceed Level ___ without separate Board approval.</w:t>
      </w:r>
    </w:p>
    <w:p>
      <w:pPr>
        <w:spacing w:after="100"/>
        <w:ind w:left="360"/>
      </w:pPr>
      <w:r>
        <w:rPr>
          <w:sz w:val="20"/>
          <w:szCs w:val="20"/>
        </w:rPr>
        <w:t xml:space="preserve">2. Initial pilot investment shall not exceed $__________.</w:t>
      </w:r>
    </w:p>
    <w:p>
      <w:pPr>
        <w:spacing w:after="100"/>
        <w:ind w:left="360"/>
      </w:pPr>
      <w:r>
        <w:rPr>
          <w:sz w:val="20"/>
          <w:szCs w:val="20"/>
        </w:rPr>
        <w:t xml:space="preserve">3. The Committee shall report to the Board [monthly/quarterly] on progress, expenditures, and risk assessments.</w:t>
      </w:r>
    </w:p>
    <w:p>
      <w:pPr>
        <w:spacing w:after="100"/>
        <w:ind w:left="360"/>
      </w:pPr>
      <w:r>
        <w:rPr>
          <w:sz w:val="20"/>
          <w:szCs w:val="20"/>
        </w:rPr>
        <w:t xml:space="preserve">4. No AI system shall be deployed without a signed Business Associate Agreement (if PHI is involved), verified compliance with applicable federal and state regulations, and documented human oversight processes.</w:t>
      </w:r>
    </w:p>
    <w:p>
      <w:pPr>
        <w:spacing w:after="100"/>
        <w:ind w:left="360"/>
      </w:pPr>
      <w:r>
        <w:rPr>
          <w:sz w:val="20"/>
          <w:szCs w:val="20"/>
        </w:rPr>
        <w:t xml:space="preserve">5. The Committee shall include representatives from clinical operations, IT, finance, legal/compliance, and frontline staff.</w:t>
      </w:r>
    </w:p>
    <w:p>
      <w:pPr>
        <w:spacing w:after="140" w:line="270"/>
      </w:pPr>
      <w:r>
        <w:rPr>
          <w:b/>
          <w:bCs/>
          <w:i w:val="false"/>
          <w:iCs w:val="false"/>
          <w:color w:val="222222"/>
          <w:sz w:val="20"/>
          <w:szCs w:val="20"/>
        </w:rPr>
        <w:t xml:space="preserve">FURTHER RESOLVED, that the Executive Sponsor for AI implementation shall be</w:t>
      </w:r>
    </w:p>
    <w:p>
      <w:pPr>
        <w:spacing w:after="160"/>
      </w:pPr>
      <w:r>
        <w:rPr>
          <w:b/>
          <w:bCs/>
          <w:sz w:val="20"/>
          <w:szCs w:val="20"/>
        </w:rPr>
        <w:t xml:space="preserve">Executive Sponsor: </w:t>
      </w:r>
      <w:r>
        <w:rPr>
          <w:sz w:val="20"/>
          <w:szCs w:val="20"/>
        </w:rPr>
        <w:t xml:space="preserve">____________________________________________________</w:t>
      </w:r>
    </w:p>
    <w:p>
      <w:pPr>
        <w:spacing w:after="160"/>
      </w:pPr>
      <w:r>
        <w:rPr>
          <w:b/>
          <w:bCs/>
          <w:sz w:val="20"/>
          <w:szCs w:val="20"/>
        </w:rPr>
        <w:t xml:space="preserve">Adopted (date): </w:t>
      </w:r>
      <w:r>
        <w:rPr>
          <w:sz w:val="20"/>
          <w:szCs w:val="20"/>
        </w:rPr>
        <w:t xml:space="preserve">____________________________________________________</w:t>
      </w:r>
    </w:p>
    <w:p>
      <w:pPr>
        <w:spacing w:after="160"/>
      </w:pPr>
      <w:r>
        <w:rPr>
          <w:b/>
          <w:bCs/>
          <w:sz w:val="20"/>
          <w:szCs w:val="20"/>
        </w:rPr>
        <w:t xml:space="preserve">Chair signature: </w:t>
      </w:r>
      <w:r>
        <w:rPr>
          <w:sz w:val="20"/>
          <w:szCs w:val="20"/>
        </w:rPr>
        <w:t xml:space="preserve">____________________________________________________</w:t>
      </w:r>
    </w:p>
    <w:p>
      <w:pPr>
        <w:pBdr>
          <w:left w:val="single" w:color="B8862B" w:sz="24" w:space="8"/>
        </w:pBdr>
        <w:shd w:fill="F4EEE1" w:val="clear"/>
        <w:spacing w:after="200" w:before="140"/>
        <w:ind w:left="200"/>
      </w:pPr>
      <w:r>
        <w:rPr>
          <w:i/>
          <w:iCs/>
          <w:color w:val="5A4A1E"/>
          <w:sz w:val="19"/>
          <w:szCs w:val="19"/>
        </w:rPr>
        <w:t xml:space="preserve">Why Level ___ matters in item 1: L1 means the AI collects or presents data and a human decides. L2 means the AI recommends and a human reviews. L3 means the AI acts within set parameters under human oversight. L4 means the AI acts independently, which the complete workbook does not recommend for clinical applications. Most committees should authorize L2 or L3 and require a separate vote to go further.</w:t>
      </w:r>
    </w:p>
    <w:p>
      <w:r>
        <w:br w:type="page"/>
      </w:r>
    </w:p>
    <w:p>
      <w:pPr>
        <w:pBdr>
          <w:bottom w:val="single" w:color="B8862B" w:sz="6" w:space="6"/>
        </w:pBdr>
        <w:spacing w:after="60"/>
      </w:pPr>
      <w:r>
        <w:rPr>
          <w:b/>
          <w:bCs/>
          <w:color w:val="1B2A4A"/>
          <w:spacing w:val="20"/>
          <w:sz w:val="16"/>
          <w:szCs w:val="16"/>
        </w:rPr>
        <w:t xml:space="preserve">TOOL 2 OF 4</w:t>
      </w:r>
    </w:p>
    <w:p>
      <w:pPr>
        <w:pStyle w:val="Heading1"/>
        <w:spacing w:after="240" w:before="120"/>
      </w:pPr>
      <w:r>
        <w:rPr>
          <w:b/>
          <w:bCs/>
          <w:color w:val="1B2A4A"/>
          <w:sz w:val="32"/>
          <w:szCs w:val="32"/>
        </w:rPr>
        <w:t xml:space="preserve">The Data Governance Policy Template</w:t>
      </w:r>
    </w:p>
    <w:p>
      <w:pPr>
        <w:spacing w:after="140" w:line="270"/>
      </w:pPr>
      <w:r>
        <w:rPr>
          <w:b w:val="false"/>
          <w:bCs w:val="false"/>
          <w:i w:val="false"/>
          <w:iCs w:val="false"/>
          <w:color w:val="222222"/>
          <w:sz w:val="20"/>
          <w:szCs w:val="20"/>
        </w:rPr>
        <w:t xml:space="preserve">Route this to whoever owns IT and compliance before your first AI vendor contract is signed. It answers the questions a surveyor, an underwriter, or a family member's attorney will eventually ask: what data does the AI touch, who can see it, and what happens to it when a contract ends.</w:t>
      </w:r>
    </w:p>
    <w:p>
      <w:pPr>
        <w:pStyle w:val="Heading2"/>
        <w:spacing w:after="100" w:before="260"/>
      </w:pPr>
      <w:r>
        <w:rPr>
          <w:b/>
          <w:bCs/>
          <w:color w:val="B8862B"/>
          <w:sz w:val="21"/>
          <w:szCs w:val="21"/>
        </w:rPr>
        <w:t xml:space="preserve">Section 1: Purpose</w:t>
      </w:r>
    </w:p>
    <w:p>
      <w:pPr>
        <w:spacing w:after="140" w:line="270"/>
      </w:pPr>
      <w:r>
        <w:rPr>
          <w:b w:val="false"/>
          <w:bCs w:val="false"/>
          <w:i w:val="false"/>
          <w:iCs w:val="false"/>
          <w:color w:val="222222"/>
          <w:sz w:val="20"/>
          <w:szCs w:val="20"/>
        </w:rPr>
        <w:t xml:space="preserve">This policy establishes governance for all AI systems processing resident, staff, or operational data at [Facility Name].</w:t>
      </w:r>
    </w:p>
    <w:p>
      <w:pPr>
        <w:pStyle w:val="Heading2"/>
        <w:spacing w:after="100" w:before="260"/>
      </w:pPr>
      <w:r>
        <w:rPr>
          <w:b/>
          <w:bCs/>
          <w:color w:val="B8862B"/>
          <w:sz w:val="21"/>
          <w:szCs w:val="21"/>
        </w:rPr>
        <w:t xml:space="preserve">Section 2: Scope</w:t>
      </w:r>
    </w:p>
    <w:p>
      <w:pPr>
        <w:spacing w:after="140" w:line="270"/>
      </w:pPr>
      <w:r>
        <w:rPr>
          <w:b w:val="false"/>
          <w:bCs w:val="false"/>
          <w:i w:val="false"/>
          <w:iCs w:val="false"/>
          <w:color w:val="222222"/>
          <w:sz w:val="20"/>
          <w:szCs w:val="20"/>
        </w:rPr>
        <w:t xml:space="preserve">Applies to all AI tools, machine learning systems, and automated decision-support technologies used in any capacity.</w:t>
      </w:r>
    </w:p>
    <w:p>
      <w:pPr>
        <w:pStyle w:val="Heading2"/>
        <w:spacing w:after="100" w:before="260"/>
      </w:pPr>
      <w:r>
        <w:rPr>
          <w:b/>
          <w:bCs/>
          <w:color w:val="B8862B"/>
          <w:sz w:val="21"/>
          <w:szCs w:val="21"/>
        </w:rPr>
        <w:t xml:space="preserve">Section 3: Data Classification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900"/>
      </w:tblGrid>
      <w:tr>
        <w:trPr>
          <w:tblHeader/>
        </w:trPr>
        <w:tc>
          <w:tcPr>
            <w:tcW w:type="dxa" w:w="2000"/>
            <w:shd w:fill="1B2A4A" w:val="clear"/>
            <w:tcMar>
              <w:top w:type="dxa" w:w="90"/>
              <w:left w:type="dxa" w:w="110"/>
              <w:bottom w:type="dxa" w:w="90"/>
              <w:right w:type="dxa" w:w="110"/>
            </w:tcMar>
            <w:vAlign w:val="center"/>
          </w:tcPr>
          <w:p>
            <w:pPr>
              <w:jc w:val="left"/>
            </w:pPr>
            <w:r>
              <w:rPr>
                <w:b/>
                <w:bCs/>
                <w:color w:val="FFFFFF"/>
                <w:sz w:val="18"/>
                <w:szCs w:val="18"/>
              </w:rPr>
              <w:t xml:space="preserve">Classification</w:t>
            </w:r>
          </w:p>
        </w:tc>
        <w:tc>
          <w:tcPr>
            <w:tcW w:type="dxa" w:w="3600"/>
            <w:shd w:fill="1B2A4A" w:val="clear"/>
            <w:tcMar>
              <w:top w:type="dxa" w:w="90"/>
              <w:left w:type="dxa" w:w="110"/>
              <w:bottom w:type="dxa" w:w="90"/>
              <w:right w:type="dxa" w:w="110"/>
            </w:tcMar>
            <w:vAlign w:val="center"/>
          </w:tcPr>
          <w:p>
            <w:pPr>
              <w:jc w:val="left"/>
            </w:pPr>
            <w:r>
              <w:rPr>
                <w:b/>
                <w:bCs/>
                <w:color w:val="FFFFFF"/>
                <w:sz w:val="18"/>
                <w:szCs w:val="18"/>
              </w:rPr>
              <w:t xml:space="preserve">Examples</w:t>
            </w:r>
          </w:p>
        </w:tc>
        <w:tc>
          <w:tcPr>
            <w:tcW w:type="dxa" w:w="3900"/>
            <w:shd w:fill="1B2A4A" w:val="clear"/>
            <w:tcMar>
              <w:top w:type="dxa" w:w="90"/>
              <w:left w:type="dxa" w:w="110"/>
              <w:bottom w:type="dxa" w:w="90"/>
              <w:right w:type="dxa" w:w="110"/>
            </w:tcMar>
            <w:vAlign w:val="center"/>
          </w:tcPr>
          <w:p>
            <w:pPr>
              <w:jc w:val="left"/>
            </w:pPr>
            <w:r>
              <w:rPr>
                <w:b/>
                <w:bCs/>
                <w:color w:val="FFFFFF"/>
                <w:sz w:val="18"/>
                <w:szCs w:val="18"/>
              </w:rPr>
              <w:t xml:space="preserve">Handling Requirements</w:t>
            </w:r>
          </w:p>
        </w:tc>
      </w:tr>
      <w:tr>
        <w:tc>
          <w:tcPr>
            <w:tcW w:type="dxa" w:w="2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PHI</w:t>
            </w:r>
          </w:p>
        </w:tc>
        <w:tc>
          <w:tcPr>
            <w:tcW w:type="dxa" w:w="36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Health records, diagnoses, medications</w:t>
            </w:r>
          </w:p>
        </w:tc>
        <w:tc>
          <w:tcPr>
            <w:tcW w:type="dxa" w:w="3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HIPAA-compliant, BAA required, encrypted</w:t>
            </w:r>
          </w:p>
        </w:tc>
      </w:tr>
      <w:tr>
        <w:tc>
          <w:tcPr>
            <w:tcW w:type="dxa" w:w="20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PII</w:t>
            </w:r>
          </w:p>
        </w:tc>
        <w:tc>
          <w:tcPr>
            <w:tcW w:type="dxa" w:w="36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Names, SSN, financial data</w:t>
            </w:r>
          </w:p>
        </w:tc>
        <w:tc>
          <w:tcPr>
            <w:tcW w:type="dxa" w:w="39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Encrypted, access-controlled, minimized</w:t>
            </w:r>
          </w:p>
        </w:tc>
      </w:tr>
      <w:tr>
        <w:tc>
          <w:tcPr>
            <w:tcW w:type="dxa" w:w="2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Operational</w:t>
            </w:r>
          </w:p>
        </w:tc>
        <w:tc>
          <w:tcPr>
            <w:tcW w:type="dxa" w:w="36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Staffing patterns, census data, costs</w:t>
            </w:r>
          </w:p>
        </w:tc>
        <w:tc>
          <w:tcPr>
            <w:tcW w:type="dxa" w:w="3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Access-controlled, internal use only</w:t>
            </w:r>
          </w:p>
        </w:tc>
      </w:tr>
      <w:tr>
        <w:tc>
          <w:tcPr>
            <w:tcW w:type="dxa" w:w="20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De-identified</w:t>
            </w:r>
          </w:p>
        </w:tc>
        <w:tc>
          <w:tcPr>
            <w:tcW w:type="dxa" w:w="36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Aggregated trends, anonymized analytics</w:t>
            </w:r>
          </w:p>
        </w:tc>
        <w:tc>
          <w:tcPr>
            <w:tcW w:type="dxa" w:w="39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May be shared per data use agreement</w:t>
            </w:r>
          </w:p>
        </w:tc>
      </w:tr>
    </w:tbl>
    <w:p>
      <w:pPr>
        <w:pStyle w:val="Heading2"/>
        <w:spacing w:after="100" w:before="260"/>
      </w:pPr>
      <w:r>
        <w:rPr>
          <w:b/>
          <w:bCs/>
          <w:color w:val="B8862B"/>
          <w:sz w:val="21"/>
          <w:szCs w:val="21"/>
        </w:rPr>
        <w:t xml:space="preserve">Section 4: Collection Principles</w:t>
      </w:r>
    </w:p>
    <w:p>
      <w:pPr>
        <w:spacing w:after="140" w:line="270"/>
      </w:pPr>
      <w:r>
        <w:rPr>
          <w:b w:val="false"/>
          <w:bCs w:val="false"/>
          <w:i w:val="false"/>
          <w:iCs w:val="false"/>
          <w:color w:val="222222"/>
          <w:sz w:val="20"/>
          <w:szCs w:val="20"/>
        </w:rPr>
        <w:t xml:space="preserve">Collect only what is necessary for the specific AI use case. Document what is collected and why. Inform residents and families.</w:t>
      </w:r>
    </w:p>
    <w:p>
      <w:pPr>
        <w:pStyle w:val="Heading2"/>
        <w:spacing w:after="100" w:before="260"/>
      </w:pPr>
      <w:r>
        <w:rPr>
          <w:b/>
          <w:bCs/>
          <w:color w:val="B8862B"/>
          <w:sz w:val="21"/>
          <w:szCs w:val="21"/>
        </w:rPr>
        <w:t xml:space="preserve">Section 5: Access Controls</w:t>
      </w:r>
    </w:p>
    <w:p>
      <w:pPr>
        <w:spacing w:after="140" w:line="270"/>
      </w:pPr>
      <w:r>
        <w:rPr>
          <w:b w:val="false"/>
          <w:bCs w:val="false"/>
          <w:i w:val="false"/>
          <w:iCs w:val="false"/>
          <w:color w:val="222222"/>
          <w:sz w:val="20"/>
          <w:szCs w:val="20"/>
        </w:rPr>
        <w:t xml:space="preserve">Role-based access. Multi-factor authentication. Audit logging. Automatic session timeouts. Quarterly access reviews.</w:t>
      </w:r>
    </w:p>
    <w:p>
      <w:pPr>
        <w:pStyle w:val="Heading2"/>
        <w:spacing w:after="100" w:before="260"/>
      </w:pPr>
      <w:r>
        <w:rPr>
          <w:b/>
          <w:bCs/>
          <w:color w:val="B8862B"/>
          <w:sz w:val="21"/>
          <w:szCs w:val="21"/>
        </w:rPr>
        <w:t xml:space="preserve">Section 6: Vendor Requirements</w:t>
      </w:r>
    </w:p>
    <w:p>
      <w:pPr>
        <w:spacing w:after="140" w:line="270"/>
      </w:pPr>
      <w:r>
        <w:rPr>
          <w:b w:val="false"/>
          <w:bCs w:val="false"/>
          <w:i w:val="false"/>
          <w:iCs w:val="false"/>
          <w:color w:val="222222"/>
          <w:sz w:val="20"/>
          <w:szCs w:val="20"/>
        </w:rPr>
        <w:t xml:space="preserve">All vendors handling data must sign BAAs (if PHI), provide SOC 2 or HITRUST certification, agree to data return and destruction on termination, and disclose sub-processors.</w:t>
      </w:r>
    </w:p>
    <w:p>
      <w:pPr>
        <w:pStyle w:val="Heading2"/>
        <w:spacing w:after="100" w:before="260"/>
      </w:pPr>
      <w:r>
        <w:rPr>
          <w:b/>
          <w:bCs/>
          <w:color w:val="B8862B"/>
          <w:sz w:val="21"/>
          <w:szCs w:val="21"/>
        </w:rPr>
        <w:t xml:space="preserve">Section 7: Incident Response</w:t>
      </w:r>
    </w:p>
    <w:p>
      <w:pPr>
        <w:spacing w:after="140" w:line="270"/>
      </w:pPr>
      <w:r>
        <w:rPr>
          <w:b w:val="false"/>
          <w:bCs w:val="false"/>
          <w:i w:val="false"/>
          <w:iCs w:val="false"/>
          <w:color w:val="222222"/>
          <w:sz w:val="20"/>
          <w:szCs w:val="20"/>
        </w:rPr>
        <w:t xml:space="preserve">Full incident response protocols, including the PHI breach timeline and AI system failure response, are in the complete companion workbook, Section 11.</w:t>
      </w:r>
    </w:p>
    <w:p>
      <w:pPr>
        <w:pStyle w:val="Heading2"/>
        <w:spacing w:after="100" w:before="260"/>
      </w:pPr>
      <w:r>
        <w:rPr>
          <w:b/>
          <w:bCs/>
          <w:color w:val="B8862B"/>
          <w:sz w:val="21"/>
          <w:szCs w:val="21"/>
        </w:rPr>
        <w:t xml:space="preserve">Section 8: Review</w:t>
      </w:r>
    </w:p>
    <w:p>
      <w:pPr>
        <w:spacing w:after="140" w:line="270"/>
      </w:pPr>
      <w:r>
        <w:rPr>
          <w:b w:val="false"/>
          <w:bCs w:val="false"/>
          <w:i w:val="false"/>
          <w:iCs w:val="false"/>
          <w:color w:val="222222"/>
          <w:sz w:val="20"/>
          <w:szCs w:val="20"/>
        </w:rPr>
        <w:t xml:space="preserve">This policy is reviewed annually by the governance committee, and updated whenever new AI systems are deployed or regulations change.</w:t>
      </w:r>
    </w:p>
    <w:p>
      <w:pPr>
        <w:spacing w:after="160"/>
      </w:pPr>
      <w:r>
        <w:rPr>
          <w:b/>
          <w:bCs/>
          <w:sz w:val="20"/>
          <w:szCs w:val="20"/>
        </w:rPr>
        <w:t xml:space="preserve">Approved: </w:t>
      </w:r>
      <w:r>
        <w:rPr>
          <w:sz w:val="20"/>
          <w:szCs w:val="20"/>
        </w:rPr>
        <w:t xml:space="preserve">____________________________________________________</w:t>
      </w:r>
    </w:p>
    <w:p>
      <w:r>
        <w:br w:type="page"/>
      </w:r>
    </w:p>
    <w:p>
      <w:pPr>
        <w:pBdr>
          <w:bottom w:val="single" w:color="B8862B" w:sz="6" w:space="6"/>
        </w:pBdr>
        <w:spacing w:after="60"/>
      </w:pPr>
      <w:r>
        <w:rPr>
          <w:b/>
          <w:bCs/>
          <w:color w:val="1B2A4A"/>
          <w:spacing w:val="20"/>
          <w:sz w:val="16"/>
          <w:szCs w:val="16"/>
        </w:rPr>
        <w:t xml:space="preserve">TOOL 3 OF 4</w:t>
      </w:r>
    </w:p>
    <w:p>
      <w:pPr>
        <w:pStyle w:val="Heading1"/>
        <w:spacing w:after="240" w:before="120"/>
      </w:pPr>
      <w:r>
        <w:rPr>
          <w:b/>
          <w:bCs/>
          <w:color w:val="1B2A4A"/>
          <w:sz w:val="32"/>
          <w:szCs w:val="32"/>
        </w:rPr>
        <w:t xml:space="preserve">The 90-Day AI Governance Sprint, at a Glance</w:t>
      </w:r>
    </w:p>
    <w:p>
      <w:pPr>
        <w:spacing w:after="140" w:line="270"/>
      </w:pPr>
      <w:r>
        <w:rPr>
          <w:b w:val="false"/>
          <w:bCs w:val="false"/>
          <w:i w:val="false"/>
          <w:iCs w:val="false"/>
          <w:color w:val="222222"/>
          <w:sz w:val="20"/>
          <w:szCs w:val="20"/>
        </w:rPr>
        <w:t xml:space="preserve">This is the timeline behind the book's subtitle: From Governance Theater to Deployment in 90 Days. Pin it to the wall of your first committee meeting. The rule that makes it work is the last line below, not any single week.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400"/>
        <w:gridCol w:w="3600"/>
      </w:tblGrid>
      <w:tr>
        <w:trPr>
          <w:tblHeader/>
        </w:trPr>
        <w:tc>
          <w:tcPr>
            <w:tcW w:type="dxa" w:w="1000"/>
            <w:shd w:fill="1B2A4A" w:val="clear"/>
            <w:tcMar>
              <w:top w:type="dxa" w:w="90"/>
              <w:left w:type="dxa" w:w="110"/>
              <w:bottom w:type="dxa" w:w="90"/>
              <w:right w:type="dxa" w:w="110"/>
            </w:tcMar>
            <w:vAlign w:val="center"/>
          </w:tcPr>
          <w:p>
            <w:pPr>
              <w:jc w:val="left"/>
            </w:pPr>
            <w:r>
              <w:rPr>
                <w:b/>
                <w:bCs/>
                <w:color w:val="FFFFFF"/>
                <w:sz w:val="18"/>
                <w:szCs w:val="18"/>
              </w:rPr>
              <w:t xml:space="preserve">Week</w:t>
            </w:r>
          </w:p>
        </w:tc>
        <w:tc>
          <w:tcPr>
            <w:tcW w:type="dxa" w:w="1500"/>
            <w:shd w:fill="1B2A4A" w:val="clear"/>
            <w:tcMar>
              <w:top w:type="dxa" w:w="90"/>
              <w:left w:type="dxa" w:w="110"/>
              <w:bottom w:type="dxa" w:w="90"/>
              <w:right w:type="dxa" w:w="110"/>
            </w:tcMar>
            <w:vAlign w:val="center"/>
          </w:tcPr>
          <w:p>
            <w:pPr>
              <w:jc w:val="left"/>
            </w:pPr>
            <w:r>
              <w:rPr>
                <w:b/>
                <w:bCs/>
                <w:color w:val="FFFFFF"/>
                <w:sz w:val="18"/>
                <w:szCs w:val="18"/>
              </w:rPr>
              <w:t xml:space="preserve">Stage</w:t>
            </w:r>
          </w:p>
        </w:tc>
        <w:tc>
          <w:tcPr>
            <w:tcW w:type="dxa" w:w="3400"/>
            <w:shd w:fill="1B2A4A" w:val="clear"/>
            <w:tcMar>
              <w:top w:type="dxa" w:w="90"/>
              <w:left w:type="dxa" w:w="110"/>
              <w:bottom w:type="dxa" w:w="90"/>
              <w:right w:type="dxa" w:w="110"/>
            </w:tcMar>
            <w:vAlign w:val="center"/>
          </w:tcPr>
          <w:p>
            <w:pPr>
              <w:jc w:val="left"/>
            </w:pPr>
            <w:r>
              <w:rPr>
                <w:b/>
                <w:bCs/>
                <w:color w:val="FFFFFF"/>
                <w:sz w:val="18"/>
                <w:szCs w:val="18"/>
              </w:rPr>
              <w:t xml:space="preserve">Key Activity</w:t>
            </w:r>
          </w:p>
        </w:tc>
        <w:tc>
          <w:tcPr>
            <w:tcW w:type="dxa" w:w="3600"/>
            <w:shd w:fill="1B2A4A" w:val="clear"/>
            <w:tcMar>
              <w:top w:type="dxa" w:w="90"/>
              <w:left w:type="dxa" w:w="110"/>
              <w:bottom w:type="dxa" w:w="90"/>
              <w:right w:type="dxa" w:w="110"/>
            </w:tcMar>
            <w:vAlign w:val="center"/>
          </w:tcPr>
          <w:p>
            <w:pPr>
              <w:jc w:val="left"/>
            </w:pPr>
            <w:r>
              <w:rPr>
                <w:b/>
                <w:bCs/>
                <w:color w:val="FFFFFF"/>
                <w:sz w:val="18"/>
                <w:szCs w:val="18"/>
              </w:rPr>
              <w:t xml:space="preserve">Deliverable</w:t>
            </w:r>
          </w:p>
        </w:tc>
      </w:tr>
      <w:tr>
        <w:tc>
          <w:tcPr>
            <w:tcW w:type="dxa" w:w="1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1</w:t>
            </w:r>
          </w:p>
        </w:tc>
        <w:tc>
          <w:tcPr>
            <w:tcW w:type="dxa" w:w="15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Stage 1</w:t>
            </w:r>
          </w:p>
        </w:tc>
        <w:tc>
          <w:tcPr>
            <w:tcW w:type="dxa" w:w="34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Brutal truth assessment</w:t>
            </w:r>
          </w:p>
        </w:tc>
        <w:tc>
          <w:tcPr>
            <w:tcW w:type="dxa" w:w="36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Current State Assessment</w:t>
            </w:r>
          </w:p>
        </w:tc>
      </w:tr>
      <w:tr>
        <w:tc>
          <w:tcPr>
            <w:tcW w:type="dxa" w:w="10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2</w:t>
            </w:r>
          </w:p>
        </w:tc>
        <w:tc>
          <w:tcPr>
            <w:tcW w:type="dxa" w:w="15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34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Pain point selection</w:t>
            </w:r>
          </w:p>
        </w:tc>
        <w:tc>
          <w:tcPr>
            <w:tcW w:type="dxa" w:w="36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Pilot Use Case Definition</w:t>
            </w:r>
          </w:p>
        </w:tc>
      </w:tr>
      <w:tr>
        <w:tc>
          <w:tcPr>
            <w:tcW w:type="dxa" w:w="1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3</w:t>
            </w:r>
          </w:p>
        </w:tc>
        <w:tc>
          <w:tcPr>
            <w:tcW w:type="dxa" w:w="15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34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Vendor evaluation &amp; demos</w:t>
            </w:r>
          </w:p>
        </w:tc>
        <w:tc>
          <w:tcPr>
            <w:tcW w:type="dxa" w:w="36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Vendor Comparison Matrix</w:t>
            </w:r>
          </w:p>
        </w:tc>
      </w:tr>
      <w:tr>
        <w:tc>
          <w:tcPr>
            <w:tcW w:type="dxa" w:w="10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4</w:t>
            </w:r>
          </w:p>
        </w:tc>
        <w:tc>
          <w:tcPr>
            <w:tcW w:type="dxa" w:w="15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34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Pilot design &amp; contract</w:t>
            </w:r>
          </w:p>
        </w:tc>
        <w:tc>
          <w:tcPr>
            <w:tcW w:type="dxa" w:w="36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Pilot Design Document signed</w:t>
            </w:r>
          </w:p>
        </w:tc>
      </w:tr>
      <w:tr>
        <w:tc>
          <w:tcPr>
            <w:tcW w:type="dxa" w:w="1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5</w:t>
            </w:r>
          </w:p>
        </w:tc>
        <w:tc>
          <w:tcPr>
            <w:tcW w:type="dxa" w:w="15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Stage 2</w:t>
            </w:r>
          </w:p>
        </w:tc>
        <w:tc>
          <w:tcPr>
            <w:tcW w:type="dxa" w:w="34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Pilot launch</w:t>
            </w:r>
          </w:p>
        </w:tc>
        <w:tc>
          <w:tcPr>
            <w:tcW w:type="dxa" w:w="36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System LIVE</w:t>
            </w:r>
          </w:p>
        </w:tc>
      </w:tr>
      <w:tr>
        <w:tc>
          <w:tcPr>
            <w:tcW w:type="dxa" w:w="10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6-7</w:t>
            </w:r>
          </w:p>
        </w:tc>
        <w:tc>
          <w:tcPr>
            <w:tcW w:type="dxa" w:w="15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34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Execution &amp; support</w:t>
            </w:r>
          </w:p>
        </w:tc>
        <w:tc>
          <w:tcPr>
            <w:tcW w:type="dxa" w:w="36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Weekly Status Reports</w:t>
            </w:r>
          </w:p>
        </w:tc>
      </w:tr>
      <w:tr>
        <w:tc>
          <w:tcPr>
            <w:tcW w:type="dxa" w:w="1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8</w:t>
            </w:r>
          </w:p>
        </w:tc>
        <w:tc>
          <w:tcPr>
            <w:tcW w:type="dxa" w:w="15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34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Mid-pilot assessment</w:t>
            </w:r>
          </w:p>
        </w:tc>
        <w:tc>
          <w:tcPr>
            <w:tcW w:type="dxa" w:w="36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Continue / Adjust / Abort decision</w:t>
            </w:r>
          </w:p>
        </w:tc>
      </w:tr>
      <w:tr>
        <w:tc>
          <w:tcPr>
            <w:tcW w:type="dxa" w:w="10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9-10</w:t>
            </w:r>
          </w:p>
        </w:tc>
        <w:tc>
          <w:tcPr>
            <w:tcW w:type="dxa" w:w="15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Stage 3</w:t>
            </w:r>
          </w:p>
        </w:tc>
        <w:tc>
          <w:tcPr>
            <w:tcW w:type="dxa" w:w="34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Data collection &amp; analysis</w:t>
            </w:r>
          </w:p>
        </w:tc>
        <w:tc>
          <w:tcPr>
            <w:tcW w:type="dxa" w:w="36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Pilot Results Report</w:t>
            </w:r>
          </w:p>
        </w:tc>
      </w:tr>
      <w:tr>
        <w:tc>
          <w:tcPr>
            <w:tcW w:type="dxa" w:w="1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11</w:t>
            </w:r>
          </w:p>
        </w:tc>
        <w:tc>
          <w:tcPr>
            <w:tcW w:type="dxa" w:w="15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34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Stakeholder review</w:t>
            </w:r>
          </w:p>
        </w:tc>
        <w:tc>
          <w:tcPr>
            <w:tcW w:type="dxa" w:w="36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Evaluation Presentation</w:t>
            </w:r>
          </w:p>
        </w:tc>
      </w:tr>
      <w:tr>
        <w:tc>
          <w:tcPr>
            <w:tcW w:type="dxa" w:w="10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12</w:t>
            </w:r>
          </w:p>
        </w:tc>
        <w:tc>
          <w:tcPr>
            <w:tcW w:type="dxa" w:w="15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34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SCALE DECISION</w:t>
            </w:r>
          </w:p>
        </w:tc>
        <w:tc>
          <w:tcPr>
            <w:tcW w:type="dxa" w:w="36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Scale / Pivot / Stop</w:t>
            </w:r>
          </w:p>
        </w:tc>
      </w:tr>
    </w:tbl>
    <w:p>
      <w:pPr>
        <w:pBdr>
          <w:left w:val="single" w:color="B8862B" w:sz="24" w:space="8"/>
        </w:pBdr>
        <w:shd w:fill="F4EEE1" w:val="clear"/>
        <w:spacing w:after="200" w:before="140"/>
        <w:ind w:left="200"/>
      </w:pPr>
      <w:r>
        <w:rPr>
          <w:i/>
          <w:iCs/>
          <w:color w:val="5A4A1E"/>
          <w:sz w:val="19"/>
          <w:szCs w:val="19"/>
        </w:rPr>
        <w:t xml:space="preserve">Day 90 decision is mandatory. Extensions are governance theater. That line is in the complete workbook verbatim, and it's the entire point of putting a number on the calendar in the first place.</w:t>
      </w:r>
    </w:p>
    <w:p>
      <w:r>
        <w:br w:type="page"/>
      </w:r>
    </w:p>
    <w:p>
      <w:pPr>
        <w:pBdr>
          <w:bottom w:val="single" w:color="B8862B" w:sz="6" w:space="6"/>
        </w:pBdr>
        <w:spacing w:after="60"/>
      </w:pPr>
      <w:r>
        <w:rPr>
          <w:b/>
          <w:bCs/>
          <w:color w:val="1B2A4A"/>
          <w:spacing w:val="20"/>
          <w:sz w:val="16"/>
          <w:szCs w:val="16"/>
        </w:rPr>
        <w:t xml:space="preserve">TOOL 4 OF 4</w:t>
      </w:r>
    </w:p>
    <w:p>
      <w:pPr>
        <w:pStyle w:val="Heading1"/>
        <w:spacing w:after="240" w:before="120"/>
      </w:pPr>
      <w:r>
        <w:rPr>
          <w:b/>
          <w:bCs/>
          <w:color w:val="1B2A4A"/>
          <w:sz w:val="32"/>
          <w:szCs w:val="32"/>
        </w:rPr>
        <w:t xml:space="preserve">The Board Briefing Template</w:t>
      </w:r>
    </w:p>
    <w:p>
      <w:pPr>
        <w:spacing w:after="140" w:line="270"/>
      </w:pPr>
      <w:r>
        <w:rPr>
          <w:b w:val="false"/>
          <w:bCs w:val="false"/>
          <w:i w:val="false"/>
          <w:iCs w:val="false"/>
          <w:color w:val="222222"/>
          <w:sz w:val="20"/>
          <w:szCs w:val="20"/>
        </w:rPr>
        <w:t xml:space="preserve">Use this for the first board update after your pilot launches, and every update after that. One page, every time, so the board sees a trend instead of a story that changes shape each quarter.</w:t>
      </w:r>
    </w:p>
    <w:p>
      <w:pPr>
        <w:spacing w:after="140" w:line="270"/>
      </w:pPr>
      <w:r>
        <w:rPr>
          <w:b/>
          <w:bCs/>
          <w:i w:val="false"/>
          <w:iCs w:val="false"/>
          <w:color w:val="222222"/>
          <w:sz w:val="20"/>
          <w:szCs w:val="20"/>
        </w:rPr>
        <w:t xml:space="preserve">AI Implementation Update — [Date]</w:t>
      </w:r>
    </w:p>
    <w:p>
      <w:pPr>
        <w:spacing w:after="140" w:line="270"/>
      </w:pPr>
      <w:r>
        <w:rPr>
          <w:b/>
          <w:bCs/>
          <w:i w:val="false"/>
          <w:iCs w:val="false"/>
          <w:color w:val="222222"/>
          <w:sz w:val="20"/>
          <w:szCs w:val="20"/>
        </w:rPr>
        <w:t xml:space="preserve">Status: [On Track / At Risk / Off Track / Complete]</w:t>
      </w:r>
    </w:p>
    <w:p>
      <w:pPr>
        <w:pStyle w:val="Heading2"/>
        <w:spacing w:after="100" w:before="260"/>
      </w:pPr>
      <w:r>
        <w:rPr>
          <w:b/>
          <w:bCs/>
          <w:color w:val="B8862B"/>
          <w:sz w:val="21"/>
          <w:szCs w:val="21"/>
        </w:rPr>
        <w:t xml:space="preserve">Key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200"/>
      </w:tblGrid>
      <w:tr>
        <w:trPr>
          <w:tblHeader/>
        </w:trPr>
        <w:tc>
          <w:tcPr>
            <w:tcW w:type="dxa" w:w="2600"/>
            <w:shd w:fill="1B2A4A" w:val="clear"/>
            <w:tcMar>
              <w:top w:type="dxa" w:w="90"/>
              <w:left w:type="dxa" w:w="110"/>
              <w:bottom w:type="dxa" w:w="90"/>
              <w:right w:type="dxa" w:w="110"/>
            </w:tcMar>
            <w:vAlign w:val="center"/>
          </w:tcPr>
          <w:p>
            <w:pPr>
              <w:jc w:val="left"/>
            </w:pPr>
            <w:r>
              <w:rPr>
                <w:b/>
                <w:bCs/>
                <w:color w:val="FFFFFF"/>
                <w:sz w:val="18"/>
                <w:szCs w:val="18"/>
              </w:rPr>
              <w:t xml:space="preserve">Metric</w:t>
            </w:r>
          </w:p>
        </w:tc>
        <w:tc>
          <w:tcPr>
            <w:tcW w:type="dxa" w:w="1900"/>
            <w:shd w:fill="1B2A4A" w:val="clear"/>
            <w:tcMar>
              <w:top w:type="dxa" w:w="90"/>
              <w:left w:type="dxa" w:w="110"/>
              <w:bottom w:type="dxa" w:w="90"/>
              <w:right w:type="dxa" w:w="110"/>
            </w:tcMar>
            <w:vAlign w:val="center"/>
          </w:tcPr>
          <w:p>
            <w:pPr>
              <w:jc w:val="left"/>
            </w:pPr>
            <w:r>
              <w:rPr>
                <w:b/>
                <w:bCs/>
                <w:color w:val="FFFFFF"/>
                <w:sz w:val="18"/>
                <w:szCs w:val="18"/>
              </w:rPr>
              <w:t xml:space="preserve">Baseline</w:t>
            </w:r>
          </w:p>
        </w:tc>
        <w:tc>
          <w:tcPr>
            <w:tcW w:type="dxa" w:w="1900"/>
            <w:shd w:fill="1B2A4A" w:val="clear"/>
            <w:tcMar>
              <w:top w:type="dxa" w:w="90"/>
              <w:left w:type="dxa" w:w="110"/>
              <w:bottom w:type="dxa" w:w="90"/>
              <w:right w:type="dxa" w:w="110"/>
            </w:tcMar>
            <w:vAlign w:val="center"/>
          </w:tcPr>
          <w:p>
            <w:pPr>
              <w:jc w:val="left"/>
            </w:pPr>
            <w:r>
              <w:rPr>
                <w:b/>
                <w:bCs/>
                <w:color w:val="FFFFFF"/>
                <w:sz w:val="18"/>
                <w:szCs w:val="18"/>
              </w:rPr>
              <w:t xml:space="preserve">Current</w:t>
            </w:r>
          </w:p>
        </w:tc>
        <w:tc>
          <w:tcPr>
            <w:tcW w:type="dxa" w:w="1900"/>
            <w:shd w:fill="1B2A4A" w:val="clear"/>
            <w:tcMar>
              <w:top w:type="dxa" w:w="90"/>
              <w:left w:type="dxa" w:w="110"/>
              <w:bottom w:type="dxa" w:w="90"/>
              <w:right w:type="dxa" w:w="110"/>
            </w:tcMar>
            <w:vAlign w:val="center"/>
          </w:tcPr>
          <w:p>
            <w:pPr>
              <w:jc w:val="left"/>
            </w:pPr>
            <w:r>
              <w:rPr>
                <w:b/>
                <w:bCs/>
                <w:color w:val="FFFFFF"/>
                <w:sz w:val="18"/>
                <w:szCs w:val="18"/>
              </w:rPr>
              <w:t xml:space="preserve">Target</w:t>
            </w:r>
          </w:p>
        </w:tc>
        <w:tc>
          <w:tcPr>
            <w:tcW w:type="dxa" w:w="1200"/>
            <w:shd w:fill="1B2A4A" w:val="clear"/>
            <w:tcMar>
              <w:top w:type="dxa" w:w="90"/>
              <w:left w:type="dxa" w:w="110"/>
              <w:bottom w:type="dxa" w:w="90"/>
              <w:right w:type="dxa" w:w="110"/>
            </w:tcMar>
            <w:vAlign w:val="center"/>
          </w:tcPr>
          <w:p>
            <w:pPr>
              <w:jc w:val="left"/>
            </w:pPr>
            <w:r>
              <w:rPr>
                <w:b/>
                <w:bCs/>
                <w:color w:val="FFFFFF"/>
                <w:sz w:val="18"/>
                <w:szCs w:val="18"/>
              </w:rPr>
              <w:t xml:space="preserve">Trend</w:t>
            </w:r>
          </w:p>
        </w:tc>
      </w:tr>
      <w:tr>
        <w:tc>
          <w:tcPr>
            <w:tcW w:type="dxa" w:w="26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2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 →</w:t>
            </w:r>
          </w:p>
        </w:tc>
      </w:tr>
      <w:tr>
        <w:tc>
          <w:tcPr>
            <w:tcW w:type="dxa" w:w="26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9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9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9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2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 →</w:t>
            </w:r>
          </w:p>
        </w:tc>
      </w:tr>
      <w:tr>
        <w:tc>
          <w:tcPr>
            <w:tcW w:type="dxa" w:w="26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c>
          <w:tcPr>
            <w:tcW w:type="dxa" w:w="12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 →</w:t>
            </w:r>
          </w:p>
        </w:tc>
      </w:tr>
    </w:tbl>
    <w:p>
      <w:pPr>
        <w:pStyle w:val="Heading2"/>
        <w:spacing w:after="100" w:before="260"/>
      </w:pPr>
      <w:r>
        <w:rPr>
          <w:b/>
          <w:bCs/>
          <w:color w:val="B8862B"/>
          <w:sz w:val="21"/>
          <w:szCs w:val="21"/>
        </w:rPr>
        <w:t xml:space="preserve">Financial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shd w:fill="1B2A4A" w:val="clear"/>
            <w:tcMar>
              <w:top w:type="dxa" w:w="90"/>
              <w:left w:type="dxa" w:w="110"/>
              <w:bottom w:type="dxa" w:w="90"/>
              <w:right w:type="dxa" w:w="110"/>
            </w:tcMar>
            <w:vAlign w:val="center"/>
          </w:tcPr>
          <w:p>
            <w:pPr>
              <w:jc w:val="left"/>
            </w:pPr>
            <w:r>
              <w:rPr>
                <w:b/>
                <w:bCs/>
                <w:color w:val="FFFFFF"/>
                <w:sz w:val="18"/>
                <w:szCs w:val="18"/>
              </w:rPr>
              <w:t xml:space="preserve">Item</w:t>
            </w:r>
          </w:p>
        </w:tc>
        <w:tc>
          <w:tcPr>
            <w:tcW w:type="dxa" w:w="3000"/>
            <w:shd w:fill="1B2A4A" w:val="clear"/>
            <w:tcMar>
              <w:top w:type="dxa" w:w="90"/>
              <w:left w:type="dxa" w:w="110"/>
              <w:bottom w:type="dxa" w:w="90"/>
              <w:right w:type="dxa" w:w="110"/>
            </w:tcMar>
            <w:vAlign w:val="center"/>
          </w:tcPr>
          <w:p>
            <w:pPr>
              <w:jc w:val="left"/>
            </w:pPr>
            <w:r>
              <w:rPr>
                <w:b/>
                <w:bCs/>
                <w:color w:val="FFFFFF"/>
                <w:sz w:val="18"/>
                <w:szCs w:val="18"/>
              </w:rPr>
              <w:t xml:space="preserve">Amount</w:t>
            </w:r>
          </w:p>
        </w:tc>
      </w:tr>
      <w:tr>
        <w:tc>
          <w:tcPr>
            <w:tcW w:type="dxa" w:w="65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Investment to date</w:t>
            </w:r>
          </w:p>
        </w:tc>
        <w:tc>
          <w:tcPr>
            <w:tcW w:type="dxa" w:w="3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$____</w:t>
            </w:r>
          </w:p>
        </w:tc>
      </w:tr>
      <w:tr>
        <w:tc>
          <w:tcPr>
            <w:tcW w:type="dxa" w:w="65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Benefits realized</w:t>
            </w:r>
          </w:p>
        </w:tc>
        <w:tc>
          <w:tcPr>
            <w:tcW w:type="dxa" w:w="30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$____</w:t>
            </w:r>
          </w:p>
        </w:tc>
      </w:tr>
      <w:tr>
        <w:tc>
          <w:tcPr>
            <w:tcW w:type="dxa" w:w="65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Projected annual ROI</w:t>
            </w:r>
          </w:p>
        </w:tc>
        <w:tc>
          <w:tcPr>
            <w:tcW w:type="dxa" w:w="3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____%</w:t>
            </w:r>
          </w:p>
        </w:tc>
      </w:tr>
      <w:tr>
        <w:tc>
          <w:tcPr>
            <w:tcW w:type="dxa" w:w="65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Budget remaining</w:t>
            </w:r>
          </w:p>
        </w:tc>
        <w:tc>
          <w:tcPr>
            <w:tcW w:type="dxa" w:w="30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$____</w:t>
            </w:r>
          </w:p>
        </w:tc>
      </w:tr>
      <w:tr>
        <w:tc>
          <w:tcPr>
            <w:tcW w:type="dxa" w:w="65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Variance from approved budget</w:t>
            </w:r>
          </w:p>
        </w:tc>
        <w:tc>
          <w:tcPr>
            <w:tcW w:type="dxa" w:w="30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____%</w:t>
            </w:r>
          </w:p>
        </w:tc>
      </w:tr>
    </w:tbl>
    <w:p>
      <w:pPr>
        <w:pStyle w:val="Heading2"/>
        <w:spacing w:after="100" w:before="260"/>
      </w:pPr>
      <w:r>
        <w:rPr>
          <w:b/>
          <w:bCs/>
          <w:color w:val="B8862B"/>
          <w:sz w:val="21"/>
          <w:szCs w:val="21"/>
        </w:rPr>
        <w:t xml:space="preserve">Stakeholder Pulse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800"/>
      </w:tblGrid>
      <w:tr>
        <w:trPr>
          <w:tblHeader/>
        </w:trPr>
        <w:tc>
          <w:tcPr>
            <w:tcW w:type="dxa" w:w="1800"/>
            <w:shd w:fill="1B2A4A" w:val="clear"/>
            <w:tcMar>
              <w:top w:type="dxa" w:w="90"/>
              <w:left w:type="dxa" w:w="110"/>
              <w:bottom w:type="dxa" w:w="90"/>
              <w:right w:type="dxa" w:w="110"/>
            </w:tcMar>
            <w:vAlign w:val="center"/>
          </w:tcPr>
          <w:p>
            <w:pPr>
              <w:jc w:val="left"/>
            </w:pPr>
            <w:r>
              <w:rPr>
                <w:b/>
                <w:bCs/>
                <w:color w:val="FFFFFF"/>
                <w:sz w:val="18"/>
                <w:szCs w:val="18"/>
              </w:rPr>
              <w:t xml:space="preserve">Group</w:t>
            </w:r>
          </w:p>
        </w:tc>
        <w:tc>
          <w:tcPr>
            <w:tcW w:type="dxa" w:w="3900"/>
            <w:shd w:fill="1B2A4A" w:val="clear"/>
            <w:tcMar>
              <w:top w:type="dxa" w:w="90"/>
              <w:left w:type="dxa" w:w="110"/>
              <w:bottom w:type="dxa" w:w="90"/>
              <w:right w:type="dxa" w:w="110"/>
            </w:tcMar>
            <w:vAlign w:val="center"/>
          </w:tcPr>
          <w:p>
            <w:pPr>
              <w:jc w:val="left"/>
            </w:pPr>
            <w:r>
              <w:rPr>
                <w:b/>
                <w:bCs/>
                <w:color w:val="FFFFFF"/>
                <w:sz w:val="18"/>
                <w:szCs w:val="18"/>
              </w:rPr>
              <w:t xml:space="preserve">Sentiment</w:t>
            </w:r>
          </w:p>
        </w:tc>
        <w:tc>
          <w:tcPr>
            <w:tcW w:type="dxa" w:w="3800"/>
            <w:shd w:fill="1B2A4A" w:val="clear"/>
            <w:tcMar>
              <w:top w:type="dxa" w:w="90"/>
              <w:left w:type="dxa" w:w="110"/>
              <w:bottom w:type="dxa" w:w="90"/>
              <w:right w:type="dxa" w:w="110"/>
            </w:tcMar>
            <w:vAlign w:val="center"/>
          </w:tcPr>
          <w:p>
            <w:pPr>
              <w:jc w:val="left"/>
            </w:pPr>
            <w:r>
              <w:rPr>
                <w:b/>
                <w:bCs/>
                <w:color w:val="FFFFFF"/>
                <w:sz w:val="18"/>
                <w:szCs w:val="18"/>
              </w:rPr>
              <w:t xml:space="preserve">Key Feedback</w:t>
            </w:r>
          </w:p>
        </w:tc>
      </w:tr>
      <w:tr>
        <w:tc>
          <w:tcPr>
            <w:tcW w:type="dxa" w:w="18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Staff</w:t>
            </w:r>
          </w:p>
        </w:tc>
        <w:tc>
          <w:tcPr>
            <w:tcW w:type="dxa" w:w="3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Positive ☐ Mixed ☐ Negative</w:t>
            </w:r>
          </w:p>
        </w:tc>
        <w:tc>
          <w:tcPr>
            <w:tcW w:type="dxa" w:w="38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r>
      <w:tr>
        <w:tc>
          <w:tcPr>
            <w:tcW w:type="dxa" w:w="18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Residents</w:t>
            </w:r>
          </w:p>
        </w:tc>
        <w:tc>
          <w:tcPr>
            <w:tcW w:type="dxa" w:w="39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Positive ☐ Mixed ☐ Negative</w:t>
            </w:r>
          </w:p>
        </w:tc>
        <w:tc>
          <w:tcPr>
            <w:tcW w:type="dxa" w:w="3800"/>
            <w:shd w:fill="F2F2F2" w:val="clear"/>
            <w:tcMar>
              <w:top w:type="dxa" w:w="90"/>
              <w:left w:type="dxa" w:w="110"/>
              <w:bottom w:type="dxa" w:w="90"/>
              <w:right w:type="dxa" w:w="110"/>
            </w:tcMar>
            <w:vAlign w:val="center"/>
          </w:tcPr>
          <w:p>
            <w:pPr>
              <w:jc w:val="left"/>
            </w:pPr>
            <w:r>
              <w:rPr>
                <w:b w:val="false"/>
                <w:bCs w:val="false"/>
                <w:color w:val="222222"/>
                <w:sz w:val="18"/>
                <w:szCs w:val="18"/>
              </w:rPr>
              <w:t xml:space="preserve"/>
            </w:r>
          </w:p>
        </w:tc>
      </w:tr>
      <w:tr>
        <w:tc>
          <w:tcPr>
            <w:tcW w:type="dxa" w:w="18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Families</w:t>
            </w:r>
          </w:p>
        </w:tc>
        <w:tc>
          <w:tcPr>
            <w:tcW w:type="dxa" w:w="39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Positive ☐ Mixed ☐ Negative</w:t>
            </w:r>
          </w:p>
        </w:tc>
        <w:tc>
          <w:tcPr>
            <w:tcW w:type="dxa" w:w="3800"/>
            <w:shd w:fill="FFFFFF" w:val="clear"/>
            <w:tcMar>
              <w:top w:type="dxa" w:w="90"/>
              <w:left w:type="dxa" w:w="110"/>
              <w:bottom w:type="dxa" w:w="90"/>
              <w:right w:type="dxa" w:w="110"/>
            </w:tcMar>
            <w:vAlign w:val="center"/>
          </w:tcPr>
          <w:p>
            <w:pPr>
              <w:jc w:val="left"/>
            </w:pPr>
            <w:r>
              <w:rPr>
                <w:b w:val="false"/>
                <w:bCs w:val="false"/>
                <w:color w:val="222222"/>
                <w:sz w:val="18"/>
                <w:szCs w:val="18"/>
              </w:rPr>
              <w:t xml:space="preserve"/>
            </w:r>
          </w:p>
        </w:tc>
      </w:tr>
    </w:tbl>
    <w:p>
      <w:pPr>
        <w:pStyle w:val="Heading2"/>
        <w:spacing w:after="100" w:before="260"/>
      </w:pPr>
      <w:r>
        <w:rPr>
          <w:b/>
          <w:bCs/>
          <w:color w:val="B8862B"/>
          <w:sz w:val="21"/>
          <w:szCs w:val="21"/>
        </w:rPr>
        <w:t xml:space="preserve">Compliance Status</w:t>
      </w:r>
    </w:p>
    <w:p>
      <w:pPr>
        <w:spacing w:after="90"/>
        <w:ind w:left="360"/>
      </w:pPr>
      <w:r>
        <w:rPr>
          <w:sz w:val="20"/>
          <w:szCs w:val="20"/>
        </w:rPr>
        <w:t xml:space="preserve">☐  Federal (HIPAA/FDA/CMS): Compliant   ☐ Issues identified</w:t>
      </w:r>
    </w:p>
    <w:p>
      <w:pPr>
        <w:spacing w:after="90"/>
        <w:ind w:left="360"/>
      </w:pPr>
      <w:r>
        <w:rPr>
          <w:sz w:val="20"/>
          <w:szCs w:val="20"/>
        </w:rPr>
        <w:t xml:space="preserve">☐  State: Compliant   ☐ Issues identified</w:t>
      </w:r>
    </w:p>
    <w:p>
      <w:pPr>
        <w:spacing w:after="90"/>
        <w:ind w:left="360"/>
      </w:pPr>
      <w:r>
        <w:rPr>
          <w:sz w:val="20"/>
          <w:szCs w:val="20"/>
        </w:rPr>
        <w:t xml:space="preserve">☐  BAA status: Current   ☐ Needs renewal</w:t>
      </w:r>
    </w:p>
    <w:p>
      <w:pPr>
        <w:pStyle w:val="Heading2"/>
        <w:spacing w:after="100" w:before="260"/>
      </w:pPr>
      <w:r>
        <w:rPr>
          <w:b/>
          <w:bCs/>
          <w:color w:val="B8862B"/>
          <w:sz w:val="21"/>
          <w:szCs w:val="21"/>
        </w:rPr>
        <w:t xml:space="preserve">Decision Required</w:t>
      </w:r>
    </w:p>
    <w:p>
      <w:pPr>
        <w:spacing w:after="160"/>
      </w:pPr>
      <w:r>
        <w:rPr>
          <w:b/>
          <w:bCs/>
          <w:sz w:val="20"/>
          <w:szCs w:val="20"/>
        </w:rPr>
        <w:t xml:space="preserve">: </w:t>
      </w:r>
      <w:r>
        <w:rPr>
          <w:sz w:val="20"/>
          <w:szCs w:val="20"/>
        </w:rPr>
        <w:t xml:space="preserve">____________________________________________________</w:t>
      </w:r>
    </w:p>
    <w:p>
      <w:pPr>
        <w:pStyle w:val="Heading2"/>
        <w:spacing w:after="100" w:before="260"/>
      </w:pPr>
      <w:r>
        <w:rPr>
          <w:b/>
          <w:bCs/>
          <w:color w:val="B8862B"/>
          <w:sz w:val="21"/>
          <w:szCs w:val="21"/>
        </w:rPr>
        <w:t xml:space="preserve">Recommendation</w:t>
      </w:r>
    </w:p>
    <w:p>
      <w:pPr>
        <w:spacing w:after="160"/>
      </w:pPr>
      <w:r>
        <w:rPr>
          <w:b/>
          <w:bCs/>
          <w:sz w:val="20"/>
          <w:szCs w:val="20"/>
        </w:rPr>
        <w:t xml:space="preserve">: </w:t>
      </w:r>
      <w:r>
        <w:rPr>
          <w:sz w:val="20"/>
          <w:szCs w:val="20"/>
        </w:rPr>
        <w:t xml:space="preserve">____________________________________________________</w:t>
      </w:r>
    </w:p>
    <w:p>
      <w:r>
        <w:br w:type="page"/>
      </w:r>
    </w:p>
    <w:p>
      <w:pPr>
        <w:pBdr>
          <w:bottom w:val="single" w:color="B8862B" w:sz="6" w:space="6"/>
        </w:pBdr>
        <w:spacing w:after="60"/>
      </w:pPr>
      <w:r>
        <w:rPr>
          <w:b/>
          <w:bCs/>
          <w:color w:val="1B2A4A"/>
          <w:spacing w:val="20"/>
          <w:sz w:val="16"/>
          <w:szCs w:val="16"/>
        </w:rPr>
        <w:t xml:space="preserve">YOU'VE SEEN FOUR. THERE ARE SIXTY MORE.</w:t>
      </w:r>
    </w:p>
    <w:p>
      <w:pPr>
        <w:pStyle w:val="Heading1"/>
        <w:spacing w:after="240" w:before="120"/>
      </w:pPr>
      <w:r>
        <w:rPr>
          <w:b/>
          <w:bCs/>
          <w:color w:val="1B2A4A"/>
          <w:sz w:val="32"/>
          <w:szCs w:val="32"/>
        </w:rPr>
        <w:t xml:space="preserve">What's in the Complete Workbook</w:t>
      </w:r>
    </w:p>
    <w:p>
      <w:pPr>
        <w:spacing w:after="140" w:line="270"/>
      </w:pPr>
      <w:r>
        <w:rPr>
          <w:b w:val="false"/>
          <w:bCs w:val="false"/>
          <w:i w:val="false"/>
          <w:iCs w:val="false"/>
          <w:color w:val="222222"/>
          <w:sz w:val="20"/>
          <w:szCs w:val="20"/>
        </w:rPr>
        <w:t xml:space="preserve">These four tools came from a companion workbook with twelve sections: vendor evaluation matrices for skilled nursing, assisted living, memory care, independent living, and home care; five ROI calculators, including the cost of not deploying AI at all; a full data quality assessment; a state-by-state regulatory compliance map; nine stakeholder communication templates, including the staff fear-response guide and the family FAQ; and complete incident response and trust recovery protocols.</w:t>
      </w:r>
    </w:p>
    <w:p>
      <w:pPr>
        <w:spacing w:after="140" w:line="270"/>
      </w:pPr>
      <w:r>
        <w:rPr>
          <w:b w:val="false"/>
          <w:bCs w:val="false"/>
          <w:i w:val="false"/>
          <w:iCs w:val="false"/>
          <w:color w:val="222222"/>
          <w:sz w:val="20"/>
          <w:szCs w:val="20"/>
        </w:rPr>
        <w:t xml:space="preserve">It's the operational half of Senior Housing: The AI Gap, From Governance Theater to Deployment in 90 Days, built so a governance committee can run the entire 90-day sprint from the book and the workbook alone, no consultant required to get started.</w:t>
      </w:r>
    </w:p>
    <w:p>
      <w:pPr>
        <w:pBdr>
          <w:left w:val="single" w:color="B8862B" w:sz="24" w:space="8"/>
        </w:pBdr>
        <w:shd w:fill="F4EEE1" w:val="clear"/>
        <w:spacing w:after="200" w:before="140"/>
        <w:ind w:left="200"/>
      </w:pPr>
      <w:r>
        <w:rPr>
          <w:i/>
          <w:iCs/>
          <w:color w:val="5A4A1E"/>
          <w:sz w:val="19"/>
          <w:szCs w:val="19"/>
        </w:rPr>
        <w:t xml:space="preserve">If your committee gets through these four tools and finds itself with more questions than the workbook answers, that's usually the moment a facility is ready for a direct conversation, not another document. I call that conversation the Second Ledger: a plain look at whether your organization's culture and behavior, not just your technology stack, is what your next loss run is going to reflect. If that's where you are, reach out directly.</w:t>
      </w:r>
    </w:p>
    <w:p>
      <w:pPr>
        <w:spacing w:after="80" w:before="300"/>
      </w:pPr>
      <w:r>
        <w:rPr>
          <w:b/>
          <w:bCs/>
          <w:color w:val="1B2A4A"/>
          <w:sz w:val="22"/>
          <w:szCs w:val="22"/>
        </w:rPr>
        <w:t xml:space="preserve">Ken Leatherman</w:t>
      </w:r>
    </w:p>
    <w:p>
      <w:pPr>
        <w:spacing w:after="40"/>
      </w:pPr>
      <w:r>
        <w:rPr>
          <w:color w:val="444444"/>
          <w:sz w:val="18"/>
          <w:szCs w:val="18"/>
        </w:rPr>
        <w:t xml:space="preserve">ken_leatherman@ajg.com   ·   kenleatherman.com   ·   linkedin.com/in/kenleatherman</w:t>
      </w:r>
    </w:p>
    <w:p>
      <w:pPr>
        <w:spacing w:after="300"/>
      </w:pPr>
      <w:r>
        <w:rPr>
          <w:i/>
          <w:iCs/>
          <w:color w:val="777777"/>
          <w:sz w:val="16"/>
          <w:szCs w:val="16"/>
        </w:rPr>
        <w:t xml:space="preserve">Senior Vice President, Gallagher. Author, Senior Housing: The AI Gap. Founder, Leadership in Tough Times.</w:t>
      </w:r>
    </w:p>
    <w:p>
      <w:pPr>
        <w:spacing w:after="140" w:line="270"/>
      </w:pPr>
      <w:r>
        <w:rPr>
          <w:b w:val="false"/>
          <w:bCs w:val="false"/>
          <w:i w:val="false"/>
          <w:iCs w:val="false"/>
          <w:color w:val="222222"/>
          <w:sz w:val="20"/>
          <w:szCs w:val="20"/>
        </w:rPr>
        <w:t xml:space="preserve">📖 Get the complete book and workbook bundle: [Amazon link]</w:t>
      </w:r>
    </w:p>
    <w:p>
      <w:pPr>
        <w:spacing w:after="140" w:line="270"/>
      </w:pPr>
      <w:r>
        <w:rPr>
          <w:b w:val="false"/>
          <w:bCs w:val="false"/>
          <w:i w:val="false"/>
          <w:iCs w:val="false"/>
          <w:color w:val="222222"/>
          <w:sz w:val="20"/>
          <w:szCs w:val="20"/>
        </w:rPr>
        <w:t xml:space="preserve">📅 Book time to talk about your organization's readiness: [scheduling link]</w:t>
      </w:r>
    </w:p>
    <w:p>
      <w:pPr>
        <w:spacing w:after="140" w:line="270"/>
      </w:pPr>
      <w:r>
        <w:rPr>
          <w:b w:val="false"/>
          <w:bCs w:val="false"/>
          <w:i w:val="false"/>
          <w:iCs w:val="false"/>
          <w:color w:val="222222"/>
          <w:sz w:val="20"/>
          <w:szCs w:val="20"/>
        </w:rPr>
        <w:t xml:space="preserve">🎙️ Subscribe to the Leadership in Tough Times briefing: leadershipintoughtimes.com</w:t>
      </w:r>
    </w:p>
    <w:p>
      <w:pPr>
        <w:spacing w:before="400"/>
      </w:pPr>
    </w:p>
    <w:p>
      <w:pPr>
        <w:pBdr>
          <w:top w:val="single" w:color="B8862B" w:sz="4" w:space="6"/>
        </w:pBdr>
        <w:spacing w:before="200"/>
        <w:jc w:val="center"/>
      </w:pPr>
      <w:r>
        <w:rPr>
          <w:i/>
          <w:iCs/>
          <w:color w:val="8A8A8A"/>
          <w:sz w:val="15"/>
          <w:szCs w:val="15"/>
        </w:rPr>
        <w:t xml:space="preserve">Leadership in Tough Times  •  Senior Housing: The AI Gap — Starter Packet  •  Storify Studios</w:t>
      </w:r>
    </w:p>
    <w:sectPr>
      <w:pgSz w:w="12240" w:h="15840" w:orient="portrait"/>
      <w:pgMar w:top="10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2026-07-31T19:38:09.147Z</dcterms:created>
  <dcterms:modified xsi:type="dcterms:W3CDTF">2026-07-31T19:38:09.147Z</dcterms:modified>
</cp:coreProperties>
</file>

<file path=docProps/custom.xml><?xml version="1.0" encoding="utf-8"?>
<Properties xmlns="http://schemas.openxmlformats.org/officeDocument/2006/custom-properties" xmlns:vt="http://schemas.openxmlformats.org/officeDocument/2006/docPropsVTypes"/>
</file>