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脱敏公司合并资产负债表</w:t>
      </w:r>
    </w:p>
    <w:p>
      <w:r>
        <w:t>2025年12月31日  单位：万元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期末余额</w:t>
            </w:r>
          </w:p>
        </w:tc>
      </w:tr>
      <w:tr>
        <w:tc>
          <w:tcPr>
            <w:tcW w:type="dxa" w:w="4320"/>
          </w:tcPr>
          <w:p>
            <w:r>
              <w:t>货币资金</w:t>
            </w:r>
          </w:p>
        </w:tc>
        <w:tc>
          <w:tcPr>
            <w:tcW w:type="dxa" w:w="4320"/>
          </w:tcPr>
          <w:p>
            <w:r>
              <w:t>1,234.50</w:t>
            </w:r>
          </w:p>
        </w:tc>
      </w:tr>
      <w:tr>
        <w:tc>
          <w:tcPr>
            <w:tcW w:type="dxa" w:w="4320"/>
          </w:tcPr>
          <w:p>
            <w:r>
              <w:t>资产总额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负债合计</w:t>
            </w:r>
          </w:p>
        </w:tc>
        <w:tc>
          <w:tcPr>
            <w:tcW w:type="dxa" w:w="4320"/>
          </w:tcPr>
          <w:p>
            <w:r>
              <w:t>6,000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