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0B2545"/>
          <w:sz w:val="40"/>
          <w:szCs w:val="40"/>
        </w:rPr>
        <w:t xml:space="preserve">Team Project — Applications of AI in Supply Chain Management</w:t>
      </w:r>
    </w:p>
    <w:p>
      <w:pPr>
        <w:spacing w:after="60"/>
      </w:pPr>
      <w:r>
        <w:rPr>
          <w:rFonts w:ascii="Calibri" w:cs="Calibri" w:eastAsia="Calibri" w:hAnsi="Calibri"/>
          <w:b/>
          <w:bCs/>
          <w:color w:val="0E7C86"/>
          <w:sz w:val="24"/>
          <w:szCs w:val="24"/>
        </w:rPr>
        <w:t xml:space="preserve">ME3297 · Major assignment (Bài tập lớn) · 30% of the course mark</w:t>
      </w:r>
    </w:p>
    <w:p>
      <w:pPr>
        <w:pBdr>
          <w:bottom w:val="single" w:color="0E7C86" w:sz="8" w:space="8"/>
        </w:pBdr>
        <w:spacing w:after="240"/>
      </w:pPr>
      <w:r>
        <w:rPr>
          <w:rFonts w:ascii="Calibri" w:cs="Calibri" w:eastAsia="Calibri" w:hAnsi="Calibri"/>
          <w:color w:val="5B6B7B"/>
          <w:sz w:val="18"/>
          <w:szCs w:val="18"/>
        </w:rPr>
        <w:t xml:space="preserve">Ho Chi Minh City University of Technology (HCMUT) · School of Industrial Management · Course code DCMH.ME3297.4.1 · Semester HK261</w:t>
      </w:r>
    </w:p>
    <w:p>
      <w:pPr>
        <w:pStyle w:val="Heading1"/>
        <w:spacing w:after="120" w:before="320"/>
      </w:pPr>
      <w:r>
        <w:rPr>
          <w:rFonts w:ascii="Cambria" w:cs="Cambria" w:eastAsia="Cambria" w:hAnsi="Cambria"/>
          <w:b/>
          <w:bCs/>
          <w:color w:val="0B2545"/>
          <w:sz w:val="28"/>
          <w:szCs w:val="28"/>
        </w:rPr>
        <w:t xml:space="preserve">1.  What this project is</w:t>
      </w:r>
    </w:p>
    <w:p>
      <w:pPr>
        <w:spacing w:after="120" w:line="280"/>
        <w:jc w:val="both"/>
      </w:pPr>
      <w:r>
        <w:rPr>
          <w:rFonts w:ascii="Calibri" w:cs="Calibri" w:eastAsia="Calibri" w:hAnsi="Calibri"/>
          <w:color w:val="1B2A3A"/>
          <w:sz w:val="20"/>
          <w:szCs w:val="20"/>
        </w:rPr>
        <w:t xml:space="preserve">Each team takes one </w:t>
      </w:r>
      <w:r>
        <w:rPr>
          <w:rFonts w:ascii="Calibri" w:cs="Calibri" w:eastAsia="Calibri" w:hAnsi="Calibri"/>
          <w:b/>
          <w:bCs/>
          <w:color w:val="1B2A3A"/>
          <w:sz w:val="20"/>
          <w:szCs w:val="20"/>
        </w:rPr>
        <w:t xml:space="preserve">real, public supply-chain dataset</w:t>
      </w:r>
      <w:r>
        <w:rPr>
          <w:rFonts w:ascii="Calibri" w:cs="Calibri" w:eastAsia="Calibri" w:hAnsi="Calibri"/>
          <w:color w:val="1B2A3A"/>
          <w:sz w:val="20"/>
          <w:szCs w:val="20"/>
        </w:rPr>
        <w:t xml:space="preserve">, frames one </w:t>
      </w:r>
      <w:r>
        <w:rPr>
          <w:rFonts w:ascii="Calibri" w:cs="Calibri" w:eastAsia="Calibri" w:hAnsi="Calibri"/>
          <w:b/>
          <w:bCs/>
          <w:color w:val="1B2A3A"/>
          <w:sz w:val="20"/>
          <w:szCs w:val="20"/>
        </w:rPr>
        <w:t xml:space="preserve">operational decision</w:t>
      </w:r>
      <w:r>
        <w:rPr>
          <w:rFonts w:ascii="Calibri" w:cs="Calibri" w:eastAsia="Calibri" w:hAnsi="Calibri"/>
          <w:color w:val="1B2A3A"/>
          <w:sz w:val="20"/>
          <w:szCs w:val="20"/>
        </w:rPr>
        <w:t xml:space="preserve"> that the data could support, and then builds, compares and interprets machine-learning models that inform that decision.</w:t>
      </w:r>
    </w:p>
    <w:p>
      <w:pPr>
        <w:spacing w:after="120" w:line="280"/>
        <w:jc w:val="both"/>
      </w:pPr>
      <w:r>
        <w:rPr>
          <w:rFonts w:ascii="Calibri" w:cs="Calibri" w:eastAsia="Calibri" w:hAnsi="Calibri"/>
          <w:color w:val="1B2A3A"/>
          <w:sz w:val="20"/>
          <w:szCs w:val="20"/>
        </w:rPr>
        <w:t xml:space="preserve">The output is not a model with a high score. It is a defensible recommendation to a supply-chain manager, supported by evidence and honest about its limits. A team that reports 0.94 accuracy and says nothing about what the company should do has not finished the project.</w:t>
      </w:r>
    </w:p>
    <w:p>
      <w:pPr>
        <w:spacing w:after="120" w:line="280"/>
        <w:jc w:val="both"/>
      </w:pPr>
      <w:r>
        <w:rPr>
          <w:rFonts w:ascii="Calibri" w:cs="Calibri" w:eastAsia="Calibri" w:hAnsi="Calibri"/>
          <w:color w:val="1B2A3A"/>
          <w:sz w:val="20"/>
          <w:szCs w:val="20"/>
        </w:rPr>
        <w:t xml:space="preserve">The project is worth </w:t>
      </w:r>
      <w:r>
        <w:rPr>
          <w:rFonts w:ascii="Calibri" w:cs="Calibri" w:eastAsia="Calibri" w:hAnsi="Calibri"/>
          <w:b/>
          <w:bCs/>
          <w:color w:val="1B2A3A"/>
          <w:sz w:val="20"/>
          <w:szCs w:val="20"/>
        </w:rPr>
        <w:t xml:space="preserve">30% of the course mark</w:t>
      </w:r>
      <w:r>
        <w:rPr>
          <w:rFonts w:ascii="Calibri" w:cs="Calibri" w:eastAsia="Calibri" w:hAnsi="Calibri"/>
          <w:color w:val="1B2A3A"/>
          <w:sz w:val="20"/>
          <w:szCs w:val="20"/>
        </w:rPr>
        <w:t xml:space="preserve"> and is budgeted at </w:t>
      </w:r>
      <w:r>
        <w:rPr>
          <w:rFonts w:ascii="Calibri" w:cs="Calibri" w:eastAsia="Calibri" w:hAnsi="Calibri"/>
          <w:b/>
          <w:bCs/>
          <w:color w:val="1B2A3A"/>
          <w:sz w:val="20"/>
          <w:szCs w:val="20"/>
        </w:rPr>
        <w:t xml:space="preserve">45 hours per student</w:t>
      </w:r>
      <w:r>
        <w:rPr>
          <w:rFonts w:ascii="Calibri" w:cs="Calibri" w:eastAsia="Calibri" w:hAnsi="Calibri"/>
          <w:color w:val="1B2A3A"/>
          <w:sz w:val="20"/>
          <w:szCs w:val="20"/>
        </w:rPr>
        <w:t xml:space="preserve">, which is the major-assignment allocation in the course syllabus.</w:t>
      </w:r>
    </w:p>
    <w:p>
      <w:pPr>
        <w:pBdr>
          <w:top w:val="single" w:color="FBEFE0" w:sz="2" w:space="8"/>
          <w:bottom w:val="single" w:color="FBEFE0" w:sz="2" w:space="8"/>
          <w:left w:val="single" w:color="E08A2B" w:sz="18" w:space="10"/>
          <w:right w:val="single" w:color="FBEFE0" w:sz="2" w:space="8"/>
        </w:pBdr>
        <w:shd w:fill="FBEFE0" w:color="auto" w:val="clear"/>
        <w:spacing w:after="160" w:before="120" w:line="280"/>
      </w:pPr>
      <w:r>
        <w:rPr>
          <w:rFonts w:ascii="Calibri" w:cs="Calibri" w:eastAsia="Calibri" w:hAnsi="Calibri"/>
          <w:b/>
          <w:bCs/>
          <w:color w:val="1B2A3A"/>
          <w:sz w:val="19"/>
          <w:szCs w:val="19"/>
        </w:rPr>
        <w:t xml:space="preserve">Real data only.</w:t>
      </w:r>
      <w:r>
        <w:rPr>
          <w:rFonts w:ascii="Calibri" w:cs="Calibri" w:eastAsia="Calibri" w:hAnsi="Calibri"/>
          <w:color w:val="1B2A3A"/>
          <w:sz w:val="19"/>
          <w:szCs w:val="19"/>
        </w:rPr>
        <w:t xml:space="preserve"> Simulated data, data generated by an LLM, and textbook toy sets do not satisfy this assignment, however realistic they look. Real data is messy on purpose: dealing with that mess is most of what is being assessed.</w:t>
      </w:r>
    </w:p>
    <w:p>
      <w:pPr>
        <w:pStyle w:val="Heading1"/>
        <w:spacing w:after="120" w:before="320"/>
      </w:pPr>
      <w:r>
        <w:rPr>
          <w:rFonts w:ascii="Cambria" w:cs="Cambria" w:eastAsia="Cambria" w:hAnsi="Cambria"/>
          <w:b/>
          <w:bCs/>
          <w:color w:val="0B2545"/>
          <w:sz w:val="28"/>
          <w:szCs w:val="28"/>
        </w:rPr>
        <w:t xml:space="preserve">2.  Learning outcomes assessed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5068"/>
        <w:gridCol w:w="3119"/>
      </w:tblGrid>
      <w:tr>
        <w:trPr>
          <w:cantSplit/>
          <w:tblHeader/>
        </w:trPr>
        <w:tc>
          <w:tcPr>
            <w:tcW w:type="dxa" w:w="1559"/>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L.O.</w:t>
            </w:r>
          </w:p>
        </w:tc>
        <w:tc>
          <w:tcPr>
            <w:tcW w:type="dxa" w:w="5068"/>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Outcome</w:t>
            </w:r>
          </w:p>
        </w:tc>
        <w:tc>
          <w:tcPr>
            <w:tcW w:type="dxa" w:w="3119"/>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Where it is assessed</w:t>
            </w:r>
          </w:p>
        </w:tc>
      </w:tr>
      <w:tr>
        <w:trPr>
          <w:cantSplit/>
        </w:trPr>
        <w:tc>
          <w:tcPr>
            <w:tcW w:type="dxa" w:w="155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3.1 · 3.3</w:t>
            </w:r>
          </w:p>
        </w:tc>
        <w:tc>
          <w:tcPr>
            <w:tcW w:type="dxa" w:w="5068"/>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Understand and introduce data; analyse and define system requirements</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Proposal; report §3–4</w:t>
            </w:r>
          </w:p>
        </w:tc>
      </w:tr>
      <w:tr>
        <w:trPr>
          <w:cantSplit/>
        </w:trPr>
        <w:tc>
          <w:tcPr>
            <w:tcW w:type="dxa" w:w="155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3.2 · 3.4</w:t>
            </w:r>
          </w:p>
        </w:tc>
        <w:tc>
          <w:tcPr>
            <w:tcW w:type="dxa" w:w="5068"/>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Build the design process; build basic data-analysis and AI models</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Midterm presentation; report §5–6</w:t>
            </w:r>
          </w:p>
        </w:tc>
      </w:tr>
      <w:tr>
        <w:trPr>
          <w:cantSplit/>
        </w:trPr>
        <w:tc>
          <w:tcPr>
            <w:tcW w:type="dxa" w:w="155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4.2 · 4.3</w:t>
            </w:r>
          </w:p>
        </w:tc>
        <w:tc>
          <w:tcPr>
            <w:tcW w:type="dxa" w:w="5068"/>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Define information and data requirements; collect and process data</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Report §4–5</w:t>
            </w:r>
          </w:p>
        </w:tc>
      </w:tr>
      <w:tr>
        <w:trPr>
          <w:cantSplit/>
        </w:trPr>
        <w:tc>
          <w:tcPr>
            <w:tcW w:type="dxa" w:w="155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4.4 · 4.5</w:t>
            </w:r>
          </w:p>
        </w:tc>
        <w:tc>
          <w:tcPr>
            <w:tcW w:type="dxa" w:w="5068"/>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Build logical models of the data; develop and compare advanced models</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Report §6–8</w:t>
            </w:r>
          </w:p>
        </w:tc>
      </w:tr>
      <w:tr>
        <w:trPr>
          <w:cantSplit/>
        </w:trPr>
        <w:tc>
          <w:tcPr>
            <w:tcW w:type="dxa" w:w="155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5.1</w:t>
            </w:r>
          </w:p>
        </w:tc>
        <w:tc>
          <w:tcPr>
            <w:tcW w:type="dxa" w:w="5068"/>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Find and use software</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Code submission</w:t>
            </w:r>
          </w:p>
        </w:tc>
      </w:tr>
      <w:tr>
        <w:trPr>
          <w:cantSplit/>
        </w:trPr>
        <w:tc>
          <w:tcPr>
            <w:tcW w:type="dxa" w:w="155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5.2</w:t>
            </w:r>
          </w:p>
        </w:tc>
        <w:tc>
          <w:tcPr>
            <w:tcW w:type="dxa" w:w="5068"/>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Teamwork</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Both presentations; contribution table</w:t>
            </w:r>
          </w:p>
        </w:tc>
      </w:tr>
      <w:tr>
        <w:trPr>
          <w:cantSplit/>
        </w:trPr>
        <w:tc>
          <w:tcPr>
            <w:tcW w:type="dxa" w:w="155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5.4</w:t>
            </w:r>
          </w:p>
        </w:tc>
        <w:tc>
          <w:tcPr>
            <w:tcW w:type="dxa" w:w="5068"/>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Presentation skills</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Midterm and final presentations</w:t>
            </w:r>
          </w:p>
        </w:tc>
      </w:tr>
    </w:tbl>
    <w:p>
      <w:pPr>
        <w:spacing w:after="160"/>
      </w:pPr>
      <w:r>
        <w:rPr>
          <w:sz w:val="10"/>
          <w:szCs w:val="10"/>
        </w:rPr>
        <w:t xml:space="preserve"/>
      </w:r>
    </w:p>
    <w:p>
      <w:pPr>
        <w:pStyle w:val="Heading1"/>
        <w:spacing w:after="120" w:before="320"/>
      </w:pPr>
      <w:r>
        <w:rPr>
          <w:rFonts w:ascii="Cambria" w:cs="Cambria" w:eastAsia="Cambria" w:hAnsi="Cambria"/>
          <w:b/>
          <w:bCs/>
          <w:color w:val="0B2545"/>
          <w:sz w:val="28"/>
          <w:szCs w:val="28"/>
        </w:rPr>
        <w:t xml:space="preserve">3.  Teams</w:t>
      </w:r>
    </w:p>
    <w:p>
      <w:pPr>
        <w:pStyle w:val="ListParagraph"/>
        <w:numPr>
          <w:ilvl w:val="0"/>
          <w:numId w:val="1"/>
        </w:numPr>
        <w:spacing w:after="70" w:line="280"/>
      </w:pPr>
      <w:r>
        <w:rPr>
          <w:rFonts w:ascii="Calibri" w:cs="Calibri" w:eastAsia="Calibri" w:hAnsi="Calibri"/>
          <w:b/>
          <w:bCs/>
          <w:color w:val="1B2A3A"/>
          <w:sz w:val="20"/>
          <w:szCs w:val="20"/>
        </w:rPr>
        <w:t xml:space="preserve">4–5 students per team.</w:t>
      </w:r>
      <w:r>
        <w:rPr>
          <w:rFonts w:ascii="Calibri" w:cs="Calibri" w:eastAsia="Calibri" w:hAnsi="Calibri"/>
          <w:color w:val="1B2A3A"/>
          <w:sz w:val="20"/>
          <w:szCs w:val="20"/>
        </w:rPr>
        <w:t xml:space="preserve"> Teams register on BKEL by the end of Week 3.</w:t>
      </w:r>
    </w:p>
    <w:p>
      <w:pPr>
        <w:pStyle w:val="ListParagraph"/>
        <w:numPr>
          <w:ilvl w:val="0"/>
          <w:numId w:val="1"/>
        </w:numPr>
        <w:spacing w:after="70" w:line="280"/>
      </w:pPr>
      <w:r>
        <w:rPr>
          <w:rFonts w:ascii="Calibri" w:cs="Calibri" w:eastAsia="Calibri" w:hAnsi="Calibri"/>
          <w:b/>
          <w:bCs/>
          <w:color w:val="1B2A3A"/>
          <w:sz w:val="20"/>
          <w:szCs w:val="20"/>
        </w:rPr>
        <w:t xml:space="preserve">One mark for the whole team.</w:t>
      </w:r>
      <w:r>
        <w:rPr>
          <w:rFonts w:ascii="Calibri" w:cs="Calibri" w:eastAsia="Calibri" w:hAnsi="Calibri"/>
          <w:color w:val="1B2A3A"/>
          <w:sz w:val="20"/>
          <w:szCs w:val="20"/>
        </w:rPr>
        <w:t xml:space="preserve"> Every member of a team receives the same project score.</w:t>
      </w:r>
    </w:p>
    <w:p>
      <w:pPr>
        <w:pStyle w:val="ListParagraph"/>
        <w:numPr>
          <w:ilvl w:val="0"/>
          <w:numId w:val="1"/>
        </w:numPr>
        <w:spacing w:after="70" w:line="280"/>
      </w:pPr>
      <w:r>
        <w:rPr>
          <w:rFonts w:ascii="Calibri" w:cs="Calibri" w:eastAsia="Calibri" w:hAnsi="Calibri"/>
          <w:color w:val="1B2A3A"/>
          <w:sz w:val="20"/>
          <w:szCs w:val="20"/>
        </w:rPr>
        <w:t xml:space="preserve">Every report contains a short </w:t>
      </w:r>
      <w:r>
        <w:rPr>
          <w:rFonts w:ascii="Calibri" w:cs="Calibri" w:eastAsia="Calibri" w:hAnsi="Calibri"/>
          <w:b/>
          <w:bCs/>
          <w:color w:val="1B2A3A"/>
          <w:sz w:val="20"/>
          <w:szCs w:val="20"/>
        </w:rPr>
        <w:t xml:space="preserve">contribution table</w:t>
      </w:r>
      <w:r>
        <w:rPr>
          <w:rFonts w:ascii="Calibri" w:cs="Calibri" w:eastAsia="Calibri" w:hAnsi="Calibri"/>
          <w:color w:val="1B2A3A"/>
          <w:sz w:val="20"/>
          <w:szCs w:val="20"/>
        </w:rPr>
        <w:t xml:space="preserve"> naming which member led which part of the work. It is for the record and for the oral questioning, not for weighting the mark.</w:t>
      </w:r>
    </w:p>
    <w:p>
      <w:pPr>
        <w:pStyle w:val="ListParagraph"/>
        <w:numPr>
          <w:ilvl w:val="0"/>
          <w:numId w:val="1"/>
        </w:numPr>
        <w:spacing w:after="70" w:line="280"/>
      </w:pPr>
      <w:r>
        <w:rPr>
          <w:rFonts w:ascii="Calibri" w:cs="Calibri" w:eastAsia="Calibri" w:hAnsi="Calibri"/>
          <w:color w:val="1B2A3A"/>
          <w:sz w:val="20"/>
          <w:szCs w:val="20"/>
        </w:rPr>
        <w:t xml:space="preserve">Team membership is fixed after Week 4. Any change after that needs written approval before the Week 8 presentation.</w:t>
      </w:r>
    </w:p>
    <w:p>
      <w:pPr>
        <w:pStyle w:val="ListParagraph"/>
        <w:numPr>
          <w:ilvl w:val="0"/>
          <w:numId w:val="1"/>
        </w:numPr>
        <w:spacing w:after="70" w:line="280"/>
      </w:pPr>
      <w:r>
        <w:rPr>
          <w:rFonts w:ascii="Calibri" w:cs="Calibri" w:eastAsia="Calibri" w:hAnsi="Calibri"/>
          <w:color w:val="1B2A3A"/>
          <w:sz w:val="20"/>
          <w:szCs w:val="20"/>
        </w:rPr>
        <w:t xml:space="preserve">Members who cannot answer questions about their own team's submission put the whole team's mark at risk — see §9.</w:t>
      </w:r>
    </w:p>
    <w:p>
      <w:pPr>
        <w:pStyle w:val="Heading1"/>
        <w:spacing w:after="120" w:before="320"/>
      </w:pPr>
      <w:r>
        <w:rPr>
          <w:rFonts w:ascii="Cambria" w:cs="Cambria" w:eastAsia="Cambria" w:hAnsi="Cambria"/>
          <w:b/>
          <w:bCs/>
          <w:color w:val="0B2545"/>
          <w:sz w:val="28"/>
          <w:szCs w:val="28"/>
        </w:rPr>
        <w:t xml:space="preserve">4.  Define the decision, not the dataset</w:t>
      </w:r>
    </w:p>
    <w:p>
      <w:pPr>
        <w:spacing w:after="120" w:line="280"/>
        <w:jc w:val="both"/>
      </w:pPr>
      <w:r>
        <w:rPr>
          <w:rFonts w:ascii="Calibri" w:cs="Calibri" w:eastAsia="Calibri" w:hAnsi="Calibri"/>
          <w:color w:val="1B2A3A"/>
          <w:sz w:val="20"/>
          <w:szCs w:val="20"/>
        </w:rPr>
        <w:t xml:space="preserve">A project is defined by a question that a manager could act on tomorrow morning.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093"/>
        <w:gridCol w:w="4094"/>
      </w:tblGrid>
      <w:tr>
        <w:trPr>
          <w:cantSplit/>
          <w:tblHeader/>
        </w:trPr>
        <w:tc>
          <w:tcPr>
            <w:tcW w:type="dxa" w:w="1559"/>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
            </w:r>
          </w:p>
        </w:tc>
        <w:tc>
          <w:tcPr>
            <w:tcW w:type="dxa" w:w="4093"/>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Too weak</w:t>
            </w:r>
          </w:p>
        </w:tc>
        <w:tc>
          <w:tcPr>
            <w:tcW w:type="dxa" w:w="4094"/>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Strong enough</w:t>
            </w:r>
          </w:p>
        </w:tc>
      </w:tr>
      <w:tr>
        <w:trPr>
          <w:cantSplit/>
        </w:trPr>
        <w:tc>
          <w:tcPr>
            <w:tcW w:type="dxa" w:w="155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Question</w:t>
            </w:r>
          </w:p>
        </w:tc>
        <w:tc>
          <w:tcPr>
            <w:tcW w:type="dxa" w:w="4093"/>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"Analyse the Olist e-commerce dataset."</w:t>
            </w:r>
          </w:p>
        </w:tc>
        <w:tc>
          <w:tcPr>
            <w:tcW w:type="dxa" w:w="409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"Which orders should be flagged at dispatch as at risk of late delivery, so customer service can contact the buyer first?"</w:t>
            </w:r>
          </w:p>
        </w:tc>
      </w:tr>
      <w:tr>
        <w:trPr>
          <w:cantSplit/>
        </w:trPr>
        <w:tc>
          <w:tcPr>
            <w:tcW w:type="dxa" w:w="155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Target</w:t>
            </w:r>
          </w:p>
        </w:tc>
        <w:tc>
          <w:tcPr>
            <w:tcW w:type="dxa" w:w="4093"/>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"Predict something useful."</w:t>
            </w:r>
          </w:p>
        </w:tc>
        <w:tc>
          <w:tcPr>
            <w:tcW w:type="dxa" w:w="4094"/>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"Delivered later than the promised date — a binary label known 10–20 days after dispatch."</w:t>
            </w:r>
          </w:p>
        </w:tc>
      </w:tr>
      <w:tr>
        <w:trPr>
          <w:cantSplit/>
        </w:trPr>
        <w:tc>
          <w:tcPr>
            <w:tcW w:type="dxa" w:w="155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Value</w:t>
            </w:r>
          </w:p>
        </w:tc>
        <w:tc>
          <w:tcPr>
            <w:tcW w:type="dxa" w:w="4093"/>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"Improve accuracy."</w:t>
            </w:r>
          </w:p>
        </w:tc>
        <w:tc>
          <w:tcPr>
            <w:tcW w:type="dxa" w:w="409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"At what alert rate does the cost of checking an order exceed the value of catching a late one?"</w:t>
            </w:r>
          </w:p>
        </w:tc>
      </w:tr>
    </w:tbl>
    <w:p>
      <w:pPr>
        <w:spacing w:after="160"/>
      </w:pPr>
      <w:r>
        <w:rPr>
          <w:sz w:val="10"/>
          <w:szCs w:val="10"/>
        </w:rPr>
        <w:t xml:space="preserve"/>
      </w:r>
    </w:p>
    <w:p>
      <w:pPr>
        <w:spacing w:after="120" w:line="280"/>
        <w:jc w:val="both"/>
      </w:pPr>
      <w:r>
        <w:rPr>
          <w:rFonts w:ascii="Calibri" w:cs="Calibri" w:eastAsia="Calibri" w:hAnsi="Calibri"/>
          <w:color w:val="1B2A3A"/>
          <w:sz w:val="20"/>
          <w:szCs w:val="20"/>
        </w:rPr>
        <w:t xml:space="preserve">Every proposal must therefore state four things:</w:t>
      </w:r>
    </w:p>
    <w:p>
      <w:pPr>
        <w:pStyle w:val="ListParagraph"/>
        <w:numPr>
          <w:ilvl w:val="0"/>
          <w:numId w:val="2"/>
        </w:numPr>
        <w:spacing w:after="70" w:line="280"/>
      </w:pPr>
      <w:r>
        <w:rPr>
          <w:rFonts w:ascii="Calibri" w:cs="Calibri" w:eastAsia="Calibri" w:hAnsi="Calibri"/>
          <w:color w:val="1B2A3A"/>
          <w:sz w:val="20"/>
          <w:szCs w:val="20"/>
        </w:rPr>
        <w:t xml:space="preserve">the </w:t>
      </w:r>
      <w:r>
        <w:rPr>
          <w:rFonts w:ascii="Calibri" w:cs="Calibri" w:eastAsia="Calibri" w:hAnsi="Calibri"/>
          <w:b/>
          <w:bCs/>
          <w:color w:val="1B2A3A"/>
          <w:sz w:val="20"/>
          <w:szCs w:val="20"/>
        </w:rPr>
        <w:t xml:space="preserve">decision</w:t>
      </w:r>
      <w:r>
        <w:rPr>
          <w:rFonts w:ascii="Calibri" w:cs="Calibri" w:eastAsia="Calibri" w:hAnsi="Calibri"/>
          <w:color w:val="1B2A3A"/>
          <w:sz w:val="20"/>
          <w:szCs w:val="20"/>
        </w:rPr>
        <w:t xml:space="preserve">, the </w:t>
      </w:r>
      <w:r>
        <w:rPr>
          <w:rFonts w:ascii="Calibri" w:cs="Calibri" w:eastAsia="Calibri" w:hAnsi="Calibri"/>
          <w:b/>
          <w:bCs/>
          <w:color w:val="1B2A3A"/>
          <w:sz w:val="20"/>
          <w:szCs w:val="20"/>
        </w:rPr>
        <w:t xml:space="preserve">decision-maker</w:t>
      </w:r>
      <w:r>
        <w:rPr>
          <w:rFonts w:ascii="Calibri" w:cs="Calibri" w:eastAsia="Calibri" w:hAnsi="Calibri"/>
          <w:color w:val="1B2A3A"/>
          <w:sz w:val="20"/>
          <w:szCs w:val="20"/>
        </w:rPr>
        <w:t xml:space="preserve">, and the </w:t>
      </w:r>
      <w:r>
        <w:rPr>
          <w:rFonts w:ascii="Calibri" w:cs="Calibri" w:eastAsia="Calibri" w:hAnsi="Calibri"/>
          <w:b/>
          <w:bCs/>
          <w:color w:val="1B2A3A"/>
          <w:sz w:val="20"/>
          <w:szCs w:val="20"/>
        </w:rPr>
        <w:t xml:space="preserve">moment</w:t>
      </w:r>
      <w:r>
        <w:rPr>
          <w:rFonts w:ascii="Calibri" w:cs="Calibri" w:eastAsia="Calibri" w:hAnsi="Calibri"/>
          <w:color w:val="1B2A3A"/>
          <w:sz w:val="20"/>
          <w:szCs w:val="20"/>
        </w:rPr>
        <w:t xml:space="preserve"> at which the decision is taken;</w:t>
      </w:r>
    </w:p>
    <w:p>
      <w:pPr>
        <w:pStyle w:val="ListParagraph"/>
        <w:numPr>
          <w:ilvl w:val="0"/>
          <w:numId w:val="2"/>
        </w:numPr>
        <w:spacing w:after="70" w:line="280"/>
      </w:pPr>
      <w:r>
        <w:rPr>
          <w:rFonts w:ascii="Calibri" w:cs="Calibri" w:eastAsia="Calibri" w:hAnsi="Calibri"/>
          <w:color w:val="1B2A3A"/>
          <w:sz w:val="20"/>
          <w:szCs w:val="20"/>
        </w:rPr>
        <w:t xml:space="preserve">what the model predicts, and what is known </w:t>
      </w:r>
      <w:r>
        <w:rPr>
          <w:rFonts w:ascii="Calibri" w:cs="Calibri" w:eastAsia="Calibri" w:hAnsi="Calibri"/>
          <w:b/>
          <w:bCs/>
          <w:color w:val="1B2A3A"/>
          <w:sz w:val="20"/>
          <w:szCs w:val="20"/>
        </w:rPr>
        <w:t xml:space="preserve">at that moment</w:t>
      </w:r>
      <w:r>
        <w:rPr>
          <w:rFonts w:ascii="Calibri" w:cs="Calibri" w:eastAsia="Calibri" w:hAnsi="Calibri"/>
          <w:color w:val="1B2A3A"/>
          <w:sz w:val="20"/>
          <w:szCs w:val="20"/>
        </w:rPr>
        <w:t xml:space="preserve"> — this is the data-leakage test, and it is where most projects go wrong;</w:t>
      </w:r>
    </w:p>
    <w:p>
      <w:pPr>
        <w:pStyle w:val="ListParagraph"/>
        <w:numPr>
          <w:ilvl w:val="0"/>
          <w:numId w:val="2"/>
        </w:numPr>
        <w:spacing w:after="70" w:line="280"/>
      </w:pPr>
      <w:r>
        <w:rPr>
          <w:rFonts w:ascii="Calibri" w:cs="Calibri" w:eastAsia="Calibri" w:hAnsi="Calibri"/>
          <w:color w:val="1B2A3A"/>
          <w:sz w:val="20"/>
          <w:szCs w:val="20"/>
        </w:rPr>
        <w:t xml:space="preserve">the </w:t>
      </w:r>
      <w:r>
        <w:rPr>
          <w:rFonts w:ascii="Calibri" w:cs="Calibri" w:eastAsia="Calibri" w:hAnsi="Calibri"/>
          <w:b/>
          <w:bCs/>
          <w:color w:val="1B2A3A"/>
          <w:sz w:val="20"/>
          <w:szCs w:val="20"/>
        </w:rPr>
        <w:t xml:space="preserve">baseline</w:t>
      </w:r>
      <w:r>
        <w:rPr>
          <w:rFonts w:ascii="Calibri" w:cs="Calibri" w:eastAsia="Calibri" w:hAnsi="Calibri"/>
          <w:color w:val="1B2A3A"/>
          <w:sz w:val="20"/>
          <w:szCs w:val="20"/>
        </w:rPr>
        <w:t xml:space="preserve"> the model must beat: current practice, a simple rule, or the majority class;</w:t>
      </w:r>
    </w:p>
    <w:p>
      <w:pPr>
        <w:pStyle w:val="ListParagraph"/>
        <w:numPr>
          <w:ilvl w:val="0"/>
          <w:numId w:val="2"/>
        </w:numPr>
        <w:spacing w:after="70" w:line="280"/>
      </w:pPr>
      <w:r>
        <w:rPr>
          <w:rFonts w:ascii="Calibri" w:cs="Calibri" w:eastAsia="Calibri" w:hAnsi="Calibri"/>
          <w:color w:val="1B2A3A"/>
          <w:sz w:val="20"/>
          <w:szCs w:val="20"/>
        </w:rPr>
        <w:t xml:space="preserve">what a wrong prediction costs </w:t>
      </w:r>
      <w:r>
        <w:rPr>
          <w:rFonts w:ascii="Calibri" w:cs="Calibri" w:eastAsia="Calibri" w:hAnsi="Calibri"/>
          <w:b/>
          <w:bCs/>
          <w:color w:val="1B2A3A"/>
          <w:sz w:val="20"/>
          <w:szCs w:val="20"/>
        </w:rPr>
        <w:t xml:space="preserve">in each direction</w:t>
      </w:r>
      <w:r>
        <w:rPr>
          <w:rFonts w:ascii="Calibri" w:cs="Calibri" w:eastAsia="Calibri" w:hAnsi="Calibri"/>
          <w:color w:val="1B2A3A"/>
          <w:sz w:val="20"/>
          <w:szCs w:val="20"/>
        </w:rPr>
        <w:t xml:space="preserve"> — a false alarm and a missed case are rarely equally expensive in a supply chain.</w:t>
      </w:r>
    </w:p>
    <w:p>
      <w:pPr>
        <w:pStyle w:val="Heading1"/>
        <w:spacing w:after="120" w:before="320"/>
      </w:pPr>
      <w:r>
        <w:rPr>
          <w:rFonts w:ascii="Cambria" w:cs="Cambria" w:eastAsia="Cambria" w:hAnsi="Cambria"/>
          <w:b/>
          <w:bCs/>
          <w:color w:val="0B2545"/>
          <w:sz w:val="28"/>
          <w:szCs w:val="28"/>
        </w:rPr>
        <w:t xml:space="preserve">5.  Choosing the data</w:t>
      </w:r>
    </w:p>
    <w:p>
      <w:pPr>
        <w:pStyle w:val="Heading2"/>
        <w:spacing w:after="90" w:before="220"/>
      </w:pPr>
      <w:r>
        <w:rPr>
          <w:rFonts w:ascii="Calibri" w:cs="Calibri" w:eastAsia="Calibri" w:hAnsi="Calibri"/>
          <w:b/>
          <w:bCs/>
          <w:color w:val="0E7C86"/>
          <w:sz w:val="22"/>
          <w:szCs w:val="22"/>
        </w:rPr>
        <w:t xml:space="preserve">Route A — the approved list</w:t>
      </w:r>
    </w:p>
    <w:p>
      <w:pPr>
        <w:spacing w:after="120" w:line="280"/>
        <w:jc w:val="both"/>
      </w:pPr>
      <w:r>
        <w:rPr>
          <w:rFonts w:ascii="Calibri" w:cs="Calibri" w:eastAsia="Calibri" w:hAnsi="Calibri"/>
          <w:color w:val="1B2A3A"/>
          <w:sz w:val="20"/>
          <w:szCs w:val="20"/>
        </w:rPr>
        <w:t xml:space="preserve">Choose one of the eight datasets in §10. Claiming is first-come, first-served on BKEL, and </w:t>
      </w:r>
      <w:r>
        <w:rPr>
          <w:rFonts w:ascii="Calibri" w:cs="Calibri" w:eastAsia="Calibri" w:hAnsi="Calibri"/>
          <w:b/>
          <w:bCs/>
          <w:color w:val="1B2A3A"/>
          <w:sz w:val="20"/>
          <w:szCs w:val="20"/>
        </w:rPr>
        <w:t xml:space="preserve">no two teams in the same section may take the same dataset</w:t>
      </w:r>
      <w:r>
        <w:rPr>
          <w:rFonts w:ascii="Calibri" w:cs="Calibri" w:eastAsia="Calibri" w:hAnsi="Calibri"/>
          <w:color w:val="1B2A3A"/>
          <w:sz w:val="20"/>
          <w:szCs w:val="20"/>
        </w:rPr>
        <w:t xml:space="preserve">. Two teams may use the same dataset only if they answer clearly different questions and the lecturer approves both.</w:t>
      </w:r>
    </w:p>
    <w:p>
      <w:pPr>
        <w:pStyle w:val="Heading2"/>
        <w:spacing w:after="90" w:before="220"/>
      </w:pPr>
      <w:r>
        <w:rPr>
          <w:rFonts w:ascii="Calibri" w:cs="Calibri" w:eastAsia="Calibri" w:hAnsi="Calibri"/>
          <w:b/>
          <w:bCs/>
          <w:color w:val="0E7C86"/>
          <w:sz w:val="22"/>
          <w:szCs w:val="22"/>
        </w:rPr>
        <w:t xml:space="preserve">Route B — propose your own</w:t>
      </w:r>
    </w:p>
    <w:p>
      <w:pPr>
        <w:spacing w:after="120" w:line="280"/>
        <w:jc w:val="both"/>
      </w:pPr>
      <w:r>
        <w:rPr>
          <w:rFonts w:ascii="Calibri" w:cs="Calibri" w:eastAsia="Calibri" w:hAnsi="Calibri"/>
          <w:color w:val="1B2A3A"/>
          <w:sz w:val="20"/>
          <w:szCs w:val="20"/>
        </w:rPr>
        <w:t xml:space="preserve">Any other real dataset is acceptable if it meets every criterion below. The team submits a one-paragraph justification together with the Week 5 proposal; approval is given or refused within the following week.</w:t>
      </w:r>
    </w:p>
    <w:p>
      <w:pPr>
        <w:pStyle w:val="ListParagraph"/>
        <w:numPr>
          <w:ilvl w:val="0"/>
          <w:numId w:val="1"/>
        </w:numPr>
        <w:spacing w:after="70" w:line="280"/>
      </w:pPr>
      <w:r>
        <w:rPr>
          <w:rFonts w:ascii="Calibri" w:cs="Calibri" w:eastAsia="Calibri" w:hAnsi="Calibri"/>
          <w:b/>
          <w:bCs/>
          <w:color w:val="1B2A3A"/>
          <w:sz w:val="20"/>
          <w:szCs w:val="20"/>
        </w:rPr>
        <w:t xml:space="preserve">Real and observational</w:t>
      </w:r>
      <w:r>
        <w:rPr>
          <w:rFonts w:ascii="Calibri" w:cs="Calibri" w:eastAsia="Calibri" w:hAnsi="Calibri"/>
          <w:color w:val="1B2A3A"/>
          <w:sz w:val="20"/>
          <w:szCs w:val="20"/>
        </w:rPr>
        <w:t xml:space="preserve"> — recorded from actual operations, not simulated, not generated.</w:t>
      </w:r>
    </w:p>
    <w:p>
      <w:pPr>
        <w:pStyle w:val="ListParagraph"/>
        <w:numPr>
          <w:ilvl w:val="0"/>
          <w:numId w:val="1"/>
        </w:numPr>
        <w:spacing w:after="70" w:line="280"/>
      </w:pPr>
      <w:r>
        <w:rPr>
          <w:rFonts w:ascii="Calibri" w:cs="Calibri" w:eastAsia="Calibri" w:hAnsi="Calibri"/>
          <w:b/>
          <w:bCs/>
          <w:color w:val="1B2A3A"/>
          <w:sz w:val="20"/>
          <w:szCs w:val="20"/>
        </w:rPr>
        <w:t xml:space="preserve">Accessible</w:t>
      </w:r>
      <w:r>
        <w:rPr>
          <w:rFonts w:ascii="Calibri" w:cs="Calibri" w:eastAsia="Calibri" w:hAnsi="Calibri"/>
          <w:color w:val="1B2A3A"/>
          <w:sz w:val="20"/>
          <w:szCs w:val="20"/>
        </w:rPr>
        <w:t xml:space="preserve"> — publicly downloadable, or company data with written permission to use it in coursework. Confidential company data must be anonymised before it leaves the company, and the report must say what was removed.</w:t>
      </w:r>
    </w:p>
    <w:p>
      <w:pPr>
        <w:pStyle w:val="ListParagraph"/>
        <w:numPr>
          <w:ilvl w:val="0"/>
          <w:numId w:val="1"/>
        </w:numPr>
        <w:spacing w:after="70" w:line="280"/>
      </w:pPr>
      <w:r>
        <w:rPr>
          <w:rFonts w:ascii="Calibri" w:cs="Calibri" w:eastAsia="Calibri" w:hAnsi="Calibri"/>
          <w:b/>
          <w:bCs/>
          <w:color w:val="1B2A3A"/>
          <w:sz w:val="20"/>
          <w:szCs w:val="20"/>
        </w:rPr>
        <w:t xml:space="preserve">Large enough</w:t>
      </w:r>
      <w:r>
        <w:rPr>
          <w:rFonts w:ascii="Calibri" w:cs="Calibri" w:eastAsia="Calibri" w:hAnsi="Calibri"/>
          <w:color w:val="1B2A3A"/>
          <w:sz w:val="20"/>
          <w:szCs w:val="20"/>
        </w:rPr>
        <w:t xml:space="preserve"> — at least </w:t>
      </w:r>
      <w:r>
        <w:rPr>
          <w:rFonts w:ascii="Calibri" w:cs="Calibri" w:eastAsia="Calibri" w:hAnsi="Calibri"/>
          <w:b/>
          <w:bCs/>
          <w:color w:val="1B2A3A"/>
          <w:sz w:val="20"/>
          <w:szCs w:val="20"/>
        </w:rPr>
        <w:t xml:space="preserve">1,000 rows and 8 columns</w:t>
      </w:r>
      <w:r>
        <w:rPr>
          <w:rFonts w:ascii="Calibri" w:cs="Calibri" w:eastAsia="Calibri" w:hAnsi="Calibri"/>
          <w:color w:val="1B2A3A"/>
          <w:sz w:val="20"/>
          <w:szCs w:val="20"/>
        </w:rPr>
        <w:t xml:space="preserve">, with at least one usable target variable or a genuine unsupervised structure to find.</w:t>
      </w:r>
    </w:p>
    <w:p>
      <w:pPr>
        <w:pStyle w:val="ListParagraph"/>
        <w:numPr>
          <w:ilvl w:val="0"/>
          <w:numId w:val="1"/>
        </w:numPr>
        <w:spacing w:after="70" w:line="280"/>
      </w:pPr>
      <w:r>
        <w:rPr>
          <w:rFonts w:ascii="Calibri" w:cs="Calibri" w:eastAsia="Calibri" w:hAnsi="Calibri"/>
          <w:b/>
          <w:bCs/>
          <w:color w:val="1B2A3A"/>
          <w:sz w:val="20"/>
          <w:szCs w:val="20"/>
        </w:rPr>
        <w:t xml:space="preserve">Licensed</w:t>
      </w:r>
      <w:r>
        <w:rPr>
          <w:rFonts w:ascii="Calibri" w:cs="Calibri" w:eastAsia="Calibri" w:hAnsi="Calibri"/>
          <w:color w:val="1B2A3A"/>
          <w:sz w:val="20"/>
          <w:szCs w:val="20"/>
        </w:rPr>
        <w:t xml:space="preserve"> for educational use, with the licence and the required citation stated in the report.</w:t>
      </w:r>
    </w:p>
    <w:p>
      <w:pPr>
        <w:pStyle w:val="ListParagraph"/>
        <w:numPr>
          <w:ilvl w:val="0"/>
          <w:numId w:val="1"/>
        </w:numPr>
        <w:spacing w:after="70" w:line="280"/>
      </w:pPr>
      <w:r>
        <w:rPr>
          <w:rFonts w:ascii="Calibri" w:cs="Calibri" w:eastAsia="Calibri" w:hAnsi="Calibri"/>
          <w:b/>
          <w:bCs/>
          <w:color w:val="1B2A3A"/>
          <w:sz w:val="20"/>
          <w:szCs w:val="20"/>
        </w:rPr>
        <w:t xml:space="preserve">Supply-chain relevant</w:t>
      </w:r>
      <w:r>
        <w:rPr>
          <w:rFonts w:ascii="Calibri" w:cs="Calibri" w:eastAsia="Calibri" w:hAnsi="Calibri"/>
          <w:color w:val="1B2A3A"/>
          <w:sz w:val="20"/>
          <w:szCs w:val="20"/>
        </w:rPr>
        <w:t xml:space="preserve"> — sourcing, production, inventory, transport, warehousing, distribution, demand, returns, or service level.</w:t>
      </w:r>
    </w:p>
    <w:p>
      <w:pPr>
        <w:pBdr>
          <w:top w:val="single" w:color="FBEFE0" w:sz="2" w:space="8"/>
          <w:bottom w:val="single" w:color="FBEFE0" w:sz="2" w:space="8"/>
          <w:left w:val="single" w:color="E08A2B" w:sz="18" w:space="10"/>
          <w:right w:val="single" w:color="FBEFE0" w:sz="2" w:space="8"/>
        </w:pBdr>
        <w:shd w:fill="FBEFE0" w:color="auto" w:val="clear"/>
        <w:spacing w:after="160" w:before="120" w:line="280"/>
      </w:pPr>
      <w:r>
        <w:rPr>
          <w:rFonts w:ascii="Calibri" w:cs="Calibri" w:eastAsia="Calibri" w:hAnsi="Calibri"/>
          <w:b/>
          <w:bCs/>
          <w:color w:val="1B2A3A"/>
          <w:sz w:val="19"/>
          <w:szCs w:val="19"/>
        </w:rPr>
        <w:t xml:space="preserve">Vietnamese and company data are welcome under Route B</w:t>
      </w:r>
      <w:r>
        <w:rPr>
          <w:rFonts w:ascii="Calibri" w:cs="Calibri" w:eastAsia="Calibri" w:hAnsi="Calibri"/>
          <w:color w:val="1B2A3A"/>
          <w:sz w:val="19"/>
          <w:szCs w:val="19"/>
        </w:rPr>
        <w:t xml:space="preserve"> and often make the strongest projects, because the recommendation lands on a real desk. Start early: getting permission and cleaning an export takes longer than students expect.</w:t>
      </w:r>
    </w:p>
    <w:p>
      <w:pPr>
        <w:pStyle w:val="Heading1"/>
        <w:spacing w:after="120" w:before="320"/>
      </w:pPr>
      <w:r>
        <w:rPr>
          <w:rFonts w:ascii="Cambria" w:cs="Cambria" w:eastAsia="Cambria" w:hAnsi="Cambria"/>
          <w:b/>
          <w:bCs/>
          <w:color w:val="0B2545"/>
          <w:sz w:val="28"/>
          <w:szCs w:val="28"/>
        </w:rPr>
        <w:t xml:space="preserve">6.  Technical requirements</w:t>
      </w:r>
    </w:p>
    <w:p>
      <w:pPr>
        <w:spacing w:after="120" w:line="280"/>
        <w:jc w:val="both"/>
      </w:pPr>
      <w:r>
        <w:rPr>
          <w:rFonts w:ascii="Calibri" w:cs="Calibri" w:eastAsia="Calibri" w:hAnsi="Calibri"/>
          <w:color w:val="1B2A3A"/>
          <w:sz w:val="20"/>
          <w:szCs w:val="20"/>
        </w:rPr>
        <w:t xml:space="preserve">Every project must do all of the following. Items marked with a bullet in §11 are where marks are most often lost.</w:t>
      </w:r>
    </w:p>
    <w:p>
      <w:pPr>
        <w:pStyle w:val="ListParagraph"/>
        <w:numPr>
          <w:ilvl w:val="0"/>
          <w:numId w:val="3"/>
        </w:numPr>
        <w:spacing w:after="70" w:line="280"/>
      </w:pPr>
      <w:r>
        <w:rPr>
          <w:rFonts w:ascii="Calibri" w:cs="Calibri" w:eastAsia="Calibri" w:hAnsi="Calibri"/>
          <w:b/>
          <w:bCs/>
          <w:color w:val="1B2A3A"/>
          <w:sz w:val="20"/>
          <w:szCs w:val="20"/>
        </w:rPr>
        <w:t xml:space="preserve">Document the data.</w:t>
      </w:r>
      <w:r>
        <w:rPr>
          <w:rFonts w:ascii="Calibri" w:cs="Calibri" w:eastAsia="Calibri" w:hAnsi="Calibri"/>
          <w:color w:val="1B2A3A"/>
          <w:sz w:val="20"/>
          <w:szCs w:val="20"/>
        </w:rPr>
        <w:t xml:space="preserve"> Row and column counts, a data dictionary for every column actually used, missing-value and outlier counts, and the target distribution or class balance.</w:t>
      </w:r>
    </w:p>
    <w:p>
      <w:pPr>
        <w:pStyle w:val="ListParagraph"/>
        <w:numPr>
          <w:ilvl w:val="0"/>
          <w:numId w:val="3"/>
        </w:numPr>
        <w:spacing w:after="70" w:line="280"/>
      </w:pPr>
      <w:r>
        <w:rPr>
          <w:rFonts w:ascii="Calibri" w:cs="Calibri" w:eastAsia="Calibri" w:hAnsi="Calibri"/>
          <w:b/>
          <w:bCs/>
          <w:color w:val="1B2A3A"/>
          <w:sz w:val="20"/>
          <w:szCs w:val="20"/>
        </w:rPr>
        <w:t xml:space="preserve">Prepare the data reproducibly.</w:t>
      </w:r>
      <w:r>
        <w:rPr>
          <w:rFonts w:ascii="Calibri" w:cs="Calibri" w:eastAsia="Calibri" w:hAnsi="Calibri"/>
          <w:color w:val="1B2A3A"/>
          <w:sz w:val="20"/>
          <w:szCs w:val="20"/>
        </w:rPr>
        <w:t xml:space="preserve"> Every cleaning, imputation, encoding and scaling decision is stated and justified. All fitted preprocessing sits inside a scikit-learn </w:t>
      </w:r>
      <w:r>
        <w:rPr>
          <w:rFonts w:ascii="Consolas" w:cs="Consolas" w:eastAsia="Consolas" w:hAnsi="Consolas"/>
          <w:color w:val="1B2A3A"/>
          <w:sz w:val="18"/>
          <w:szCs w:val="18"/>
        </w:rPr>
        <w:t xml:space="preserve">Pipeline</w:t>
      </w:r>
      <w:r>
        <w:rPr>
          <w:rFonts w:ascii="Calibri" w:cs="Calibri" w:eastAsia="Calibri" w:hAnsi="Calibri"/>
          <w:color w:val="1B2A3A"/>
          <w:sz w:val="20"/>
          <w:szCs w:val="20"/>
        </w:rPr>
        <w:t xml:space="preserve"> / </w:t>
      </w:r>
      <w:r>
        <w:rPr>
          <w:rFonts w:ascii="Consolas" w:cs="Consolas" w:eastAsia="Consolas" w:hAnsi="Consolas"/>
          <w:color w:val="1B2A3A"/>
          <w:sz w:val="18"/>
          <w:szCs w:val="18"/>
        </w:rPr>
        <w:t xml:space="preserve">ColumnTransformer</w:t>
      </w:r>
      <w:r>
        <w:rPr>
          <w:rFonts w:ascii="Calibri" w:cs="Calibri" w:eastAsia="Calibri" w:hAnsi="Calibri"/>
          <w:color w:val="1B2A3A"/>
          <w:sz w:val="20"/>
          <w:szCs w:val="20"/>
        </w:rPr>
        <w:t xml:space="preserve">.</w:t>
      </w:r>
    </w:p>
    <w:p>
      <w:pPr>
        <w:pStyle w:val="ListParagraph"/>
        <w:numPr>
          <w:ilvl w:val="0"/>
          <w:numId w:val="3"/>
        </w:numPr>
        <w:spacing w:after="70" w:line="280"/>
      </w:pPr>
      <w:r>
        <w:rPr>
          <w:rFonts w:ascii="Calibri" w:cs="Calibri" w:eastAsia="Calibri" w:hAnsi="Calibri"/>
          <w:b/>
          <w:bCs/>
          <w:color w:val="1B2A3A"/>
          <w:sz w:val="20"/>
          <w:szCs w:val="20"/>
        </w:rPr>
        <w:t xml:space="preserve">Split before fitting.</w:t>
      </w:r>
      <w:r>
        <w:rPr>
          <w:rFonts w:ascii="Calibri" w:cs="Calibri" w:eastAsia="Calibri" w:hAnsi="Calibri"/>
          <w:color w:val="1B2A3A"/>
          <w:sz w:val="20"/>
          <w:szCs w:val="20"/>
        </w:rPr>
        <w:t xml:space="preserve"> A train/test split, or a time-based split for any dataset with a date. Nothing derived from the test set may enter training. Name at least one leakage risk specific to your dataset and show how it is avoided.</w:t>
      </w:r>
    </w:p>
    <w:p>
      <w:pPr>
        <w:pStyle w:val="ListParagraph"/>
        <w:numPr>
          <w:ilvl w:val="0"/>
          <w:numId w:val="3"/>
        </w:numPr>
        <w:spacing w:after="70" w:line="280"/>
      </w:pPr>
      <w:r>
        <w:rPr>
          <w:rFonts w:ascii="Calibri" w:cs="Calibri" w:eastAsia="Calibri" w:hAnsi="Calibri"/>
          <w:b/>
          <w:bCs/>
          <w:color w:val="1B2A3A"/>
          <w:sz w:val="20"/>
          <w:szCs w:val="20"/>
        </w:rPr>
        <w:t xml:space="preserve">Compare at least three model families,</w:t>
      </w:r>
      <w:r>
        <w:rPr>
          <w:rFonts w:ascii="Calibri" w:cs="Calibri" w:eastAsia="Calibri" w:hAnsi="Calibri"/>
          <w:color w:val="1B2A3A"/>
          <w:sz w:val="20"/>
          <w:szCs w:val="20"/>
        </w:rPr>
        <w:t xml:space="preserve"> of which at least two are taught in Weeks 6–13 (decision trees, artificial neural networks, support vector machines, clustering, association rules, Bayesian networks). The baseline does not count as one of the three.</w:t>
      </w:r>
    </w:p>
    <w:p>
      <w:pPr>
        <w:pStyle w:val="ListParagraph"/>
        <w:numPr>
          <w:ilvl w:val="0"/>
          <w:numId w:val="3"/>
        </w:numPr>
        <w:spacing w:after="70" w:line="280"/>
      </w:pPr>
      <w:r>
        <w:rPr>
          <w:rFonts w:ascii="Calibri" w:cs="Calibri" w:eastAsia="Calibri" w:hAnsi="Calibri"/>
          <w:b/>
          <w:bCs/>
          <w:color w:val="1B2A3A"/>
          <w:sz w:val="20"/>
          <w:szCs w:val="20"/>
        </w:rPr>
        <w:t xml:space="preserve">Validate properly.</w:t>
      </w:r>
      <w:r>
        <w:rPr>
          <w:rFonts w:ascii="Calibri" w:cs="Calibri" w:eastAsia="Calibri" w:hAnsi="Calibri"/>
          <w:color w:val="1B2A3A"/>
          <w:sz w:val="20"/>
          <w:szCs w:val="20"/>
        </w:rPr>
        <w:t xml:space="preserve"> k-fold cross-validation on the training set, or rolling-origin validation for time series. Report the </w:t>
      </w:r>
      <w:r>
        <w:rPr>
          <w:rFonts w:ascii="Calibri" w:cs="Calibri" w:eastAsia="Calibri" w:hAnsi="Calibri"/>
          <w:b/>
          <w:bCs/>
          <w:color w:val="1B2A3A"/>
          <w:sz w:val="20"/>
          <w:szCs w:val="20"/>
        </w:rPr>
        <w:t xml:space="preserve">spread</w:t>
      </w:r>
      <w:r>
        <w:rPr>
          <w:rFonts w:ascii="Calibri" w:cs="Calibri" w:eastAsia="Calibri" w:hAnsi="Calibri"/>
          <w:color w:val="1B2A3A"/>
          <w:sz w:val="20"/>
          <w:szCs w:val="20"/>
        </w:rPr>
        <w:t xml:space="preserve"> of the metric across folds, not only its mean.</w:t>
      </w:r>
    </w:p>
    <w:p>
      <w:pPr>
        <w:pStyle w:val="ListParagraph"/>
        <w:numPr>
          <w:ilvl w:val="0"/>
          <w:numId w:val="3"/>
        </w:numPr>
        <w:spacing w:after="70" w:line="280"/>
      </w:pPr>
      <w:r>
        <w:rPr>
          <w:rFonts w:ascii="Calibri" w:cs="Calibri" w:eastAsia="Calibri" w:hAnsi="Calibri"/>
          <w:b/>
          <w:bCs/>
          <w:color w:val="1B2A3A"/>
          <w:sz w:val="20"/>
          <w:szCs w:val="20"/>
        </w:rPr>
        <w:t xml:space="preserve">Report metrics that match the decision.</w:t>
      </w:r>
      <w:r>
        <w:rPr>
          <w:rFonts w:ascii="Calibri" w:cs="Calibri" w:eastAsia="Calibri" w:hAnsi="Calibri"/>
          <w:color w:val="1B2A3A"/>
          <w:sz w:val="20"/>
          <w:szCs w:val="20"/>
        </w:rPr>
        <w:t xml:space="preserve"> Accuracy alone is not acceptable for an imbalanced problem. Justify the chosen metric against §4.</w:t>
      </w:r>
    </w:p>
    <w:p>
      <w:pPr>
        <w:pStyle w:val="ListParagraph"/>
        <w:numPr>
          <w:ilvl w:val="0"/>
          <w:numId w:val="3"/>
        </w:numPr>
        <w:spacing w:after="70" w:line="280"/>
      </w:pPr>
      <w:r>
        <w:rPr>
          <w:rFonts w:ascii="Calibri" w:cs="Calibri" w:eastAsia="Calibri" w:hAnsi="Calibri"/>
          <w:b/>
          <w:bCs/>
          <w:color w:val="1B2A3A"/>
          <w:sz w:val="20"/>
          <w:szCs w:val="20"/>
        </w:rPr>
        <w:t xml:space="preserve">Interpret the model.</w:t>
      </w:r>
      <w:r>
        <w:rPr>
          <w:rFonts w:ascii="Calibri" w:cs="Calibri" w:eastAsia="Calibri" w:hAnsi="Calibri"/>
          <w:color w:val="1B2A3A"/>
          <w:sz w:val="20"/>
          <w:szCs w:val="20"/>
        </w:rPr>
        <w:t xml:space="preserve"> Which features drive it, and does that agree with supply-chain reasoning? Use feature importances, coefficients, tree structure, or partial-dependence plots — whichever the chosen model supports.</w:t>
      </w:r>
    </w:p>
    <w:p>
      <w:pPr>
        <w:pStyle w:val="ListParagraph"/>
        <w:numPr>
          <w:ilvl w:val="0"/>
          <w:numId w:val="3"/>
        </w:numPr>
        <w:spacing w:after="70" w:line="280"/>
      </w:pPr>
      <w:r>
        <w:rPr>
          <w:rFonts w:ascii="Calibri" w:cs="Calibri" w:eastAsia="Calibri" w:hAnsi="Calibri"/>
          <w:b/>
          <w:bCs/>
          <w:color w:val="1B2A3A"/>
          <w:sz w:val="20"/>
          <w:szCs w:val="20"/>
        </w:rPr>
        <w:t xml:space="preserve">Turn the model into a recommendation,</w:t>
      </w:r>
      <w:r>
        <w:rPr>
          <w:rFonts w:ascii="Calibri" w:cs="Calibri" w:eastAsia="Calibri" w:hAnsi="Calibri"/>
          <w:color w:val="1B2A3A"/>
          <w:sz w:val="20"/>
          <w:szCs w:val="20"/>
        </w:rPr>
        <w:t xml:space="preserve"> with an order-of-magnitude estimate of the operational effect: orders flagged per week, stock-out days avoided, freight cost saved, hours of labour redirected. An approximate figure with stated assumptions is expected; no figure at all is not.</w:t>
      </w:r>
    </w:p>
    <w:p>
      <w:pPr>
        <w:pStyle w:val="ListParagraph"/>
        <w:numPr>
          <w:ilvl w:val="0"/>
          <w:numId w:val="3"/>
        </w:numPr>
        <w:spacing w:after="70" w:line="280"/>
      </w:pPr>
      <w:r>
        <w:rPr>
          <w:rFonts w:ascii="Calibri" w:cs="Calibri" w:eastAsia="Calibri" w:hAnsi="Calibri"/>
          <w:b/>
          <w:bCs/>
          <w:color w:val="1B2A3A"/>
          <w:sz w:val="20"/>
          <w:szCs w:val="20"/>
        </w:rPr>
        <w:t xml:space="preserve">State the limits.</w:t>
      </w:r>
      <w:r>
        <w:rPr>
          <w:rFonts w:ascii="Calibri" w:cs="Calibri" w:eastAsia="Calibri" w:hAnsi="Calibri"/>
          <w:color w:val="1B2A3A"/>
          <w:sz w:val="20"/>
          <w:szCs w:val="20"/>
        </w:rPr>
        <w:t xml:space="preserve"> What the model cannot do, where the data is unrepresentative of the situation you are advising on, and what would have to be true for the recommendation to hold.</w:t>
      </w:r>
    </w:p>
    <w:p>
      <w:pPr>
        <w:pStyle w:val="Heading2"/>
        <w:spacing w:after="90" w:before="220"/>
      </w:pPr>
      <w:r>
        <w:rPr>
          <w:rFonts w:ascii="Calibri" w:cs="Calibri" w:eastAsia="Calibri" w:hAnsi="Calibri"/>
          <w:b/>
          <w:bCs/>
          <w:color w:val="0E7C86"/>
          <w:sz w:val="22"/>
          <w:szCs w:val="22"/>
        </w:rPr>
        <w:t xml:space="preserve">If your main method is unsupervised</w:t>
      </w:r>
    </w:p>
    <w:p>
      <w:pPr>
        <w:spacing w:after="120" w:line="280"/>
        <w:jc w:val="both"/>
      </w:pPr>
      <w:r>
        <w:rPr>
          <w:rFonts w:ascii="Calibri" w:cs="Calibri" w:eastAsia="Calibri" w:hAnsi="Calibri"/>
          <w:color w:val="1B2A3A"/>
          <w:sz w:val="20"/>
          <w:szCs w:val="20"/>
        </w:rPr>
        <w:t xml:space="preserve">Teams whose central method is clustering or association-rule mining replace requirements 4–6 with: at least two clustering algorithms, or two clearly different support/confidence regimes, compared; a stated and defended method for choosing k or the thresholds; and a stability check — does the solution survive resampling or a change of random seed? Business interpretation of the segments or rules carries the same weight as the algorithm itself.</w:t>
      </w:r>
    </w:p>
    <w:p>
      <w:pPr>
        <w:pStyle w:val="Heading1"/>
        <w:spacing w:after="120" w:before="320"/>
      </w:pPr>
      <w:r>
        <w:rPr>
          <w:rFonts w:ascii="Cambria" w:cs="Cambria" w:eastAsia="Cambria" w:hAnsi="Cambria"/>
          <w:b/>
          <w:bCs/>
          <w:color w:val="0B2545"/>
          <w:sz w:val="28"/>
          <w:szCs w:val="28"/>
        </w:rPr>
        <w:t xml:space="preserve">7.  Checkpoints and deliverables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1657"/>
        <w:gridCol w:w="1267"/>
        <w:gridCol w:w="5847"/>
      </w:tblGrid>
      <w:tr>
        <w:trPr>
          <w:cantSplit/>
          <w:tblHeader/>
        </w:trPr>
        <w:tc>
          <w:tcPr>
            <w:tcW w:type="dxa" w:w="975"/>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
            </w:r>
          </w:p>
        </w:tc>
        <w:tc>
          <w:tcPr>
            <w:tcW w:type="dxa" w:w="1657"/>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When</w:t>
            </w:r>
          </w:p>
        </w:tc>
        <w:tc>
          <w:tcPr>
            <w:tcW w:type="dxa" w:w="1267"/>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Weight</w:t>
            </w:r>
          </w:p>
        </w:tc>
        <w:tc>
          <w:tcPr>
            <w:tcW w:type="dxa" w:w="5847"/>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What is submitted</w:t>
            </w:r>
          </w:p>
        </w:tc>
      </w:tr>
      <w:tr>
        <w:trPr>
          <w:cantSplit/>
        </w:trPr>
        <w:tc>
          <w:tcPr>
            <w:tcW w:type="dxa" w:w="975"/>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CP1</w:t>
            </w:r>
          </w:p>
        </w:tc>
        <w:tc>
          <w:tcPr>
            <w:tcW w:type="dxa" w:w="165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Week 5</w:t>
            </w:r>
          </w:p>
        </w:tc>
        <w:tc>
          <w:tcPr>
            <w:tcW w:type="dxa" w:w="126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15%</w:t>
            </w:r>
          </w:p>
        </w:tc>
        <w:tc>
          <w:tcPr>
            <w:tcW w:type="dxa" w:w="584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Proposal</w:t>
            </w:r>
            <w:r>
              <w:rPr>
                <w:rFonts w:ascii="Calibri" w:cs="Calibri" w:eastAsia="Calibri" w:hAnsi="Calibri"/>
                <w:b w:val="false"/>
                <w:bCs w:val="false"/>
                <w:color w:val="1B2A3A"/>
                <w:sz w:val="18"/>
                <w:szCs w:val="18"/>
              </w:rPr>
              <w:t xml:space="preserve">, 2 pages maximum, PDF. Team members and IDs; the dataset with its source URL and licence, and the route (A or B); the decision as defined in §4; the target variable and candidate features; planned methods; a two-line risk note saying what could go wrong with this data. Uploaded before the Week 5 session.</w:t>
            </w:r>
          </w:p>
        </w:tc>
      </w:tr>
      <w:tr>
        <w:trPr>
          <w:cantSplit/>
        </w:trPr>
        <w:tc>
          <w:tcPr>
            <w:tcW w:type="dxa" w:w="975"/>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CP2</w:t>
            </w:r>
          </w:p>
        </w:tc>
        <w:tc>
          <w:tcPr>
            <w:tcW w:type="dxa" w:w="165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Week 8</w:t>
            </w:r>
          </w:p>
        </w:tc>
        <w:tc>
          <w:tcPr>
            <w:tcW w:type="dxa" w:w="126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25%</w:t>
            </w:r>
          </w:p>
        </w:tc>
        <w:tc>
          <w:tcPr>
            <w:tcW w:type="dxa" w:w="584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Midterm presentation</w:t>
            </w:r>
            <w:r>
              <w:rPr>
                <w:rFonts w:ascii="Calibri" w:cs="Calibri" w:eastAsia="Calibri" w:hAnsi="Calibri"/>
                <w:b w:val="false"/>
                <w:bCs w:val="false"/>
                <w:color w:val="1B2A3A"/>
                <w:sz w:val="18"/>
                <w:szCs w:val="18"/>
              </w:rPr>
              <w:t xml:space="preserve">, 10 minutes plus 5 minutes of questions, in class. Every member speaks. Slides uploaded before the session.</w:t>
            </w:r>
          </w:p>
        </w:tc>
      </w:tr>
      <w:tr>
        <w:trPr>
          <w:cantSplit/>
        </w:trPr>
        <w:tc>
          <w:tcPr>
            <w:tcW w:type="dxa" w:w="975"/>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CP3</w:t>
            </w:r>
          </w:p>
        </w:tc>
        <w:tc>
          <w:tcPr>
            <w:tcW w:type="dxa" w:w="165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Week 15</w:t>
            </w:r>
          </w:p>
        </w:tc>
        <w:tc>
          <w:tcPr>
            <w:tcW w:type="dxa" w:w="126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45% + 15%</w:t>
            </w:r>
          </w:p>
        </w:tc>
        <w:tc>
          <w:tcPr>
            <w:tcW w:type="dxa" w:w="584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Final report</w:t>
            </w:r>
            <w:r>
              <w:rPr>
                <w:rFonts w:ascii="Calibri" w:cs="Calibri" w:eastAsia="Calibri" w:hAnsi="Calibri"/>
                <w:b w:val="false"/>
                <w:bCs w:val="false"/>
                <w:color w:val="1B2A3A"/>
                <w:sz w:val="18"/>
                <w:szCs w:val="18"/>
              </w:rPr>
              <w:t xml:space="preserve"> (45%) and </w:t>
            </w:r>
            <w:r>
              <w:rPr>
                <w:rFonts w:ascii="Calibri" w:cs="Calibri" w:eastAsia="Calibri" w:hAnsi="Calibri"/>
                <w:b/>
                <w:bCs/>
                <w:color w:val="1B2A3A"/>
                <w:sz w:val="18"/>
                <w:szCs w:val="18"/>
              </w:rPr>
              <w:t xml:space="preserve">final presentation</w:t>
            </w:r>
            <w:r>
              <w:rPr>
                <w:rFonts w:ascii="Calibri" w:cs="Calibri" w:eastAsia="Calibri" w:hAnsi="Calibri"/>
                <w:b w:val="false"/>
                <w:bCs w:val="false"/>
                <w:color w:val="1B2A3A"/>
                <w:sz w:val="18"/>
                <w:szCs w:val="18"/>
              </w:rPr>
              <w:t xml:space="preserve"> (15%), plus the code. Report uploaded before the Week 15 session; presentation 12 minutes plus 5 minutes of questions.</w:t>
            </w:r>
          </w:p>
        </w:tc>
      </w:tr>
    </w:tbl>
    <w:p>
      <w:pPr>
        <w:spacing w:after="160"/>
      </w:pPr>
      <w:r>
        <w:rPr>
          <w:sz w:val="10"/>
          <w:szCs w:val="10"/>
        </w:rPr>
        <w:t xml:space="preserve"/>
      </w:r>
    </w:p>
    <w:p>
      <w:pPr>
        <w:pStyle w:val="Heading2"/>
        <w:spacing w:after="90" w:before="220"/>
      </w:pPr>
      <w:r>
        <w:rPr>
          <w:rFonts w:ascii="Calibri" w:cs="Calibri" w:eastAsia="Calibri" w:hAnsi="Calibri"/>
          <w:b/>
          <w:bCs/>
          <w:color w:val="0E7C86"/>
          <w:sz w:val="22"/>
          <w:szCs w:val="22"/>
        </w:rPr>
        <w:t xml:space="preserve">What the midterm presentation must show</w:t>
      </w:r>
    </w:p>
    <w:p>
      <w:pPr>
        <w:spacing w:after="120" w:line="280"/>
        <w:jc w:val="both"/>
      </w:pPr>
      <w:r>
        <w:rPr>
          <w:rFonts w:ascii="Calibri" w:cs="Calibri" w:eastAsia="Calibri" w:hAnsi="Calibri"/>
          <w:color w:val="1B2A3A"/>
          <w:sz w:val="20"/>
          <w:szCs w:val="20"/>
        </w:rPr>
        <w:t xml:space="preserve">The decision; the data as it actually is, including the problems found in it; the preparation done so far; a working baseline; and one trained model with honest first results. A midterm that presents only background reading and a plan, with no data work, scores in the lowest band regardless of how well it is delivered.</w:t>
      </w:r>
    </w:p>
    <w:p>
      <w:pPr>
        <w:pStyle w:val="Heading2"/>
        <w:spacing w:after="90" w:before="220"/>
      </w:pPr>
      <w:r>
        <w:rPr>
          <w:rFonts w:ascii="Calibri" w:cs="Calibri" w:eastAsia="Calibri" w:hAnsi="Calibri"/>
          <w:b/>
          <w:bCs/>
          <w:color w:val="0E7C86"/>
          <w:sz w:val="22"/>
          <w:szCs w:val="22"/>
        </w:rPr>
        <w:t xml:space="preserve">What is submitted at Week 15</w:t>
      </w:r>
    </w:p>
    <w:p>
      <w:pPr>
        <w:pStyle w:val="ListParagraph"/>
        <w:numPr>
          <w:ilvl w:val="0"/>
          <w:numId w:val="1"/>
        </w:numPr>
        <w:spacing w:after="70" w:line="280"/>
      </w:pPr>
      <w:r>
        <w:rPr>
          <w:rFonts w:ascii="Calibri" w:cs="Calibri" w:eastAsia="Calibri" w:hAnsi="Calibri"/>
          <w:b/>
          <w:bCs/>
          <w:color w:val="1B2A3A"/>
          <w:sz w:val="20"/>
          <w:szCs w:val="20"/>
        </w:rPr>
        <w:t xml:space="preserve">Report</w:t>
      </w:r>
      <w:r>
        <w:rPr>
          <w:rFonts w:ascii="Calibri" w:cs="Calibri" w:eastAsia="Calibri" w:hAnsi="Calibri"/>
          <w:color w:val="1B2A3A"/>
          <w:sz w:val="20"/>
          <w:szCs w:val="20"/>
        </w:rPr>
        <w:t xml:space="preserve"> — PDF, maximum 15 pages excluding appendices, following the section list in §8. English or Vietnamese; English is encouraged (L.O.5.3) and is not marked for language quality, only for clarity.</w:t>
      </w:r>
    </w:p>
    <w:p>
      <w:pPr>
        <w:pStyle w:val="ListParagraph"/>
        <w:numPr>
          <w:ilvl w:val="0"/>
          <w:numId w:val="1"/>
        </w:numPr>
        <w:spacing w:after="70" w:line="280"/>
      </w:pPr>
      <w:r>
        <w:rPr>
          <w:rFonts w:ascii="Calibri" w:cs="Calibri" w:eastAsia="Calibri" w:hAnsi="Calibri"/>
          <w:b/>
          <w:bCs/>
          <w:color w:val="1B2A3A"/>
          <w:sz w:val="20"/>
          <w:szCs w:val="20"/>
        </w:rPr>
        <w:t xml:space="preserve">Code</w:t>
      </w:r>
      <w:r>
        <w:rPr>
          <w:rFonts w:ascii="Calibri" w:cs="Calibri" w:eastAsia="Calibri" w:hAnsi="Calibri"/>
          <w:color w:val="1B2A3A"/>
          <w:sz w:val="20"/>
          <w:szCs w:val="20"/>
        </w:rPr>
        <w:t xml:space="preserve"> — one Jupyter notebook, or a small set of </w:t>
      </w:r>
      <w:r>
        <w:rPr>
          <w:rFonts w:ascii="Consolas" w:cs="Consolas" w:eastAsia="Consolas" w:hAnsi="Consolas"/>
          <w:color w:val="1B2A3A"/>
          <w:sz w:val="18"/>
          <w:szCs w:val="18"/>
        </w:rPr>
        <w:t xml:space="preserve">.py</w:t>
      </w:r>
      <w:r>
        <w:rPr>
          <w:rFonts w:ascii="Calibri" w:cs="Calibri" w:eastAsia="Calibri" w:hAnsi="Calibri"/>
          <w:color w:val="1B2A3A"/>
          <w:sz w:val="20"/>
          <w:szCs w:val="20"/>
        </w:rPr>
        <w:t xml:space="preserve"> files, that runs top to bottom on a clean machine and reproduces every number in the report. Include a short </w:t>
      </w:r>
      <w:r>
        <w:rPr>
          <w:rFonts w:ascii="Consolas" w:cs="Consolas" w:eastAsia="Consolas" w:hAnsi="Consolas"/>
          <w:color w:val="1B2A3A"/>
          <w:sz w:val="18"/>
          <w:szCs w:val="18"/>
        </w:rPr>
        <w:t xml:space="preserve">README</w:t>
      </w:r>
      <w:r>
        <w:rPr>
          <w:rFonts w:ascii="Calibri" w:cs="Calibri" w:eastAsia="Calibri" w:hAnsi="Calibri"/>
          <w:color w:val="1B2A3A"/>
          <w:sz w:val="20"/>
          <w:szCs w:val="20"/>
        </w:rPr>
        <w:t xml:space="preserve"> giving the exact steps to obtain the data.</w:t>
      </w:r>
    </w:p>
    <w:p>
      <w:pPr>
        <w:pStyle w:val="ListParagraph"/>
        <w:numPr>
          <w:ilvl w:val="0"/>
          <w:numId w:val="1"/>
        </w:numPr>
        <w:spacing w:after="70" w:line="280"/>
      </w:pPr>
      <w:r>
        <w:rPr>
          <w:rFonts w:ascii="Calibri" w:cs="Calibri" w:eastAsia="Calibri" w:hAnsi="Calibri"/>
          <w:b/>
          <w:bCs/>
          <w:color w:val="1B2A3A"/>
          <w:sz w:val="20"/>
          <w:szCs w:val="20"/>
        </w:rPr>
        <w:t xml:space="preserve">Do not upload the raw dataset.</w:t>
      </w:r>
      <w:r>
        <w:rPr>
          <w:rFonts w:ascii="Calibri" w:cs="Calibri" w:eastAsia="Calibri" w:hAnsi="Calibri"/>
          <w:color w:val="1B2A3A"/>
          <w:sz w:val="20"/>
          <w:szCs w:val="20"/>
        </w:rPr>
        <w:t xml:space="preserve"> Provide a download script or a documented link instead. Uploaded data files will not be marked and may breach the dataset licence.</w:t>
      </w:r>
    </w:p>
    <w:p>
      <w:pPr>
        <w:pStyle w:val="ListParagraph"/>
        <w:numPr>
          <w:ilvl w:val="0"/>
          <w:numId w:val="1"/>
        </w:numPr>
        <w:spacing w:after="70" w:line="280"/>
      </w:pPr>
      <w:r>
        <w:rPr>
          <w:rFonts w:ascii="Calibri" w:cs="Calibri" w:eastAsia="Calibri" w:hAnsi="Calibri"/>
          <w:b/>
          <w:bCs/>
          <w:color w:val="1B2A3A"/>
          <w:sz w:val="20"/>
          <w:szCs w:val="20"/>
        </w:rPr>
        <w:t xml:space="preserve">Presentation</w:t>
      </w:r>
      <w:r>
        <w:rPr>
          <w:rFonts w:ascii="Calibri" w:cs="Calibri" w:eastAsia="Calibri" w:hAnsi="Calibri"/>
          <w:color w:val="1B2A3A"/>
          <w:sz w:val="20"/>
          <w:szCs w:val="20"/>
        </w:rPr>
        <w:t xml:space="preserve"> — 12 minutes plus 5 minutes of questions. Every member speaks.</w:t>
      </w:r>
    </w:p>
    <w:p>
      <w:pPr>
        <w:pStyle w:val="Heading1"/>
        <w:spacing w:after="120" w:before="320"/>
      </w:pPr>
      <w:r>
        <w:rPr>
          <w:rFonts w:ascii="Cambria" w:cs="Cambria" w:eastAsia="Cambria" w:hAnsi="Cambria"/>
          <w:b/>
          <w:bCs/>
          <w:color w:val="0B2545"/>
          <w:sz w:val="28"/>
          <w:szCs w:val="28"/>
        </w:rPr>
        <w:t xml:space="preserve">8.  Required report sections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5847"/>
      </w:tblGrid>
      <w:tr>
        <w:trPr>
          <w:cantSplit/>
          <w:tblHeader/>
        </w:trPr>
        <w:tc>
          <w:tcPr>
            <w:tcW w:type="dxa" w:w="780"/>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w:t>
            </w:r>
          </w:p>
        </w:tc>
        <w:tc>
          <w:tcPr>
            <w:tcW w:type="dxa" w:w="3119"/>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Section</w:t>
            </w:r>
          </w:p>
        </w:tc>
        <w:tc>
          <w:tcPr>
            <w:tcW w:type="dxa" w:w="5847"/>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8"/>
                <w:szCs w:val="18"/>
              </w:rPr>
              <w:t xml:space="preserve">What it contains</w:t>
            </w:r>
          </w:p>
        </w:tc>
      </w:tr>
      <w:tr>
        <w:trPr>
          <w:cantSplit/>
        </w:trPr>
        <w:tc>
          <w:tcPr>
            <w:tcW w:type="dxa" w:w="78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1</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Title page</w:t>
            </w:r>
          </w:p>
        </w:tc>
        <w:tc>
          <w:tcPr>
            <w:tcW w:type="dxa" w:w="584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Course, section, team number, members and student IDs</w:t>
            </w:r>
          </w:p>
        </w:tc>
      </w:tr>
      <w:tr>
        <w:trPr>
          <w:cantSplit/>
        </w:trPr>
        <w:tc>
          <w:tcPr>
            <w:tcW w:type="dxa" w:w="78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2</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Executive summary</w:t>
            </w:r>
          </w:p>
        </w:tc>
        <w:tc>
          <w:tcPr>
            <w:tcW w:type="dxa" w:w="584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Half a page. The recommendation first, the evidence second</w:t>
            </w:r>
          </w:p>
        </w:tc>
      </w:tr>
      <w:tr>
        <w:trPr>
          <w:cantSplit/>
        </w:trPr>
        <w:tc>
          <w:tcPr>
            <w:tcW w:type="dxa" w:w="78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3</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Problem and decision</w:t>
            </w:r>
          </w:p>
        </w:tc>
        <w:tc>
          <w:tcPr>
            <w:tcW w:type="dxa" w:w="584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The supply-chain situation, the decision, the decision-maker, the cost of each kind of error</w:t>
            </w:r>
          </w:p>
        </w:tc>
      </w:tr>
      <w:tr>
        <w:trPr>
          <w:cantSplit/>
        </w:trPr>
        <w:tc>
          <w:tcPr>
            <w:tcW w:type="dxa" w:w="78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4</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Data</w:t>
            </w:r>
          </w:p>
        </w:tc>
        <w:tc>
          <w:tcPr>
            <w:tcW w:type="dxa" w:w="584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Source, licence, structure, size, and an honest quality assessment</w:t>
            </w:r>
          </w:p>
        </w:tc>
      </w:tr>
      <w:tr>
        <w:trPr>
          <w:cantSplit/>
        </w:trPr>
        <w:tc>
          <w:tcPr>
            <w:tcW w:type="dxa" w:w="78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5</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Data preparation</w:t>
            </w:r>
          </w:p>
        </w:tc>
        <w:tc>
          <w:tcPr>
            <w:tcW w:type="dxa" w:w="584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Every decision taken and why; what was discarded and what that risks</w:t>
            </w:r>
          </w:p>
        </w:tc>
      </w:tr>
      <w:tr>
        <w:trPr>
          <w:cantSplit/>
        </w:trPr>
        <w:tc>
          <w:tcPr>
            <w:tcW w:type="dxa" w:w="78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6</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Method</w:t>
            </w:r>
          </w:p>
        </w:tc>
        <w:tc>
          <w:tcPr>
            <w:tcW w:type="dxa" w:w="584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The models compared and the reason each was chosen</w:t>
            </w:r>
          </w:p>
        </w:tc>
      </w:tr>
      <w:tr>
        <w:trPr>
          <w:cantSplit/>
        </w:trPr>
        <w:tc>
          <w:tcPr>
            <w:tcW w:type="dxa" w:w="78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7</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Validation design</w:t>
            </w:r>
          </w:p>
        </w:tc>
        <w:tc>
          <w:tcPr>
            <w:tcW w:type="dxa" w:w="584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Split strategy, cross-validation scheme, metric choice and its justification</w:t>
            </w:r>
          </w:p>
        </w:tc>
      </w:tr>
      <w:tr>
        <w:trPr>
          <w:cantSplit/>
        </w:trPr>
        <w:tc>
          <w:tcPr>
            <w:tcW w:type="dxa" w:w="78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8</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Results</w:t>
            </w:r>
          </w:p>
        </w:tc>
        <w:tc>
          <w:tcPr>
            <w:tcW w:type="dxa" w:w="584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Comparison table against the baseline, with the spread across folds</w:t>
            </w:r>
          </w:p>
        </w:tc>
      </w:tr>
      <w:tr>
        <w:trPr>
          <w:cantSplit/>
        </w:trPr>
        <w:tc>
          <w:tcPr>
            <w:tcW w:type="dxa" w:w="78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9</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Interpretation</w:t>
            </w:r>
          </w:p>
        </w:tc>
        <w:tc>
          <w:tcPr>
            <w:tcW w:type="dxa" w:w="584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What drives the model, and whether that is operationally sensible</w:t>
            </w:r>
          </w:p>
        </w:tc>
      </w:tr>
      <w:tr>
        <w:trPr>
          <w:cantSplit/>
        </w:trPr>
        <w:tc>
          <w:tcPr>
            <w:tcW w:type="dxa" w:w="78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10</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Recommendation</w:t>
            </w:r>
          </w:p>
        </w:tc>
        <w:tc>
          <w:tcPr>
            <w:tcW w:type="dxa" w:w="584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What the company should do, and the estimated size of the effect</w:t>
            </w:r>
          </w:p>
        </w:tc>
      </w:tr>
      <w:tr>
        <w:trPr>
          <w:cantSplit/>
        </w:trPr>
        <w:tc>
          <w:tcPr>
            <w:tcW w:type="dxa" w:w="78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11</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Limitations</w:t>
            </w:r>
          </w:p>
        </w:tc>
        <w:tc>
          <w:tcPr>
            <w:tcW w:type="dxa" w:w="584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What the model cannot do; what would be done with more time or data</w:t>
            </w:r>
          </w:p>
        </w:tc>
      </w:tr>
      <w:tr>
        <w:trPr>
          <w:cantSplit/>
        </w:trPr>
        <w:tc>
          <w:tcPr>
            <w:tcW w:type="dxa" w:w="78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12</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Contribution table</w:t>
            </w:r>
          </w:p>
        </w:tc>
        <w:tc>
          <w:tcPr>
            <w:tcW w:type="dxa" w:w="584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Which member led which part</w:t>
            </w:r>
          </w:p>
        </w:tc>
      </w:tr>
      <w:tr>
        <w:trPr>
          <w:cantSplit/>
        </w:trPr>
        <w:tc>
          <w:tcPr>
            <w:tcW w:type="dxa" w:w="78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13</w:t>
            </w:r>
          </w:p>
        </w:tc>
        <w:tc>
          <w:tcPr>
            <w:tcW w:type="dxa" w:w="3119"/>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References</w:t>
            </w:r>
          </w:p>
        </w:tc>
        <w:tc>
          <w:tcPr>
            <w:tcW w:type="dxa" w:w="584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Any consistent style, applied consistently</w:t>
            </w:r>
          </w:p>
        </w:tc>
      </w:tr>
      <w:tr>
        <w:trPr>
          <w:cantSplit/>
        </w:trPr>
        <w:tc>
          <w:tcPr>
            <w:tcW w:type="dxa" w:w="78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8"/>
                <w:szCs w:val="18"/>
              </w:rPr>
              <w:t xml:space="preserve">14</w:t>
            </w:r>
          </w:p>
        </w:tc>
        <w:tc>
          <w:tcPr>
            <w:tcW w:type="dxa" w:w="3119"/>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Appendices</w:t>
            </w:r>
          </w:p>
        </w:tc>
        <w:tc>
          <w:tcPr>
            <w:tcW w:type="dxa" w:w="584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8"/>
                <w:szCs w:val="18"/>
              </w:rPr>
              <w:t xml:space="preserve">Additional plots, full parameter tables, code excerpts — not counted in the 15 pages</w:t>
            </w:r>
          </w:p>
        </w:tc>
      </w:tr>
    </w:tbl>
    <w:p>
      <w:pPr>
        <w:spacing w:after="160"/>
      </w:pPr>
      <w:r>
        <w:rPr>
          <w:sz w:val="10"/>
          <w:szCs w:val="10"/>
        </w:rPr>
        <w:t xml:space="preserve"/>
      </w:r>
    </w:p>
    <w:p>
      <w:pPr>
        <w:pStyle w:val="Heading1"/>
        <w:spacing w:after="120" w:before="320"/>
      </w:pPr>
      <w:r>
        <w:rPr>
          <w:rFonts w:ascii="Cambria" w:cs="Cambria" w:eastAsia="Cambria" w:hAnsi="Cambria"/>
          <w:b/>
          <w:bCs/>
          <w:color w:val="0B2545"/>
          <w:sz w:val="28"/>
          <w:szCs w:val="28"/>
        </w:rPr>
        <w:t xml:space="preserve">9.  Submission, marking and rules</w:t>
      </w:r>
    </w:p>
    <w:p>
      <w:pPr>
        <w:pStyle w:val="ListParagraph"/>
        <w:numPr>
          <w:ilvl w:val="0"/>
          <w:numId w:val="1"/>
        </w:numPr>
        <w:spacing w:after="70" w:line="280"/>
      </w:pPr>
      <w:r>
        <w:rPr>
          <w:rFonts w:ascii="Calibri" w:cs="Calibri" w:eastAsia="Calibri" w:hAnsi="Calibri"/>
          <w:b/>
          <w:bCs/>
          <w:color w:val="1B2A3A"/>
          <w:sz w:val="20"/>
          <w:szCs w:val="20"/>
        </w:rPr>
        <w:t xml:space="preserve">Where:</w:t>
      </w:r>
      <w:r>
        <w:rPr>
          <w:rFonts w:ascii="Calibri" w:cs="Calibri" w:eastAsia="Calibri" w:hAnsi="Calibri"/>
          <w:color w:val="1B2A3A"/>
          <w:sz w:val="20"/>
          <w:szCs w:val="20"/>
        </w:rPr>
        <w:t xml:space="preserve"> BKEL (e-learning.hcmut.edu.vn), one submission per team.</w:t>
      </w:r>
    </w:p>
    <w:p>
      <w:pPr>
        <w:pStyle w:val="ListParagraph"/>
        <w:numPr>
          <w:ilvl w:val="0"/>
          <w:numId w:val="1"/>
        </w:numPr>
        <w:spacing w:after="70" w:line="280"/>
      </w:pPr>
      <w:r>
        <w:rPr>
          <w:rFonts w:ascii="Calibri" w:cs="Calibri" w:eastAsia="Calibri" w:hAnsi="Calibri"/>
          <w:b/>
          <w:bCs/>
          <w:color w:val="1B2A3A"/>
          <w:sz w:val="20"/>
          <w:szCs w:val="20"/>
        </w:rPr>
        <w:t xml:space="preserve">File naming:</w:t>
      </w:r>
      <w:r>
        <w:rPr>
          <w:rFonts w:ascii="Calibri" w:cs="Calibri" w:eastAsia="Calibri" w:hAnsi="Calibri"/>
          <w:color w:val="1B2A3A"/>
          <w:sz w:val="20"/>
          <w:szCs w:val="20"/>
        </w:rPr>
        <w:t xml:space="preserve"> </w:t>
      </w:r>
      <w:r>
        <w:rPr>
          <w:rFonts w:ascii="Consolas" w:cs="Consolas" w:eastAsia="Consolas" w:hAnsi="Consolas"/>
          <w:color w:val="1B2A3A"/>
          <w:sz w:val="18"/>
          <w:szCs w:val="18"/>
        </w:rPr>
        <w:t xml:space="preserve">ME3297_&lt;Section&gt;_Team&lt;NN&gt;_&lt;Deliverable&gt;.pdf</w:t>
      </w:r>
      <w:r>
        <w:rPr>
          <w:rFonts w:ascii="Calibri" w:cs="Calibri" w:eastAsia="Calibri" w:hAnsi="Calibri"/>
          <w:color w:val="1B2A3A"/>
          <w:sz w:val="20"/>
          <w:szCs w:val="20"/>
        </w:rPr>
        <w:t xml:space="preserve"> — for example </w:t>
      </w:r>
      <w:r>
        <w:rPr>
          <w:rFonts w:ascii="Consolas" w:cs="Consolas" w:eastAsia="Consolas" w:hAnsi="Consolas"/>
          <w:color w:val="1B2A3A"/>
          <w:sz w:val="18"/>
          <w:szCs w:val="18"/>
        </w:rPr>
        <w:t xml:space="preserve">ME3297_L01_Team07_Proposal.pdf</w:t>
      </w:r>
      <w:r>
        <w:rPr>
          <w:rFonts w:ascii="Calibri" w:cs="Calibri" w:eastAsia="Calibri" w:hAnsi="Calibri"/>
          <w:color w:val="1B2A3A"/>
          <w:sz w:val="20"/>
          <w:szCs w:val="20"/>
        </w:rPr>
        <w:t xml:space="preserve">.</w:t>
      </w:r>
    </w:p>
    <w:p>
      <w:pPr>
        <w:pStyle w:val="ListParagraph"/>
        <w:numPr>
          <w:ilvl w:val="0"/>
          <w:numId w:val="1"/>
        </w:numPr>
        <w:spacing w:after="70" w:line="280"/>
      </w:pPr>
      <w:r>
        <w:rPr>
          <w:rFonts w:ascii="Calibri" w:cs="Calibri" w:eastAsia="Calibri" w:hAnsi="Calibri"/>
          <w:b/>
          <w:bCs/>
          <w:color w:val="1B2A3A"/>
          <w:sz w:val="20"/>
          <w:szCs w:val="20"/>
        </w:rPr>
        <w:t xml:space="preserve">Weights inside the 30%:</w:t>
      </w:r>
      <w:r>
        <w:rPr>
          <w:rFonts w:ascii="Calibri" w:cs="Calibri" w:eastAsia="Calibri" w:hAnsi="Calibri"/>
          <w:color w:val="1B2A3A"/>
          <w:sz w:val="20"/>
          <w:szCs w:val="20"/>
        </w:rPr>
        <w:t xml:space="preserve"> proposal 15 · midterm presentation 25 · final report 45 · final presentation 15. The project total out of 100 is multiplied by 0.30.</w:t>
      </w:r>
    </w:p>
    <w:p>
      <w:pPr>
        <w:pStyle w:val="ListParagraph"/>
        <w:numPr>
          <w:ilvl w:val="0"/>
          <w:numId w:val="1"/>
        </w:numPr>
        <w:spacing w:after="70" w:line="280"/>
      </w:pPr>
      <w:r>
        <w:rPr>
          <w:rFonts w:ascii="Calibri" w:cs="Calibri" w:eastAsia="Calibri" w:hAnsi="Calibri"/>
          <w:b/>
          <w:bCs/>
          <w:color w:val="1B2A3A"/>
          <w:sz w:val="20"/>
          <w:szCs w:val="20"/>
        </w:rPr>
        <w:t xml:space="preserve">Late work:</w:t>
      </w:r>
      <w:r>
        <w:rPr>
          <w:rFonts w:ascii="Calibri" w:cs="Calibri" w:eastAsia="Calibri" w:hAnsi="Calibri"/>
          <w:color w:val="1B2A3A"/>
          <w:sz w:val="20"/>
          <w:szCs w:val="20"/>
        </w:rPr>
        <w:t xml:space="preserve"> as stated in the syllabus, late submissions are accepted only with a reason presented and approved before the due date, and lose </w:t>
      </w:r>
      <w:r>
        <w:rPr>
          <w:rFonts w:ascii="Calibri" w:cs="Calibri" w:eastAsia="Calibri" w:hAnsi="Calibri"/>
          <w:b/>
          <w:bCs/>
          <w:color w:val="1B2A3A"/>
          <w:sz w:val="20"/>
          <w:szCs w:val="20"/>
        </w:rPr>
        <w:t xml:space="preserve">2 points per day</w:t>
      </w:r>
      <w:r>
        <w:rPr>
          <w:rFonts w:ascii="Calibri" w:cs="Calibri" w:eastAsia="Calibri" w:hAnsi="Calibri"/>
          <w:color w:val="1B2A3A"/>
          <w:sz w:val="20"/>
          <w:szCs w:val="20"/>
        </w:rPr>
        <w:t xml:space="preserve"> late.</w:t>
      </w:r>
    </w:p>
    <w:p>
      <w:pPr>
        <w:pStyle w:val="ListParagraph"/>
        <w:numPr>
          <w:ilvl w:val="0"/>
          <w:numId w:val="1"/>
        </w:numPr>
        <w:spacing w:after="70" w:line="280"/>
      </w:pPr>
      <w:r>
        <w:rPr>
          <w:rFonts w:ascii="Calibri" w:cs="Calibri" w:eastAsia="Calibri" w:hAnsi="Calibri"/>
          <w:b/>
          <w:bCs/>
          <w:color w:val="1B2A3A"/>
          <w:sz w:val="20"/>
          <w:szCs w:val="20"/>
        </w:rPr>
        <w:t xml:space="preserve">Presentations are a condition of the project mark.</w:t>
      </w:r>
      <w:r>
        <w:rPr>
          <w:rFonts w:ascii="Calibri" w:cs="Calibri" w:eastAsia="Calibri" w:hAnsi="Calibri"/>
          <w:color w:val="1B2A3A"/>
          <w:sz w:val="20"/>
          <w:szCs w:val="20"/>
        </w:rPr>
        <w:t xml:space="preserve"> A member absent from a presentation without prior approval receives zero for that component; the syllabus also makes completing group presentations a condition of sitting the final exam.</w:t>
      </w:r>
    </w:p>
    <w:p>
      <w:pPr>
        <w:pStyle w:val="ListParagraph"/>
        <w:numPr>
          <w:ilvl w:val="0"/>
          <w:numId w:val="1"/>
        </w:numPr>
        <w:spacing w:after="70" w:line="280"/>
      </w:pPr>
      <w:r>
        <w:rPr>
          <w:rFonts w:ascii="Calibri" w:cs="Calibri" w:eastAsia="Calibri" w:hAnsi="Calibri"/>
          <w:b/>
          <w:bCs/>
          <w:color w:val="1B2A3A"/>
          <w:sz w:val="20"/>
          <w:szCs w:val="20"/>
        </w:rPr>
        <w:t xml:space="preserve">Dataset licence:</w:t>
      </w:r>
      <w:r>
        <w:rPr>
          <w:rFonts w:ascii="Calibri" w:cs="Calibri" w:eastAsia="Calibri" w:hAnsi="Calibri"/>
          <w:color w:val="1B2A3A"/>
          <w:sz w:val="20"/>
          <w:szCs w:val="20"/>
        </w:rPr>
        <w:t xml:space="preserve"> cite the dataset in the report exactly as its publisher requires. Using a dataset outside its licence terms is an academic-integrity matter, not a formatting slip.</w:t>
      </w:r>
    </w:p>
    <w:p>
      <w:pPr>
        <w:pStyle w:val="Heading2"/>
        <w:spacing w:after="90" w:before="220"/>
      </w:pPr>
      <w:r>
        <w:rPr>
          <w:rFonts w:ascii="Calibri" w:cs="Calibri" w:eastAsia="Calibri" w:hAnsi="Calibri"/>
          <w:b/>
          <w:bCs/>
          <w:color w:val="0E7C86"/>
          <w:sz w:val="22"/>
          <w:szCs w:val="22"/>
        </w:rPr>
        <w:t xml:space="preserve">Academic integrity</w:t>
      </w:r>
    </w:p>
    <w:p>
      <w:pPr>
        <w:spacing w:after="120" w:line="280"/>
        <w:jc w:val="both"/>
      </w:pPr>
      <w:r>
        <w:rPr>
          <w:rFonts w:ascii="Calibri" w:cs="Calibri" w:eastAsia="Calibri" w:hAnsi="Calibri"/>
          <w:color w:val="1B2A3A"/>
          <w:sz w:val="20"/>
          <w:szCs w:val="20"/>
        </w:rPr>
        <w:t xml:space="preserve">Reports and notebooks are compared against each other and against publicly available notebooks. Copying analysis, prose or code from a public notebook without citing it is plagiarism. Building on a public notebook </w:t>
      </w:r>
      <w:r>
        <w:rPr>
          <w:rFonts w:ascii="Calibri" w:cs="Calibri" w:eastAsia="Calibri" w:hAnsi="Calibri"/>
          <w:b/>
          <w:bCs/>
          <w:color w:val="1B2A3A"/>
          <w:sz w:val="20"/>
          <w:szCs w:val="20"/>
        </w:rPr>
        <w:t xml:space="preserve">with</w:t>
      </w:r>
      <w:r>
        <w:rPr>
          <w:rFonts w:ascii="Calibri" w:cs="Calibri" w:eastAsia="Calibri" w:hAnsi="Calibri"/>
          <w:color w:val="1B2A3A"/>
          <w:sz w:val="20"/>
          <w:szCs w:val="20"/>
        </w:rPr>
        <w:t xml:space="preserve"> a clear citation, and stating plainly what the team added, is allowed and can score well — originality of method is not what is being marked; understanding and judgement are.</w:t>
      </w:r>
    </w:p>
    <w:p>
      <w:pPr>
        <w:pStyle w:val="Heading2"/>
        <w:spacing w:after="90" w:before="220"/>
      </w:pPr>
      <w:r>
        <w:rPr>
          <w:rFonts w:ascii="Calibri" w:cs="Calibri" w:eastAsia="Calibri" w:hAnsi="Calibri"/>
          <w:b/>
          <w:bCs/>
          <w:color w:val="0E7C86"/>
          <w:sz w:val="22"/>
          <w:szCs w:val="22"/>
        </w:rPr>
        <w:t xml:space="preserve">Use of AI assistants on this project</w:t>
      </w:r>
    </w:p>
    <w:p>
      <w:pPr>
        <w:pStyle w:val="ListParagraph"/>
        <w:numPr>
          <w:ilvl w:val="0"/>
          <w:numId w:val="1"/>
        </w:numPr>
        <w:spacing w:after="70" w:line="280"/>
      </w:pPr>
      <w:r>
        <w:rPr>
          <w:rFonts w:ascii="Calibri" w:cs="Calibri" w:eastAsia="Calibri" w:hAnsi="Calibri"/>
          <w:b/>
          <w:bCs/>
          <w:color w:val="1B2A3A"/>
          <w:sz w:val="20"/>
          <w:szCs w:val="20"/>
        </w:rPr>
        <w:t xml:space="preserve">Allowed:</w:t>
      </w:r>
      <w:r>
        <w:rPr>
          <w:rFonts w:ascii="Calibri" w:cs="Calibri" w:eastAsia="Calibri" w:hAnsi="Calibri"/>
          <w:color w:val="1B2A3A"/>
          <w:sz w:val="20"/>
          <w:szCs w:val="20"/>
        </w:rPr>
        <w:t xml:space="preserve"> asking an AI assistant to explain an error message, to explain a concept, to suggest what to read, or to check grammar.</w:t>
      </w:r>
    </w:p>
    <w:p>
      <w:pPr>
        <w:pStyle w:val="ListParagraph"/>
        <w:numPr>
          <w:ilvl w:val="0"/>
          <w:numId w:val="1"/>
        </w:numPr>
        <w:spacing w:after="70" w:line="280"/>
      </w:pPr>
      <w:r>
        <w:rPr>
          <w:rFonts w:ascii="Calibri" w:cs="Calibri" w:eastAsia="Calibri" w:hAnsi="Calibri"/>
          <w:b/>
          <w:bCs/>
          <w:color w:val="1B2A3A"/>
          <w:sz w:val="20"/>
          <w:szCs w:val="20"/>
        </w:rPr>
        <w:t xml:space="preserve">Not allowed:</w:t>
      </w:r>
      <w:r>
        <w:rPr>
          <w:rFonts w:ascii="Calibri" w:cs="Calibri" w:eastAsia="Calibri" w:hAnsi="Calibri"/>
          <w:color w:val="1B2A3A"/>
          <w:sz w:val="20"/>
          <w:szCs w:val="20"/>
        </w:rPr>
        <w:t xml:space="preserve"> submitting analysis, code or written text produced by an AI assistant as the team's own work.</w:t>
      </w:r>
    </w:p>
    <w:p>
      <w:pPr>
        <w:pStyle w:val="ListParagraph"/>
        <w:numPr>
          <w:ilvl w:val="0"/>
          <w:numId w:val="1"/>
        </w:numPr>
        <w:spacing w:after="70" w:line="280"/>
      </w:pPr>
      <w:r>
        <w:rPr>
          <w:rFonts w:ascii="Calibri" w:cs="Calibri" w:eastAsia="Calibri" w:hAnsi="Calibri"/>
          <w:b/>
          <w:bCs/>
          <w:color w:val="1B2A3A"/>
          <w:sz w:val="20"/>
          <w:szCs w:val="20"/>
        </w:rPr>
        <w:t xml:space="preserve">Required:</w:t>
      </w:r>
      <w:r>
        <w:rPr>
          <w:rFonts w:ascii="Calibri" w:cs="Calibri" w:eastAsia="Calibri" w:hAnsi="Calibri"/>
          <w:color w:val="1B2A3A"/>
          <w:sz w:val="20"/>
          <w:szCs w:val="20"/>
        </w:rPr>
        <w:t xml:space="preserve"> every member must be able to explain any line of the submitted code and any sentence of the report when asked during a presentation. Being unable to explain the team's own submission is treated as evidence that the work is not the team's, and is handled under the integrity rules above.</w:t>
      </w:r>
    </w:p>
    <w:p>
      <w:pPr>
        <w:pStyle w:val="ListParagraph"/>
        <w:numPr>
          <w:ilvl w:val="0"/>
          <w:numId w:val="1"/>
        </w:numPr>
        <w:spacing w:after="70" w:line="280"/>
      </w:pPr>
      <w:r>
        <w:rPr>
          <w:rFonts w:ascii="Calibri" w:cs="Calibri" w:eastAsia="Calibri" w:hAnsi="Calibri"/>
          <w:b/>
          <w:bCs/>
          <w:color w:val="1B2A3A"/>
          <w:sz w:val="20"/>
          <w:szCs w:val="20"/>
        </w:rPr>
        <w:t xml:space="preserve">Declare it:</w:t>
      </w:r>
      <w:r>
        <w:rPr>
          <w:rFonts w:ascii="Calibri" w:cs="Calibri" w:eastAsia="Calibri" w:hAnsi="Calibri"/>
          <w:color w:val="1B2A3A"/>
          <w:sz w:val="20"/>
          <w:szCs w:val="20"/>
        </w:rPr>
        <w:t xml:space="preserve"> if an AI assistant was used at all, add one short appendix paragraph saying how. An honest declaration costs no marks; an undeclared one is an integrity matter.</w:t>
      </w:r>
    </w:p>
    <w:p>
      <w:pPr>
        <w:pStyle w:val="Heading1"/>
        <w:spacing w:after="120" w:before="320"/>
      </w:pPr>
      <w:r>
        <w:rPr>
          <w:rFonts w:ascii="Cambria" w:cs="Cambria" w:eastAsia="Cambria" w:hAnsi="Cambria"/>
          <w:b/>
          <w:bCs/>
          <w:color w:val="0B2545"/>
          <w:sz w:val="28"/>
          <w:szCs w:val="28"/>
        </w:rPr>
        <w:t xml:space="preserve">10.  Approved datasets (Route A)</w:t>
      </w:r>
    </w:p>
    <w:p>
      <w:pPr>
        <w:spacing w:after="120" w:line="280"/>
        <w:jc w:val="both"/>
      </w:pPr>
      <w:r>
        <w:rPr>
          <w:rFonts w:ascii="Calibri" w:cs="Calibri" w:eastAsia="Calibri" w:hAnsi="Calibri"/>
          <w:color w:val="1B2A3A"/>
          <w:sz w:val="20"/>
          <w:szCs w:val="20"/>
        </w:rPr>
        <w:t xml:space="preserve">All eight are real operational data, free to download, and large enough for the requirements in §6. The "fits" column names methods from the course that suit the data — it is a hint, not a restriction.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2437"/>
        <w:gridCol w:w="1462"/>
        <w:gridCol w:w="3314"/>
        <w:gridCol w:w="2143"/>
      </w:tblGrid>
      <w:tr>
        <w:trPr>
          <w:cantSplit/>
          <w:tblHeader/>
        </w:trPr>
        <w:tc>
          <w:tcPr>
            <w:tcW w:type="dxa" w:w="390"/>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6"/>
                <w:szCs w:val="16"/>
              </w:rPr>
              <w:t xml:space="preserve"/>
            </w:r>
          </w:p>
        </w:tc>
        <w:tc>
          <w:tcPr>
            <w:tcW w:type="dxa" w:w="2437"/>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6"/>
                <w:szCs w:val="16"/>
              </w:rPr>
              <w:t xml:space="preserve">Dataset and source</w:t>
            </w:r>
          </w:p>
        </w:tc>
        <w:tc>
          <w:tcPr>
            <w:tcW w:type="dxa" w:w="1462"/>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6"/>
                <w:szCs w:val="16"/>
              </w:rPr>
              <w:t xml:space="preserve">Scale</w:t>
            </w:r>
          </w:p>
        </w:tc>
        <w:tc>
          <w:tcPr>
            <w:tcW w:type="dxa" w:w="3314"/>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6"/>
                <w:szCs w:val="16"/>
              </w:rPr>
              <w:t xml:space="preserve">Decisions it can support</w:t>
            </w:r>
          </w:p>
        </w:tc>
        <w:tc>
          <w:tcPr>
            <w:tcW w:type="dxa" w:w="2143"/>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6"/>
                <w:szCs w:val="16"/>
              </w:rPr>
              <w:t xml:space="preserve">Methods that fit</w:t>
            </w:r>
          </w:p>
        </w:tc>
      </w:tr>
      <w:tr>
        <w:trPr>
          <w:cantSplit/>
        </w:trPr>
        <w:tc>
          <w:tcPr>
            <w:tcW w:type="dxa" w:w="39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1</w:t>
            </w:r>
          </w:p>
        </w:tc>
        <w:tc>
          <w:tcPr>
            <w:tcW w:type="dxa" w:w="243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DataCo Smart Supply Chain</w:t>
            </w:r>
          </w:p>
          <w:p>
            <w:pPr>
              <w:spacing w:after="40" w:before="40" w:line="250"/>
              <w:jc w:val="left"/>
            </w:pPr>
            <w:r>
              <w:rPr>
                <w:rFonts w:ascii="Calibri" w:cs="Calibri" w:eastAsia="Calibri" w:hAnsi="Calibri"/>
                <w:b/>
                <w:bCs/>
                <w:color w:val="1B2A3A"/>
                <w:sz w:val="16"/>
                <w:szCs w:val="16"/>
              </w:rPr>
              <w:t xml:space="preserve">Mendeley Data (Constante, Silva &amp; Pereira, 2019)</w:t>
            </w:r>
          </w:p>
        </w:tc>
        <w:tc>
          <w:tcPr>
            <w:tcW w:type="dxa" w:w="1462"/>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≈180,500 order lines × 53 columns, 2015–2018</w:t>
            </w:r>
          </w:p>
        </w:tc>
        <w:tc>
          <w:tcPr>
            <w:tcW w:type="dxa" w:w="331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Flag orders at risk of late delivery (a late-delivery label is provided); find which product / market / shipping-mode combinations lose money; segment customers</w:t>
            </w:r>
          </w:p>
        </w:tc>
        <w:tc>
          <w:tcPr>
            <w:tcW w:type="dxa" w:w="2143"/>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Decision trees, SVM, ANN, clustering</w:t>
            </w:r>
          </w:p>
        </w:tc>
      </w:tr>
      <w:tr>
        <w:trPr>
          <w:cantSplit/>
        </w:trPr>
        <w:tc>
          <w:tcPr>
            <w:tcW w:type="dxa" w:w="39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2</w:t>
            </w:r>
          </w:p>
        </w:tc>
        <w:tc>
          <w:tcPr>
            <w:tcW w:type="dxa" w:w="243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Brazilian e-commerce (Olist)</w:t>
            </w:r>
          </w:p>
          <w:p>
            <w:pPr>
              <w:spacing w:after="40" w:before="40" w:line="250"/>
              <w:jc w:val="left"/>
            </w:pPr>
            <w:r>
              <w:rPr>
                <w:rFonts w:ascii="Calibri" w:cs="Calibri" w:eastAsia="Calibri" w:hAnsi="Calibri"/>
                <w:b/>
                <w:bCs/>
                <w:color w:val="1B2A3A"/>
                <w:sz w:val="16"/>
                <w:szCs w:val="16"/>
              </w:rPr>
              <w:t xml:space="preserve">Kaggle · CC BY-NC-SA 4.0</w:t>
            </w:r>
          </w:p>
        </w:tc>
        <w:tc>
          <w:tcPr>
            <w:tcW w:type="dxa" w:w="1462"/>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≈100,000 orders 2016–2018 in 9 linked tables</w:t>
            </w:r>
          </w:p>
        </w:tc>
        <w:tc>
          <w:tcPr>
            <w:tcW w:type="dxa" w:w="3314"/>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Predict late delivery at the moment of purchase; predict which orders will get a 1-star review; find which sellers or routes cause the delay</w:t>
            </w:r>
          </w:p>
        </w:tc>
        <w:tc>
          <w:tcPr>
            <w:tcW w:type="dxa" w:w="2143"/>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Trees, ANN, clustering</w:t>
            </w:r>
          </w:p>
        </w:tc>
      </w:tr>
      <w:tr>
        <w:trPr>
          <w:cantSplit/>
        </w:trPr>
        <w:tc>
          <w:tcPr>
            <w:tcW w:type="dxa" w:w="39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3</w:t>
            </w:r>
          </w:p>
        </w:tc>
        <w:tc>
          <w:tcPr>
            <w:tcW w:type="dxa" w:w="243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Health-commodity shipments (USAID SCMS delivery history)</w:t>
            </w:r>
          </w:p>
          <w:p>
            <w:pPr>
              <w:spacing w:after="40" w:before="40" w:line="250"/>
              <w:jc w:val="left"/>
            </w:pPr>
            <w:r>
              <w:rPr>
                <w:rFonts w:ascii="Calibri" w:cs="Calibri" w:eastAsia="Calibri" w:hAnsi="Calibri"/>
                <w:b/>
                <w:bCs/>
                <w:color w:val="1B2A3A"/>
                <w:sz w:val="16"/>
                <w:szCs w:val="16"/>
              </w:rPr>
              <w:t xml:space="preserve">Kaggle mirror of the US global health supply chain programme</w:t>
            </w:r>
          </w:p>
        </w:tc>
        <w:tc>
          <w:tcPr>
            <w:tcW w:type="dxa" w:w="1462"/>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10,324 shipments × 33 columns</w:t>
            </w:r>
          </w:p>
        </w:tc>
        <w:tc>
          <w:tcPr>
            <w:tcW w:type="dxa" w:w="331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Predict freight cost before booking; predict whether a shipment will miss its scheduled delivery date; decide when an expensive shipment mode is worth it</w:t>
            </w:r>
          </w:p>
        </w:tc>
        <w:tc>
          <w:tcPr>
            <w:tcW w:type="dxa" w:w="2143"/>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Regression, trees, SVM</w:t>
            </w:r>
          </w:p>
        </w:tc>
      </w:tr>
      <w:tr>
        <w:trPr>
          <w:cantSplit/>
        </w:trPr>
        <w:tc>
          <w:tcPr>
            <w:tcW w:type="dxa" w:w="39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4</w:t>
            </w:r>
          </w:p>
        </w:tc>
        <w:tc>
          <w:tcPr>
            <w:tcW w:type="dxa" w:w="243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Online Retail II</w:t>
            </w:r>
          </w:p>
          <w:p>
            <w:pPr>
              <w:spacing w:after="40" w:before="40" w:line="250"/>
              <w:jc w:val="left"/>
            </w:pPr>
            <w:r>
              <w:rPr>
                <w:rFonts w:ascii="Calibri" w:cs="Calibri" w:eastAsia="Calibri" w:hAnsi="Calibri"/>
                <w:b/>
                <w:bCs/>
                <w:color w:val="1B2A3A"/>
                <w:sz w:val="16"/>
                <w:szCs w:val="16"/>
              </w:rPr>
              <w:t xml:space="preserve">UCI ML Repository (ID 502) · CC BY 4.0</w:t>
            </w:r>
          </w:p>
        </w:tc>
        <w:tc>
          <w:tcPr>
            <w:tcW w:type="dxa" w:w="1462"/>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1,067,371 transaction lines, one UK retailer, Dec 2009 – Dec 2011</w:t>
            </w:r>
          </w:p>
        </w:tc>
        <w:tc>
          <w:tcPr>
            <w:tcW w:type="dxa" w:w="3314"/>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Which products should be picked, bundled or stored together; which customers are about to stop ordering; weekly demand per SKU for replenishment</w:t>
            </w:r>
          </w:p>
        </w:tc>
        <w:tc>
          <w:tcPr>
            <w:tcW w:type="dxa" w:w="2143"/>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Association rules, k-means / RFM clustering, forecasting</w:t>
            </w:r>
          </w:p>
        </w:tc>
      </w:tr>
      <w:tr>
        <w:trPr>
          <w:cantSplit/>
        </w:trPr>
        <w:tc>
          <w:tcPr>
            <w:tcW w:type="dxa" w:w="39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5</w:t>
            </w:r>
          </w:p>
        </w:tc>
        <w:tc>
          <w:tcPr>
            <w:tcW w:type="dxa" w:w="243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Rossmann store sales</w:t>
            </w:r>
          </w:p>
          <w:p>
            <w:pPr>
              <w:spacing w:after="40" w:before="40" w:line="250"/>
              <w:jc w:val="left"/>
            </w:pPr>
            <w:r>
              <w:rPr>
                <w:rFonts w:ascii="Calibri" w:cs="Calibri" w:eastAsia="Calibri" w:hAnsi="Calibri"/>
                <w:b/>
                <w:bCs/>
                <w:color w:val="1B2A3A"/>
                <w:sz w:val="16"/>
                <w:szCs w:val="16"/>
              </w:rPr>
              <w:t xml:space="preserve">Kaggle competition data</w:t>
            </w:r>
          </w:p>
        </w:tc>
        <w:tc>
          <w:tcPr>
            <w:tcW w:type="dxa" w:w="1462"/>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1,017,209 store-days across 1,115 real drugstores, 2013–2015</w:t>
            </w:r>
          </w:p>
        </w:tc>
        <w:tc>
          <w:tcPr>
            <w:tcW w:type="dxa" w:w="331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Daily demand forecast per store for staffing and replenishment; the true lift of a promotion once seasonality is removed</w:t>
            </w:r>
          </w:p>
        </w:tc>
        <w:tc>
          <w:tcPr>
            <w:tcW w:type="dxa" w:w="2143"/>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Regression, ensembles, ANN</w:t>
            </w:r>
          </w:p>
        </w:tc>
      </w:tr>
      <w:tr>
        <w:trPr>
          <w:cantSplit/>
        </w:trPr>
        <w:tc>
          <w:tcPr>
            <w:tcW w:type="dxa" w:w="39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6</w:t>
            </w:r>
          </w:p>
        </w:tc>
        <w:tc>
          <w:tcPr>
            <w:tcW w:type="dxa" w:w="243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Pharmacy point-of-sale, 2014–2019</w:t>
            </w:r>
          </w:p>
          <w:p>
            <w:pPr>
              <w:spacing w:after="40" w:before="40" w:line="250"/>
              <w:jc w:val="left"/>
            </w:pPr>
            <w:r>
              <w:rPr>
                <w:rFonts w:ascii="Calibri" w:cs="Calibri" w:eastAsia="Calibri" w:hAnsi="Calibri"/>
                <w:b/>
                <w:bCs/>
                <w:color w:val="1B2A3A"/>
                <w:sz w:val="16"/>
                <w:szCs w:val="16"/>
              </w:rPr>
              <w:t xml:space="preserve">Kaggle</w:t>
            </w:r>
          </w:p>
        </w:tc>
        <w:tc>
          <w:tcPr>
            <w:tcW w:type="dxa" w:w="1462"/>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≈600,000 transactions, 8 drug groups, aggregated hourly / daily / weekly / monthly</w:t>
            </w:r>
          </w:p>
        </w:tc>
        <w:tc>
          <w:tcPr>
            <w:tcW w:type="dxa" w:w="3314"/>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Reorder point and safety stock per drug group; forecast demand for the coming week or month</w:t>
            </w:r>
          </w:p>
        </w:tc>
        <w:tc>
          <w:tcPr>
            <w:tcW w:type="dxa" w:w="2143"/>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Time-series regression, ANN</w:t>
            </w:r>
          </w:p>
        </w:tc>
      </w:tr>
      <w:tr>
        <w:trPr>
          <w:cantSplit/>
        </w:trPr>
        <w:tc>
          <w:tcPr>
            <w:tcW w:type="dxa" w:w="390"/>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7</w:t>
            </w:r>
          </w:p>
        </w:tc>
        <w:tc>
          <w:tcPr>
            <w:tcW w:type="dxa" w:w="243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Garment factory productivity</w:t>
            </w:r>
          </w:p>
          <w:p>
            <w:pPr>
              <w:spacing w:after="40" w:before="40" w:line="250"/>
              <w:jc w:val="left"/>
            </w:pPr>
            <w:r>
              <w:rPr>
                <w:rFonts w:ascii="Calibri" w:cs="Calibri" w:eastAsia="Calibri" w:hAnsi="Calibri"/>
                <w:b/>
                <w:bCs/>
                <w:color w:val="1B2A3A"/>
                <w:sz w:val="16"/>
                <w:szCs w:val="16"/>
              </w:rPr>
              <w:t xml:space="preserve">UCI ML Repository (ID 597) · CC BY 4.0</w:t>
            </w:r>
          </w:p>
        </w:tc>
        <w:tc>
          <w:tcPr>
            <w:tcW w:type="dxa" w:w="1462"/>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1,197 team-day records from a garment manufacturer</w:t>
            </w:r>
          </w:p>
        </w:tc>
        <w:tc>
          <w:tcPr>
            <w:tcW w:type="dxa" w:w="331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Which sewing lines will miss their daily target; which levers — incentive, overtime, work-in-progress, idle time — actually move productivity</w:t>
            </w:r>
          </w:p>
        </w:tc>
        <w:tc>
          <w:tcPr>
            <w:tcW w:type="dxa" w:w="2143"/>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Regression, trees, SVM</w:t>
            </w:r>
          </w:p>
        </w:tc>
      </w:tr>
      <w:tr>
        <w:trPr>
          <w:cantSplit/>
        </w:trPr>
        <w:tc>
          <w:tcPr>
            <w:tcW w:type="dxa" w:w="390"/>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8</w:t>
            </w:r>
          </w:p>
        </w:tc>
        <w:tc>
          <w:tcPr>
            <w:tcW w:type="dxa" w:w="243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Instacart market basket</w:t>
            </w:r>
          </w:p>
          <w:p>
            <w:pPr>
              <w:spacing w:after="40" w:before="40" w:line="250"/>
              <w:jc w:val="left"/>
            </w:pPr>
            <w:r>
              <w:rPr>
                <w:rFonts w:ascii="Calibri" w:cs="Calibri" w:eastAsia="Calibri" w:hAnsi="Calibri"/>
                <w:b/>
                <w:bCs/>
                <w:color w:val="1B2A3A"/>
                <w:sz w:val="16"/>
                <w:szCs w:val="16"/>
              </w:rPr>
              <w:t xml:space="preserve">Kaggle · released by Instacart for non-commercial use</w:t>
            </w:r>
          </w:p>
        </w:tc>
        <w:tc>
          <w:tcPr>
            <w:tcW w:type="dxa" w:w="1462"/>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3.4 million grocery orders, ≈32 million line items</w:t>
            </w:r>
          </w:p>
        </w:tc>
        <w:tc>
          <w:tcPr>
            <w:tcW w:type="dxa" w:w="3314"/>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Which products to pick or shelve together; which items a customer will reorder on the next trip</w:t>
            </w:r>
          </w:p>
        </w:tc>
        <w:tc>
          <w:tcPr>
            <w:tcW w:type="dxa" w:w="2143"/>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Association rules, trees</w:t>
            </w:r>
          </w:p>
        </w:tc>
      </w:tr>
    </w:tbl>
    <w:p>
      <w:pPr>
        <w:spacing w:after="160"/>
      </w:pPr>
      <w:r>
        <w:rPr>
          <w:sz w:val="10"/>
          <w:szCs w:val="10"/>
        </w:rPr>
        <w:t xml:space="preserve"/>
      </w:r>
    </w:p>
    <w:p>
      <w:pPr>
        <w:pStyle w:val="Heading2"/>
        <w:spacing w:after="90" w:before="220"/>
      </w:pPr>
      <w:r>
        <w:rPr>
          <w:rFonts w:ascii="Calibri" w:cs="Calibri" w:eastAsia="Calibri" w:hAnsi="Calibri"/>
          <w:b/>
          <w:bCs/>
          <w:color w:val="0E7C86"/>
          <w:sz w:val="22"/>
          <w:szCs w:val="22"/>
        </w:rPr>
        <w:t xml:space="preserve">Notes on individual sets</w:t>
      </w:r>
    </w:p>
    <w:p>
      <w:pPr>
        <w:pStyle w:val="ListParagraph"/>
        <w:numPr>
          <w:ilvl w:val="0"/>
          <w:numId w:val="1"/>
        </w:numPr>
        <w:spacing w:after="70" w:line="280"/>
      </w:pPr>
      <w:r>
        <w:rPr>
          <w:rFonts w:ascii="Calibri" w:cs="Calibri" w:eastAsia="Calibri" w:hAnsi="Calibri"/>
          <w:b/>
          <w:bCs/>
          <w:color w:val="1B2A3A"/>
          <w:sz w:val="20"/>
          <w:szCs w:val="20"/>
        </w:rPr>
        <w:t xml:space="preserve">No. 2 (Olist)</w:t>
      </w:r>
      <w:r>
        <w:rPr>
          <w:rFonts w:ascii="Calibri" w:cs="Calibri" w:eastAsia="Calibri" w:hAnsi="Calibri"/>
          <w:color w:val="1B2A3A"/>
          <w:sz w:val="20"/>
          <w:szCs w:val="20"/>
        </w:rPr>
        <w:t xml:space="preserve"> requires joining nine tables before any modelling can start. It is the most realistic and the most work — a good choice for a confident team.</w:t>
      </w:r>
    </w:p>
    <w:p>
      <w:pPr>
        <w:pStyle w:val="ListParagraph"/>
        <w:numPr>
          <w:ilvl w:val="0"/>
          <w:numId w:val="1"/>
        </w:numPr>
        <w:spacing w:after="70" w:line="280"/>
      </w:pPr>
      <w:r>
        <w:rPr>
          <w:rFonts w:ascii="Calibri" w:cs="Calibri" w:eastAsia="Calibri" w:hAnsi="Calibri"/>
          <w:b/>
          <w:bCs/>
          <w:color w:val="1B2A3A"/>
          <w:sz w:val="20"/>
          <w:szCs w:val="20"/>
        </w:rPr>
        <w:t xml:space="preserve">No. 3 (health commodities)</w:t>
      </w:r>
      <w:r>
        <w:rPr>
          <w:rFonts w:ascii="Calibri" w:cs="Calibri" w:eastAsia="Calibri" w:hAnsi="Calibri"/>
          <w:color w:val="1B2A3A"/>
          <w:sz w:val="20"/>
          <w:szCs w:val="20"/>
        </w:rPr>
        <w:t xml:space="preserve"> is a genuine public-health supply chain. It suits teams interested in hospital, pharmaceutical or humanitarian logistics.</w:t>
      </w:r>
    </w:p>
    <w:p>
      <w:pPr>
        <w:pStyle w:val="ListParagraph"/>
        <w:numPr>
          <w:ilvl w:val="0"/>
          <w:numId w:val="1"/>
        </w:numPr>
        <w:spacing w:after="70" w:line="280"/>
      </w:pPr>
      <w:r>
        <w:rPr>
          <w:rFonts w:ascii="Calibri" w:cs="Calibri" w:eastAsia="Calibri" w:hAnsi="Calibri"/>
          <w:b/>
          <w:bCs/>
          <w:color w:val="1B2A3A"/>
          <w:sz w:val="20"/>
          <w:szCs w:val="20"/>
        </w:rPr>
        <w:t xml:space="preserve">No. 4 (Online Retail II)</w:t>
      </w:r>
      <w:r>
        <w:rPr>
          <w:rFonts w:ascii="Calibri" w:cs="Calibri" w:eastAsia="Calibri" w:hAnsi="Calibri"/>
          <w:color w:val="1B2A3A"/>
          <w:sz w:val="20"/>
          <w:szCs w:val="20"/>
        </w:rPr>
        <w:t xml:space="preserve"> needs real cleaning: cancellations, negative quantities and missing customer IDs are all present and all matter.</w:t>
      </w:r>
    </w:p>
    <w:p>
      <w:pPr>
        <w:pStyle w:val="ListParagraph"/>
        <w:numPr>
          <w:ilvl w:val="0"/>
          <w:numId w:val="1"/>
        </w:numPr>
        <w:spacing w:after="70" w:line="280"/>
      </w:pPr>
      <w:r>
        <w:rPr>
          <w:rFonts w:ascii="Calibri" w:cs="Calibri" w:eastAsia="Calibri" w:hAnsi="Calibri"/>
          <w:b/>
          <w:bCs/>
          <w:color w:val="1B2A3A"/>
          <w:sz w:val="20"/>
          <w:szCs w:val="20"/>
        </w:rPr>
        <w:t xml:space="preserve">No. 5 (Rossmann)</w:t>
      </w:r>
      <w:r>
        <w:rPr>
          <w:rFonts w:ascii="Calibri" w:cs="Calibri" w:eastAsia="Calibri" w:hAnsi="Calibri"/>
          <w:color w:val="1B2A3A"/>
          <w:sz w:val="20"/>
          <w:szCs w:val="20"/>
        </w:rPr>
        <w:t xml:space="preserve"> must be split by time, never shuffled. Shuffling a time series is a leakage error and is marked as one.</w:t>
      </w:r>
    </w:p>
    <w:p>
      <w:pPr>
        <w:pStyle w:val="ListParagraph"/>
        <w:numPr>
          <w:ilvl w:val="0"/>
          <w:numId w:val="1"/>
        </w:numPr>
        <w:spacing w:after="70" w:line="280"/>
      </w:pPr>
      <w:r>
        <w:rPr>
          <w:rFonts w:ascii="Calibri" w:cs="Calibri" w:eastAsia="Calibri" w:hAnsi="Calibri"/>
          <w:b/>
          <w:bCs/>
          <w:color w:val="1B2A3A"/>
          <w:sz w:val="20"/>
          <w:szCs w:val="20"/>
        </w:rPr>
        <w:t xml:space="preserve">No. 6 (pharmacy sales)</w:t>
      </w:r>
      <w:r>
        <w:rPr>
          <w:rFonts w:ascii="Calibri" w:cs="Calibri" w:eastAsia="Calibri" w:hAnsi="Calibri"/>
          <w:color w:val="1B2A3A"/>
          <w:sz w:val="20"/>
          <w:szCs w:val="20"/>
        </w:rPr>
        <w:t xml:space="preserve"> has few columns, so most of the work is feature engineering — calendar effects, lags, rolling means.</w:t>
      </w:r>
    </w:p>
    <w:p>
      <w:pPr>
        <w:pStyle w:val="ListParagraph"/>
        <w:numPr>
          <w:ilvl w:val="0"/>
          <w:numId w:val="1"/>
        </w:numPr>
        <w:spacing w:after="70" w:line="280"/>
      </w:pPr>
      <w:r>
        <w:rPr>
          <w:rFonts w:ascii="Calibri" w:cs="Calibri" w:eastAsia="Calibri" w:hAnsi="Calibri"/>
          <w:b/>
          <w:bCs/>
          <w:color w:val="1B2A3A"/>
          <w:sz w:val="20"/>
          <w:szCs w:val="20"/>
        </w:rPr>
        <w:t xml:space="preserve">No. 7 (garment factory)</w:t>
      </w:r>
      <w:r>
        <w:rPr>
          <w:rFonts w:ascii="Calibri" w:cs="Calibri" w:eastAsia="Calibri" w:hAnsi="Calibri"/>
          <w:color w:val="1B2A3A"/>
          <w:sz w:val="20"/>
          <w:szCs w:val="20"/>
        </w:rPr>
        <w:t xml:space="preserve"> is the smallest set here and the easiest to overfit. It can score very well, but only with careful validation and modest claims.</w:t>
      </w:r>
    </w:p>
    <w:p>
      <w:pPr>
        <w:pStyle w:val="ListParagraph"/>
        <w:numPr>
          <w:ilvl w:val="0"/>
          <w:numId w:val="1"/>
        </w:numPr>
        <w:spacing w:after="70" w:line="280"/>
      </w:pPr>
      <w:r>
        <w:rPr>
          <w:rFonts w:ascii="Calibri" w:cs="Calibri" w:eastAsia="Calibri" w:hAnsi="Calibri"/>
          <w:b/>
          <w:bCs/>
          <w:color w:val="1B2A3A"/>
          <w:sz w:val="20"/>
          <w:szCs w:val="20"/>
        </w:rPr>
        <w:t xml:space="preserve">No. 8 (Instacart)</w:t>
      </w:r>
      <w:r>
        <w:rPr>
          <w:rFonts w:ascii="Calibri" w:cs="Calibri" w:eastAsia="Calibri" w:hAnsi="Calibri"/>
          <w:color w:val="1B2A3A"/>
          <w:sz w:val="20"/>
          <w:szCs w:val="20"/>
        </w:rPr>
        <w:t xml:space="preserve"> is large. Plan to work on a documented random sample of customers rather than the full file.</w:t>
      </w:r>
    </w:p>
    <w:p>
      <w:pPr>
        <w:pStyle w:val="Heading2"/>
        <w:spacing w:after="90" w:before="220"/>
      </w:pPr>
      <w:r>
        <w:rPr>
          <w:rFonts w:ascii="Calibri" w:cs="Calibri" w:eastAsia="Calibri" w:hAnsi="Calibri"/>
          <w:b/>
          <w:bCs/>
          <w:color w:val="0E7C86"/>
          <w:sz w:val="22"/>
          <w:szCs w:val="22"/>
        </w:rPr>
        <w:t xml:space="preserve">Where to download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5"/>
        <w:gridCol w:w="2534"/>
        <w:gridCol w:w="6627"/>
      </w:tblGrid>
      <w:tr>
        <w:trPr>
          <w:cantSplit/>
          <w:tblHeader/>
        </w:trPr>
        <w:tc>
          <w:tcPr>
            <w:tcW w:type="dxa" w:w="585"/>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6"/>
                <w:szCs w:val="16"/>
              </w:rPr>
              <w:t xml:space="preserve"/>
            </w:r>
          </w:p>
        </w:tc>
        <w:tc>
          <w:tcPr>
            <w:tcW w:type="dxa" w:w="2534"/>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6"/>
                <w:szCs w:val="16"/>
              </w:rPr>
              <w:t xml:space="preserve">Dataset</w:t>
            </w:r>
          </w:p>
        </w:tc>
        <w:tc>
          <w:tcPr>
            <w:tcW w:type="dxa" w:w="6627"/>
            <w:tcBorders>
              <w:top w:val="single" w:color="D5E2E7" w:sz="4"/>
              <w:left w:val="single" w:color="D5E2E7" w:sz="4"/>
              <w:bottom w:val="single" w:color="D5E2E7" w:sz="4"/>
              <w:right w:val="single" w:color="D5E2E7" w:sz="4"/>
            </w:tcBorders>
            <w:shd w:fill="0B2545" w:color="auto" w:val="clear"/>
            <w:tcMar>
              <w:top w:type="dxa" w:w="60"/>
              <w:left w:type="dxa" w:w="90"/>
              <w:bottom w:type="dxa" w:w="60"/>
              <w:right w:type="dxa" w:w="90"/>
            </w:tcMar>
          </w:tcPr>
          <w:p>
            <w:pPr>
              <w:spacing w:after="40" w:before="40" w:line="250"/>
              <w:jc w:val="left"/>
            </w:pPr>
            <w:r>
              <w:rPr>
                <w:rFonts w:ascii="Calibri" w:cs="Calibri" w:eastAsia="Calibri" w:hAnsi="Calibri"/>
                <w:b/>
                <w:bCs/>
                <w:color w:val="FFFFFF"/>
                <w:sz w:val="16"/>
                <w:szCs w:val="16"/>
              </w:rPr>
              <w:t xml:space="preserve">Link</w:t>
            </w:r>
          </w:p>
        </w:tc>
      </w:tr>
      <w:tr>
        <w:trPr>
          <w:cantSplit/>
        </w:trPr>
        <w:tc>
          <w:tcPr>
            <w:tcW w:type="dxa" w:w="585"/>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1</w:t>
            </w:r>
          </w:p>
        </w:tc>
        <w:tc>
          <w:tcPr>
            <w:tcW w:type="dxa" w:w="253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DataCo</w:t>
            </w:r>
          </w:p>
        </w:tc>
        <w:tc>
          <w:tcPr>
            <w:tcW w:type="dxa" w:w="662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data.mendeley.com/datasets/8gx2fvg2k6/5</w:t>
            </w:r>
          </w:p>
        </w:tc>
      </w:tr>
      <w:tr>
        <w:trPr>
          <w:cantSplit/>
        </w:trPr>
        <w:tc>
          <w:tcPr>
            <w:tcW w:type="dxa" w:w="585"/>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2</w:t>
            </w:r>
          </w:p>
        </w:tc>
        <w:tc>
          <w:tcPr>
            <w:tcW w:type="dxa" w:w="2534"/>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Olist</w:t>
            </w:r>
          </w:p>
        </w:tc>
        <w:tc>
          <w:tcPr>
            <w:tcW w:type="dxa" w:w="662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kaggle.com/datasets/olistbr/brazilian-ecommerce</w:t>
            </w:r>
          </w:p>
        </w:tc>
      </w:tr>
      <w:tr>
        <w:trPr>
          <w:cantSplit/>
        </w:trPr>
        <w:tc>
          <w:tcPr>
            <w:tcW w:type="dxa" w:w="585"/>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3</w:t>
            </w:r>
          </w:p>
        </w:tc>
        <w:tc>
          <w:tcPr>
            <w:tcW w:type="dxa" w:w="253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Health-commodity shipments</w:t>
            </w:r>
          </w:p>
        </w:tc>
        <w:tc>
          <w:tcPr>
            <w:tcW w:type="dxa" w:w="662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kaggle.com/datasets/divyeshardeshana/supply-chain-shipment-pricing-data</w:t>
            </w:r>
          </w:p>
        </w:tc>
      </w:tr>
      <w:tr>
        <w:trPr>
          <w:cantSplit/>
        </w:trPr>
        <w:tc>
          <w:tcPr>
            <w:tcW w:type="dxa" w:w="585"/>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4</w:t>
            </w:r>
          </w:p>
        </w:tc>
        <w:tc>
          <w:tcPr>
            <w:tcW w:type="dxa" w:w="2534"/>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Online Retail II</w:t>
            </w:r>
          </w:p>
        </w:tc>
        <w:tc>
          <w:tcPr>
            <w:tcW w:type="dxa" w:w="662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archive.ics.uci.edu/dataset/502/online+retail+ii</w:t>
            </w:r>
          </w:p>
        </w:tc>
      </w:tr>
      <w:tr>
        <w:trPr>
          <w:cantSplit/>
        </w:trPr>
        <w:tc>
          <w:tcPr>
            <w:tcW w:type="dxa" w:w="585"/>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5</w:t>
            </w:r>
          </w:p>
        </w:tc>
        <w:tc>
          <w:tcPr>
            <w:tcW w:type="dxa" w:w="253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Rossmann</w:t>
            </w:r>
          </w:p>
        </w:tc>
        <w:tc>
          <w:tcPr>
            <w:tcW w:type="dxa" w:w="662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kaggle.com/competitions/rossmann-store-sales/data</w:t>
            </w:r>
          </w:p>
        </w:tc>
      </w:tr>
      <w:tr>
        <w:trPr>
          <w:cantSplit/>
        </w:trPr>
        <w:tc>
          <w:tcPr>
            <w:tcW w:type="dxa" w:w="585"/>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6</w:t>
            </w:r>
          </w:p>
        </w:tc>
        <w:tc>
          <w:tcPr>
            <w:tcW w:type="dxa" w:w="2534"/>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Pharmacy point-of-sale</w:t>
            </w:r>
          </w:p>
        </w:tc>
        <w:tc>
          <w:tcPr>
            <w:tcW w:type="dxa" w:w="662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kaggle.com/datasets/milanzdravkovic/pharma-sales-data</w:t>
            </w:r>
          </w:p>
        </w:tc>
      </w:tr>
      <w:tr>
        <w:trPr>
          <w:cantSplit/>
        </w:trPr>
        <w:tc>
          <w:tcPr>
            <w:tcW w:type="dxa" w:w="585"/>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7</w:t>
            </w:r>
          </w:p>
        </w:tc>
        <w:tc>
          <w:tcPr>
            <w:tcW w:type="dxa" w:w="2534"/>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Garment factory productivity</w:t>
            </w:r>
          </w:p>
        </w:tc>
        <w:tc>
          <w:tcPr>
            <w:tcW w:type="dxa" w:w="6627"/>
            <w:tcBorders>
              <w:top w:val="single" w:color="D5E2E7" w:sz="4"/>
              <w:left w:val="single" w:color="D5E2E7" w:sz="4"/>
              <w:bottom w:val="single" w:color="D5E2E7" w:sz="4"/>
              <w:right w:val="single" w:color="D5E2E7" w:sz="4"/>
            </w:tcBorders>
            <w:shd w:fill="EEF4F6"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archive.ics.uci.edu/dataset/597/productivity+prediction+of+garment+employees</w:t>
            </w:r>
          </w:p>
        </w:tc>
      </w:tr>
      <w:tr>
        <w:trPr>
          <w:cantSplit/>
        </w:trPr>
        <w:tc>
          <w:tcPr>
            <w:tcW w:type="dxa" w:w="585"/>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8</w:t>
            </w:r>
          </w:p>
        </w:tc>
        <w:tc>
          <w:tcPr>
            <w:tcW w:type="dxa" w:w="2534"/>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bCs/>
                <w:color w:val="1B2A3A"/>
                <w:sz w:val="16"/>
                <w:szCs w:val="16"/>
              </w:rPr>
              <w:t xml:space="preserve">Instacart</w:t>
            </w:r>
          </w:p>
        </w:tc>
        <w:tc>
          <w:tcPr>
            <w:tcW w:type="dxa" w:w="6627"/>
            <w:tcBorders>
              <w:top w:val="single" w:color="D5E2E7" w:sz="4"/>
              <w:left w:val="single" w:color="D5E2E7" w:sz="4"/>
              <w:bottom w:val="single" w:color="D5E2E7" w:sz="4"/>
              <w:right w:val="single" w:color="D5E2E7" w:sz="4"/>
            </w:tcBorders>
            <w:shd w:fill="FFFFFF" w:color="auto" w:val="clear"/>
            <w:tcMar>
              <w:top w:type="dxa" w:w="60"/>
              <w:left w:type="dxa" w:w="90"/>
              <w:bottom w:type="dxa" w:w="60"/>
              <w:right w:type="dxa" w:w="90"/>
            </w:tcMar>
          </w:tcPr>
          <w:p>
            <w:pPr>
              <w:spacing w:after="40" w:before="40" w:line="250"/>
              <w:jc w:val="left"/>
            </w:pPr>
            <w:r>
              <w:rPr>
                <w:rFonts w:ascii="Calibri" w:cs="Calibri" w:eastAsia="Calibri" w:hAnsi="Calibri"/>
                <w:b w:val="false"/>
                <w:bCs w:val="false"/>
                <w:color w:val="1B2A3A"/>
                <w:sz w:val="16"/>
                <w:szCs w:val="16"/>
              </w:rPr>
              <w:t xml:space="preserve">kaggle.com/competitions/instacart-market-basket-analysis/data</w:t>
            </w:r>
          </w:p>
        </w:tc>
      </w:tr>
    </w:tbl>
    <w:p>
      <w:pPr>
        <w:spacing w:after="160"/>
      </w:pPr>
      <w:r>
        <w:rPr>
          <w:sz w:val="10"/>
          <w:szCs w:val="10"/>
        </w:rPr>
        <w:t xml:space="preserve"/>
      </w:r>
    </w:p>
    <w:p>
      <w:pPr>
        <w:spacing w:after="180"/>
      </w:pPr>
      <w:r>
        <w:rPr>
          <w:rFonts w:ascii="Calibri" w:cs="Calibri" w:eastAsia="Calibri" w:hAnsi="Calibri"/>
          <w:i/>
          <w:iCs/>
          <w:color w:val="5B6B7B"/>
          <w:sz w:val="17"/>
          <w:szCs w:val="17"/>
        </w:rPr>
        <w:t xml:space="preserve">Kaggle requires a free account. Competition data (nos. 5 and 8) also requires accepting the competition rules once. If a link has moved, report it on BKEL rather than substituting a different file without approval.</w:t>
      </w:r>
    </w:p>
    <w:p>
      <w:pPr>
        <w:pStyle w:val="Heading1"/>
        <w:spacing w:after="120" w:before="320"/>
      </w:pPr>
      <w:r>
        <w:rPr>
          <w:rFonts w:ascii="Cambria" w:cs="Cambria" w:eastAsia="Cambria" w:hAnsi="Cambria"/>
          <w:b/>
          <w:bCs/>
          <w:color w:val="0B2545"/>
          <w:sz w:val="28"/>
          <w:szCs w:val="28"/>
        </w:rPr>
        <w:t xml:space="preserve">11.  What loses marks</w:t>
      </w:r>
    </w:p>
    <w:p>
      <w:pPr>
        <w:spacing w:after="120" w:line="280"/>
        <w:jc w:val="both"/>
      </w:pPr>
      <w:r>
        <w:rPr>
          <w:rFonts w:ascii="Calibri" w:cs="Calibri" w:eastAsia="Calibri" w:hAnsi="Calibri"/>
          <w:color w:val="1B2A3A"/>
          <w:sz w:val="20"/>
          <w:szCs w:val="20"/>
        </w:rPr>
        <w:t xml:space="preserve">These are the failures that appear most often, in roughly the order they appear. Reading this list before submitting is worth more than another hour of tuning.</w:t>
      </w:r>
    </w:p>
    <w:p>
      <w:pPr>
        <w:pStyle w:val="ListParagraph"/>
        <w:numPr>
          <w:ilvl w:val="0"/>
          <w:numId w:val="1"/>
        </w:numPr>
        <w:spacing w:after="70" w:line="280"/>
      </w:pPr>
      <w:r>
        <w:rPr>
          <w:rFonts w:ascii="Calibri" w:cs="Calibri" w:eastAsia="Calibri" w:hAnsi="Calibri"/>
          <w:color w:val="1B2A3A"/>
          <w:sz w:val="20"/>
          <w:szCs w:val="20"/>
        </w:rPr>
        <w:t xml:space="preserve">Accuracy reported on an imbalanced dataset with no other metric beside it.</w:t>
      </w:r>
    </w:p>
    <w:p>
      <w:pPr>
        <w:pStyle w:val="ListParagraph"/>
        <w:numPr>
          <w:ilvl w:val="0"/>
          <w:numId w:val="1"/>
        </w:numPr>
        <w:spacing w:after="70" w:line="280"/>
      </w:pPr>
      <w:r>
        <w:rPr>
          <w:rFonts w:ascii="Calibri" w:cs="Calibri" w:eastAsia="Calibri" w:hAnsi="Calibri"/>
          <w:color w:val="1B2A3A"/>
          <w:sz w:val="20"/>
          <w:szCs w:val="20"/>
        </w:rPr>
        <w:t xml:space="preserve">A scaler or an imputer fitted on the whole dataset before the split.</w:t>
      </w:r>
    </w:p>
    <w:p>
      <w:pPr>
        <w:pStyle w:val="ListParagraph"/>
        <w:numPr>
          <w:ilvl w:val="0"/>
          <w:numId w:val="1"/>
        </w:numPr>
        <w:spacing w:after="70" w:line="280"/>
      </w:pPr>
      <w:r>
        <w:rPr>
          <w:rFonts w:ascii="Calibri" w:cs="Calibri" w:eastAsia="Calibri" w:hAnsi="Calibri"/>
          <w:color w:val="1B2A3A"/>
          <w:sz w:val="20"/>
          <w:szCs w:val="20"/>
        </w:rPr>
        <w:t xml:space="preserve">A feature that would not be known at the moment the decision is made — the actual delivery date used to predict whether delivery will be late is the classic case.</w:t>
      </w:r>
    </w:p>
    <w:p>
      <w:pPr>
        <w:pStyle w:val="ListParagraph"/>
        <w:numPr>
          <w:ilvl w:val="0"/>
          <w:numId w:val="1"/>
        </w:numPr>
        <w:spacing w:after="70" w:line="280"/>
      </w:pPr>
      <w:r>
        <w:rPr>
          <w:rFonts w:ascii="Calibri" w:cs="Calibri" w:eastAsia="Calibri" w:hAnsi="Calibri"/>
          <w:color w:val="1B2A3A"/>
          <w:sz w:val="20"/>
          <w:szCs w:val="20"/>
        </w:rPr>
        <w:t xml:space="preserve">Model comparison with no baseline, so the reader cannot tell whether any of it helped.</w:t>
      </w:r>
    </w:p>
    <w:p>
      <w:pPr>
        <w:pStyle w:val="ListParagraph"/>
        <w:numPr>
          <w:ilvl w:val="0"/>
          <w:numId w:val="1"/>
        </w:numPr>
        <w:spacing w:after="70" w:line="280"/>
      </w:pPr>
      <w:r>
        <w:rPr>
          <w:rFonts w:ascii="Calibri" w:cs="Calibri" w:eastAsia="Calibri" w:hAnsi="Calibri"/>
          <w:color w:val="1B2A3A"/>
          <w:sz w:val="20"/>
          <w:szCs w:val="20"/>
        </w:rPr>
        <w:t xml:space="preserve">A single number from a single split, presented as if it were exact.</w:t>
      </w:r>
    </w:p>
    <w:p>
      <w:pPr>
        <w:pStyle w:val="ListParagraph"/>
        <w:numPr>
          <w:ilvl w:val="0"/>
          <w:numId w:val="1"/>
        </w:numPr>
        <w:spacing w:after="70" w:line="280"/>
      </w:pPr>
      <w:r>
        <w:rPr>
          <w:rFonts w:ascii="Calibri" w:cs="Calibri" w:eastAsia="Calibri" w:hAnsi="Calibri"/>
          <w:color w:val="1B2A3A"/>
          <w:sz w:val="20"/>
          <w:szCs w:val="20"/>
        </w:rPr>
        <w:t xml:space="preserve">Charts with no axis labels, no units, or no caption.</w:t>
      </w:r>
    </w:p>
    <w:p>
      <w:pPr>
        <w:pStyle w:val="ListParagraph"/>
        <w:numPr>
          <w:ilvl w:val="0"/>
          <w:numId w:val="1"/>
        </w:numPr>
        <w:spacing w:after="70" w:line="280"/>
      </w:pPr>
      <w:r>
        <w:rPr>
          <w:rFonts w:ascii="Calibri" w:cs="Calibri" w:eastAsia="Calibri" w:hAnsi="Calibri"/>
          <w:color w:val="1B2A3A"/>
          <w:sz w:val="20"/>
          <w:szCs w:val="20"/>
        </w:rPr>
        <w:t xml:space="preserve">A recommendation that does not follow from the results — or results with no recommendation at all.</w:t>
      </w:r>
    </w:p>
    <w:p>
      <w:pPr>
        <w:pStyle w:val="ListParagraph"/>
        <w:numPr>
          <w:ilvl w:val="0"/>
          <w:numId w:val="1"/>
        </w:numPr>
        <w:spacing w:after="70" w:line="280"/>
      </w:pPr>
      <w:r>
        <w:rPr>
          <w:rFonts w:ascii="Calibri" w:cs="Calibri" w:eastAsia="Calibri" w:hAnsi="Calibri"/>
          <w:color w:val="1B2A3A"/>
          <w:sz w:val="20"/>
          <w:szCs w:val="20"/>
        </w:rPr>
        <w:t xml:space="preserve">Code that does not run from a clean start, or that produces different numbers from the report.</w:t>
      </w:r>
    </w:p>
    <w:p>
      <w:pPr>
        <w:pStyle w:val="ListParagraph"/>
        <w:numPr>
          <w:ilvl w:val="0"/>
          <w:numId w:val="1"/>
        </w:numPr>
        <w:spacing w:after="70" w:line="280"/>
      </w:pPr>
      <w:r>
        <w:rPr>
          <w:rFonts w:ascii="Calibri" w:cs="Calibri" w:eastAsia="Calibri" w:hAnsi="Calibri"/>
          <w:color w:val="1B2A3A"/>
          <w:sz w:val="20"/>
          <w:szCs w:val="20"/>
        </w:rPr>
        <w:t xml:space="preserve">A report that describes everything that was done and never says what the company should do.</w:t>
      </w:r>
    </w:p>
    <w:p>
      <w:pPr>
        <w:pStyle w:val="ListParagraph"/>
        <w:numPr>
          <w:ilvl w:val="0"/>
          <w:numId w:val="1"/>
        </w:numPr>
        <w:spacing w:after="70" w:line="280"/>
      </w:pPr>
      <w:r>
        <w:rPr>
          <w:rFonts w:ascii="Calibri" w:cs="Calibri" w:eastAsia="Calibri" w:hAnsi="Calibri"/>
          <w:color w:val="1B2A3A"/>
          <w:sz w:val="20"/>
          <w:szCs w:val="20"/>
        </w:rPr>
        <w:t xml:space="preserve">A conclusion stated with more confidence than 1,000 rows of data can carry.</w:t>
      </w:r>
    </w:p>
    <w:p>
      <w:pPr>
        <w:pBdr>
          <w:top w:val="single" w:color="FBEFE0" w:sz="2" w:space="8"/>
          <w:bottom w:val="single" w:color="FBEFE0" w:sz="2" w:space="8"/>
          <w:left w:val="single" w:color="E08A2B" w:sz="18" w:space="10"/>
          <w:right w:val="single" w:color="FBEFE0" w:sz="2" w:space="8"/>
        </w:pBdr>
        <w:shd w:fill="FBEFE0" w:color="auto" w:val="clear"/>
        <w:spacing w:after="160" w:before="120" w:line="280"/>
      </w:pPr>
      <w:r>
        <w:rPr>
          <w:rFonts w:ascii="Calibri" w:cs="Calibri" w:eastAsia="Calibri" w:hAnsi="Calibri"/>
          <w:color w:val="1B2A3A"/>
          <w:sz w:val="19"/>
          <w:szCs w:val="19"/>
        </w:rPr>
        <w:t xml:space="preserve">The marking rubric is a separate document. Read it before writing the proposal, not after the report — the criteria are the same at every checkpoint, and they say what "good" means in more detail than this brief does.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B"/>
        <w:sz w:val="16"/>
        <w:szCs w:val="16"/>
      </w:rPr>
      <w:t xml:space="preserve">ME3297 · Team project brief · HK261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45"/>
      </w:pPr>
    </w:lvl>
  </w:abstractNum>
  <w:abstractNum w:abstractNumId="3" w15:restartNumberingAfterBreak="0">
    <w:multiLevelType w:val="hybridMultilevel"/>
    <w:lvl w:ilvl="0" w15:tentative="1">
      <w:start w:val="1"/>
      <w:numFmt w:val="decimal"/>
      <w:lvlText w:val="%1."/>
      <w:lvlJc w:val="start"/>
      <w:pPr>
        <w:ind w:left="460" w:hanging="345"/>
      </w:pPr>
    </w:lvl>
  </w:abstractNum>
  <w:abstractNum w:abstractNumId="4" w15:restartNumberingAfterBreak="0">
    <w:multiLevelType w:val="hybridMultilevel"/>
    <w:lvl w:ilvl="0" w15:tentative="1">
      <w:start w:val="1"/>
      <w:numFmt w:val="decimal"/>
      <w:lvlText w:val="%1."/>
      <w:lvlJc w:val="start"/>
      <w:pPr>
        <w:ind w:left="460" w:hanging="345"/>
      </w:pPr>
    </w:lvl>
  </w:abstractNum>
  <w:abstractNum w:abstractNumId="5" w15:restartNumberingAfterBreak="0">
    <w:multiLevelType w:val="hybridMultilevel"/>
    <w:lvl w:ilvl="0" w15:tentative="1">
      <w:start w:val="1"/>
      <w:numFmt w:val="decimal"/>
      <w:lvlText w:val="%1."/>
      <w:lvlJc w:val="start"/>
      <w:pPr>
        <w:ind w:left="460" w:hanging="345"/>
      </w:pPr>
    </w:lvl>
  </w:abstractNum>
  <w:abstractNum w:abstractNumId="6" w15:restartNumberingAfterBreak="0">
    <w:multiLevelType w:val="hybridMultilevel"/>
    <w:lvl w:ilvl="0" w15:tentative="1">
      <w:start w:val="1"/>
      <w:numFmt w:val="decimal"/>
      <w:lvlText w:val="%1."/>
      <w:lvlJc w:val="start"/>
      <w:pPr>
        <w:ind w:left="460" w:hanging="345"/>
      </w:pPr>
    </w:lvl>
  </w:abstractNum>
  <w:abstractNum w:abstractNumId="7" w15:restartNumberingAfterBreak="0">
    <w:multiLevelType w:val="hybridMultilevel"/>
    <w:lvl w:ilvl="0" w15:tentative="1">
      <w:start w:val="1"/>
      <w:numFmt w:val="decimal"/>
      <w:lvlText w:val="%1."/>
      <w:lvlJc w:val="start"/>
      <w:pPr>
        <w:ind w:left="460" w:hanging="345"/>
      </w:pPr>
    </w:lvl>
  </w:abstractNum>
  <w:abstractNum w:abstractNumId="8" w15:restartNumberingAfterBreak="0">
    <w:multiLevelType w:val="hybridMultilevel"/>
    <w:lvl w:ilvl="0" w15:tentative="1">
      <w:start w:val="1"/>
      <w:numFmt w:val="decimal"/>
      <w:lvlText w:val="%1."/>
      <w:lvlJc w:val="start"/>
      <w:pPr>
        <w:ind w:left="460" w:hanging="345"/>
      </w:pPr>
    </w:lvl>
  </w:abstractNum>
  <w:abstractNum w:abstractNumId="9" w15:restartNumberingAfterBreak="0">
    <w:multiLevelType w:val="hybridMultilevel"/>
    <w:lvl w:ilvl="0" w15:tentative="1">
      <w:start w:val="1"/>
      <w:numFmt w:val="decimal"/>
      <w:lvlText w:val="%1."/>
      <w:lvlJc w:val="start"/>
      <w:pPr>
        <w:ind w:left="460" w:hanging="345"/>
      </w:pPr>
    </w:lvl>
  </w:abstractNum>
  <w:abstractNum w:abstractNumId="10" w15:restartNumberingAfterBreak="0">
    <w:multiLevelType w:val="hybridMultilevel"/>
    <w:lvl w:ilvl="0" w15:tentative="1">
      <w:start w:val="1"/>
      <w:numFmt w:val="decimal"/>
      <w:lvlText w:val="%1."/>
      <w:lvlJc w:val="start"/>
      <w:pPr>
        <w:ind w:left="460" w:hanging="345"/>
      </w:pPr>
    </w:lvl>
  </w:abstractNum>
  <w:abstractNum w:abstractNumId="11" w15:restartNumberingAfterBreak="0">
    <w:multiLevelType w:val="hybridMultilevel"/>
    <w:lvl w:ilvl="0" w15:tentative="1">
      <w:start w:val="1"/>
      <w:numFmt w:val="decimal"/>
      <w:lvlText w:val="%1."/>
      <w:lvlJc w:val="start"/>
      <w:pPr>
        <w:ind w:left="460" w:hanging="345"/>
      </w:pPr>
    </w:lvl>
  </w:abstractNum>
  <w:abstractNum w:abstractNumId="12" w15:restartNumberingAfterBreak="0">
    <w:multiLevelType w:val="hybridMultilevel"/>
    <w:lvl w:ilvl="0" w15:tentative="1">
      <w:start w:val="1"/>
      <w:numFmt w:val="decimal"/>
      <w:lvlText w:val="%1."/>
      <w:lvlJc w:val="start"/>
      <w:pPr>
        <w:ind w:left="460" w:hanging="345"/>
      </w:pPr>
    </w:lvl>
  </w:abstractNum>
  <w:abstractNum w:abstractNumId="13" w15:restartNumberingAfterBreak="0">
    <w:multiLevelType w:val="hybridMultilevel"/>
    <w:lvl w:ilvl="0" w15:tentative="1">
      <w:start w:val="1"/>
      <w:numFmt w:val="decimal"/>
      <w:lvlText w:val="%1."/>
      <w:lvlJc w:val="start"/>
      <w:pPr>
        <w:ind w:left="460" w:hanging="345"/>
      </w:pPr>
    </w:lvl>
  </w:abstractNum>
  <w:abstractNum w:abstractNumId="14" w15:restartNumberingAfterBreak="0">
    <w:multiLevelType w:val="hybridMultilevel"/>
    <w:lvl w:ilvl="0" w15:tentative="1">
      <w:start w:val="1"/>
      <w:numFmt w:val="decimal"/>
      <w:lvlText w:val="%1."/>
      <w:lvlJc w:val="start"/>
      <w:pPr>
        <w:ind w:left="460" w:hanging="345"/>
      </w:pPr>
    </w:lvl>
  </w:abstractNum>
  <w:abstractNum w:abstractNumId="15" w15:restartNumberingAfterBreak="0">
    <w:multiLevelType w:val="hybridMultilevel"/>
    <w:lvl w:ilvl="0" w15:tentative="1">
      <w:start w:val="1"/>
      <w:numFmt w:val="decimal"/>
      <w:lvlText w:val="%1."/>
      <w:lvlJc w:val="start"/>
      <w:pPr>
        <w:ind w:left="460" w:hanging="345"/>
      </w:pPr>
    </w:lvl>
  </w:abstractNum>
  <w:abstractNum w:abstractNumId="16" w15:restartNumberingAfterBreak="0">
    <w:multiLevelType w:val="hybridMultilevel"/>
    <w:lvl w:ilvl="0" w15:tentative="1">
      <w:start w:val="1"/>
      <w:numFmt w:val="decimal"/>
      <w:lvlText w:val="%1."/>
      <w:lvlJc w:val="start"/>
      <w:pPr>
        <w:ind w:left="460" w:hanging="345"/>
      </w:pPr>
    </w:lvl>
  </w:abstractNum>
  <w:abstractNum w:abstractNumId="17" w15:restartNumberingAfterBreak="0">
    <w:multiLevelType w:val="hybridMultilevel"/>
    <w:lvl w:ilvl="0" w15:tentative="1">
      <w:start w:val="1"/>
      <w:numFmt w:val="decimal"/>
      <w:lvlText w:val="%1."/>
      <w:lvlJc w:val="start"/>
      <w:pPr>
        <w:ind w:left="460" w:hanging="345"/>
      </w:pPr>
    </w:lvl>
  </w:abstractNum>
  <w:abstractNum w:abstractNumId="18" w15:restartNumberingAfterBreak="0">
    <w:multiLevelType w:val="hybridMultilevel"/>
    <w:lvl w:ilvl="0" w15:tentative="1">
      <w:start w:val="1"/>
      <w:numFmt w:val="decimal"/>
      <w:lvlText w:val="%1."/>
      <w:lvlJc w:val="start"/>
      <w:pPr>
        <w:ind w:left="460" w:hanging="345"/>
      </w:pPr>
    </w:lvl>
  </w:abstractNum>
  <w:abstractNum w:abstractNumId="19" w15:restartNumberingAfterBreak="0">
    <w:multiLevelType w:val="hybridMultilevel"/>
    <w:lvl w:ilvl="0" w15:tentative="1">
      <w:start w:val="1"/>
      <w:numFmt w:val="decimal"/>
      <w:lvlText w:val="%1."/>
      <w:lvlJc w:val="start"/>
      <w:pPr>
        <w:ind w:left="460" w:hanging="345"/>
      </w:pPr>
    </w:lvl>
  </w:abstractNum>
  <w:abstractNum w:abstractNumId="20" w15:restartNumberingAfterBreak="0">
    <w:multiLevelType w:val="hybridMultilevel"/>
    <w:lvl w:ilvl="0" w15:tentative="1">
      <w:start w:val="1"/>
      <w:numFmt w:val="decimal"/>
      <w:lvlText w:val="%1."/>
      <w:lvlJc w:val="start"/>
      <w:pPr>
        <w:ind w:left="460" w:hanging="345"/>
      </w:pPr>
    </w:lvl>
  </w:abstractNum>
  <w:abstractNum w:abstractNumId="21" w15:restartNumberingAfterBreak="0">
    <w:multiLevelType w:val="hybridMultilevel"/>
    <w:lvl w:ilvl="0" w15:tentative="1">
      <w:start w:val="1"/>
      <w:numFmt w:val="decimal"/>
      <w:lvlText w:val="%1."/>
      <w:lvlJc w:val="start"/>
      <w:pPr>
        <w:ind w:left="460" w:hanging="345"/>
      </w:pPr>
    </w:lvl>
  </w:abstractNum>
  <w:abstractNum w:abstractNumId="22" w15:restartNumberingAfterBreak="0">
    <w:multiLevelType w:val="hybridMultilevel"/>
    <w:lvl w:ilvl="0" w15:tentative="1">
      <w:start w:val="1"/>
      <w:numFmt w:val="decimal"/>
      <w:lvlText w:val="%1."/>
      <w:lvlJc w:val="start"/>
      <w:pPr>
        <w:ind w:left="460" w:hanging="345"/>
      </w:pPr>
    </w:lvl>
  </w:abstractNum>
  <w:abstractNum w:abstractNumId="23" w15:restartNumberingAfterBreak="0">
    <w:multiLevelType w:val="hybridMultilevel"/>
    <w:lvl w:ilvl="0" w15:tentative="1">
      <w:start w:val="1"/>
      <w:numFmt w:val="decimal"/>
      <w:lvlText w:val="%1."/>
      <w:lvlJc w:val="start"/>
      <w:pPr>
        <w:ind w:left="460" w:hanging="345"/>
      </w:pPr>
    </w:lvl>
  </w:abstractNum>
  <w:abstractNum w:abstractNumId="24" w15:restartNumberingAfterBreak="0">
    <w:multiLevelType w:val="hybridMultilevel"/>
    <w:lvl w:ilvl="0" w15:tentative="1">
      <w:start w:val="1"/>
      <w:numFmt w:val="decimal"/>
      <w:lvlText w:val="%1."/>
      <w:lvlJc w:val="start"/>
      <w:pPr>
        <w:ind w:left="460" w:hanging="345"/>
      </w:pPr>
    </w:lvl>
  </w:abstractNum>
  <w:abstractNum w:abstractNumId="25" w15:restartNumberingAfterBreak="0">
    <w:multiLevelType w:val="hybridMultilevel"/>
    <w:lvl w:ilvl="0" w15:tentative="1">
      <w:start w:val="1"/>
      <w:numFmt w:val="decimal"/>
      <w:lvlText w:val="%1."/>
      <w:lvlJc w:val="start"/>
      <w:pPr>
        <w:ind w:left="460" w:hanging="345"/>
      </w:pPr>
    </w:lvl>
  </w:abstractNum>
  <w:abstractNum w:abstractNumId="26" w15:restartNumberingAfterBreak="0">
    <w:multiLevelType w:val="hybridMultilevel"/>
    <w:lvl w:ilvl="0" w15:tentative="1">
      <w:start w:val="1"/>
      <w:numFmt w:val="decimal"/>
      <w:lvlText w:val="%1."/>
      <w:lvlJc w:val="start"/>
      <w:pPr>
        <w:ind w:left="460" w:hanging="345"/>
      </w:pPr>
    </w:lvl>
  </w:abstractNum>
  <w:abstractNum w:abstractNumId="27" w15:restartNumberingAfterBreak="0">
    <w:multiLevelType w:val="hybridMultilevel"/>
    <w:lvl w:ilvl="0" w15:tentative="1">
      <w:start w:val="1"/>
      <w:numFmt w:val="decimal"/>
      <w:lvlText w:val="%1."/>
      <w:lvlJc w:val="start"/>
      <w:pPr>
        <w:ind w:left="460" w:hanging="345"/>
      </w:pPr>
    </w:lvl>
  </w:abstractNum>
  <w:abstractNum w:abstractNumId="28" w15:restartNumberingAfterBreak="0">
    <w:multiLevelType w:val="hybridMultilevel"/>
    <w:lvl w:ilvl="0" w15:tentative="1">
      <w:start w:val="1"/>
      <w:numFmt w:val="decimal"/>
      <w:lvlText w:val="%1."/>
      <w:lvlJc w:val="start"/>
      <w:pPr>
        <w:ind w:left="460" w:hanging="345"/>
      </w:pPr>
    </w:lvl>
  </w:abstractNum>
  <w:abstractNum w:abstractNumId="29" w15:restartNumberingAfterBreak="0">
    <w:multiLevelType w:val="hybridMultilevel"/>
    <w:lvl w:ilvl="0" w15:tentative="1">
      <w:start w:val="1"/>
      <w:numFmt w:val="decimal"/>
      <w:lvlText w:val="%1."/>
      <w:lvlJc w:val="start"/>
      <w:pPr>
        <w:ind w:left="460" w:hanging="345"/>
      </w:pPr>
    </w:lvl>
  </w:abstractNum>
  <w:abstractNum w:abstractNumId="30" w15:restartNumberingAfterBreak="0">
    <w:multiLevelType w:val="hybridMultilevel"/>
    <w:lvl w:ilvl="0" w15:tentative="1">
      <w:start w:val="1"/>
      <w:numFmt w:val="decimal"/>
      <w:lvlText w:val="%1."/>
      <w:lvlJc w:val="start"/>
      <w:pPr>
        <w:ind w:left="460" w:hanging="345"/>
      </w:pPr>
    </w:lvl>
  </w:abstractNum>
  <w:abstractNum w:abstractNumId="31" w15:restartNumberingAfterBreak="0">
    <w:multiLevelType w:val="hybridMultilevel"/>
    <w:lvl w:ilvl="0" w15:tentative="1">
      <w:start w:val="1"/>
      <w:numFmt w:val="decimal"/>
      <w:lvlText w:val="%1."/>
      <w:lvlJc w:val="start"/>
      <w:pPr>
        <w:ind w:left="460" w:hanging="345"/>
      </w:pPr>
    </w:lvl>
  </w:abstractNum>
  <w:abstractNum w:abstractNumId="32" w15:restartNumberingAfterBreak="0">
    <w:multiLevelType w:val="hybridMultilevel"/>
    <w:lvl w:ilvl="0" w15:tentative="1">
      <w:start w:val="1"/>
      <w:numFmt w:val="decimal"/>
      <w:lvlText w:val="%1."/>
      <w:lvlJc w:val="start"/>
      <w:pPr>
        <w:ind w:left="460" w:hanging="345"/>
      </w:pPr>
    </w:lvl>
  </w:abstractNum>
  <w:abstractNum w:abstractNumId="33" w15:restartNumberingAfterBreak="0">
    <w:multiLevelType w:val="hybridMultilevel"/>
    <w:lvl w:ilvl="0" w15:tentative="1">
      <w:start w:val="1"/>
      <w:numFmt w:val="decimal"/>
      <w:lvlText w:val="%1."/>
      <w:lvlJc w:val="start"/>
      <w:pPr>
        <w:ind w:left="460" w:hanging="345"/>
      </w:pPr>
    </w:lvl>
  </w:abstractNum>
  <w:abstractNum w:abstractNumId="34" w15:restartNumberingAfterBreak="0">
    <w:multiLevelType w:val="hybridMultilevel"/>
    <w:lvl w:ilvl="0" w15:tentative="1">
      <w:start w:val="1"/>
      <w:numFmt w:val="decimal"/>
      <w:lvlText w:val="%1."/>
      <w:lvlJc w:val="start"/>
      <w:pPr>
        <w:ind w:left="460" w:hanging="345"/>
      </w:pPr>
    </w:lvl>
  </w:abstractNum>
  <w:abstractNum w:abstractNumId="35" w15:restartNumberingAfterBreak="0">
    <w:multiLevelType w:val="hybridMultilevel"/>
    <w:lvl w:ilvl="0" w15:tentative="1">
      <w:start w:val="1"/>
      <w:numFmt w:val="decimal"/>
      <w:lvlText w:val="%1."/>
      <w:lvlJc w:val="start"/>
      <w:pPr>
        <w:ind w:left="460" w:hanging="345"/>
      </w:pPr>
    </w:lvl>
  </w:abstractNum>
  <w:abstractNum w:abstractNumId="36" w15:restartNumberingAfterBreak="0">
    <w:multiLevelType w:val="hybridMultilevel"/>
    <w:lvl w:ilvl="0" w15:tentative="1">
      <w:start w:val="1"/>
      <w:numFmt w:val="decimal"/>
      <w:lvlText w:val="%1."/>
      <w:lvlJc w:val="start"/>
      <w:pPr>
        <w:ind w:left="460" w:hanging="345"/>
      </w:pPr>
    </w:lvl>
  </w:abstractNum>
  <w:abstractNum w:abstractNumId="37" w15:restartNumberingAfterBreak="0">
    <w:multiLevelType w:val="hybridMultilevel"/>
    <w:lvl w:ilvl="0" w15:tentative="1">
      <w:start w:val="1"/>
      <w:numFmt w:val="decimal"/>
      <w:lvlText w:val="%1."/>
      <w:lvlJc w:val="start"/>
      <w:pPr>
        <w:ind w:left="460" w:hanging="345"/>
      </w:pPr>
    </w:lvl>
  </w:abstractNum>
  <w:abstractNum w:abstractNumId="38" w15:restartNumberingAfterBreak="0">
    <w:multiLevelType w:val="hybridMultilevel"/>
    <w:lvl w:ilvl="0" w15:tentative="1">
      <w:start w:val="1"/>
      <w:numFmt w:val="decimal"/>
      <w:lvlText w:val="%1."/>
      <w:lvlJc w:val="start"/>
      <w:pPr>
        <w:ind w:left="460" w:hanging="345"/>
      </w:pPr>
    </w:lvl>
  </w:abstractNum>
  <w:abstractNum w:abstractNumId="39" w15:restartNumberingAfterBreak="0">
    <w:multiLevelType w:val="hybridMultilevel"/>
    <w:lvl w:ilvl="0" w15:tentative="1">
      <w:start w:val="1"/>
      <w:numFmt w:val="decimal"/>
      <w:lvlText w:val="%1."/>
      <w:lvlJc w:val="start"/>
      <w:pPr>
        <w:ind w:left="460" w:hanging="345"/>
      </w:pPr>
    </w:lvl>
  </w:abstractNum>
  <w:abstractNum w:abstractNumId="40" w15:restartNumberingAfterBreak="0">
    <w:multiLevelType w:val="hybridMultilevel"/>
    <w:lvl w:ilvl="0" w15:tentative="1">
      <w:start w:val="1"/>
      <w:numFmt w:val="decimal"/>
      <w:lvlText w:val="%1."/>
      <w:lvlJc w:val="start"/>
      <w:pPr>
        <w:ind w:left="460" w:hanging="345"/>
      </w:pPr>
    </w:lvl>
  </w:abstractNum>
  <w:abstractNum w:abstractNumId="41" w15:restartNumberingAfterBreak="0">
    <w:multiLevelType w:val="hybridMultilevel"/>
    <w:lvl w:ilvl="0" w15:tentative="1">
      <w:start w:val="1"/>
      <w:numFmt w:val="decimal"/>
      <w:lvlText w:val="%1."/>
      <w:lvlJc w:val="start"/>
      <w:pPr>
        <w:ind w:left="460"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ME3297 Team Project Brief</dc:title>
  <dc:creator>ME3297</dc:creator>
  <cp:lastModifiedBy>Un-named</cp:lastModifiedBy>
  <cp:revision>1</cp:revision>
  <dcterms:created xsi:type="dcterms:W3CDTF">2026-09-02T08:05:41.287Z</dcterms:created>
  <dcterms:modified xsi:type="dcterms:W3CDTF">2026-09-02T08:05:41.288Z</dcterms:modified>
</cp:coreProperties>
</file>

<file path=docProps/custom.xml><?xml version="1.0" encoding="utf-8"?>
<Properties xmlns="http://schemas.openxmlformats.org/officeDocument/2006/custom-properties" xmlns:vt="http://schemas.openxmlformats.org/officeDocument/2006/docPropsVTypes"/>
</file>