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Additional data enrichment from different sources</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More data over the same year &amp; across different years (Only April and May fata was available in the dataset)</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Fuel Prices per state over time</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Economic &amp; Market Conditions (Income levels, Interest rates, unemployment rates, Inflation rates etc) per state over time</w:t>
      </w: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Financing Options availability &amp; Credit Conditions per state over time</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Environmental Concerns per state over time</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Social Media and Marketing Influence per state over time</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Brand Reputation per state over time</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New Model Releases per state over time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Regulatory Environment per state over time</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Technology and Feature releases per state over time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tl w:val="0"/>
        </w:rPr>
        <w:t xml:space="preserve">This data will help in gaining a more fine tuned model on the factors that really affect vehicle sales and purchases over different time period.</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NB: It would be difficult to develop a model without understanding the reason why only two months of data was availed. It is highly unlikely that people only sold vehicles </w:t>
      </w:r>
      <w:r w:rsidDel="00000000" w:rsidR="00000000" w:rsidRPr="00000000">
        <w:rPr>
          <w:b w:val="1"/>
          <w:sz w:val="24"/>
          <w:szCs w:val="24"/>
          <w:rtl w:val="0"/>
        </w:rPr>
        <w:t xml:space="preserve">Person</w:t>
      </w:r>
      <w:r w:rsidDel="00000000" w:rsidR="00000000" w:rsidRPr="00000000">
        <w:rPr>
          <w:b w:val="1"/>
          <w:sz w:val="24"/>
          <w:szCs w:val="24"/>
          <w:rtl w:val="0"/>
        </w:rPr>
        <w:t xml:space="preserve">in the months of April and May only. Availability of data for the rest of the 10 months of the year would give a better performing model especially considering that we are aiming at a temporal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Choice &amp; Design considerations of the Data Warehouse</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Scalability</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Performance &amp; Availability</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Integration Capabilities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Data Storage Model</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Cost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Ease of Use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Security, Compliance, Auditing &amp; Patchwork</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Cloud vs. On-Premises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Upgradability &amp; Future Roadmap</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Amazon Redshift </w:t>
      </w:r>
      <w:r w:rsidDel="00000000" w:rsidR="00000000" w:rsidRPr="00000000">
        <w:rPr>
          <w:sz w:val="24"/>
          <w:szCs w:val="24"/>
          <w:rtl w:val="0"/>
        </w:rPr>
        <w:t xml:space="preserve">would meet most of the above requirements as it can scale with increased data while maintaining efficiency, Amazon Redshift can integrate with other AWS services making it an easy to use model for the use-case, With the given IAM roles, security is ensured while also enabling multiple user engagement. Being a managed service, patchwork is done by AWS eliminating related  costs.</w:t>
      </w:r>
    </w:p>
    <w:p w:rsidR="00000000" w:rsidDel="00000000" w:rsidP="00000000" w:rsidRDefault="00000000" w:rsidRPr="00000000" w14:paraId="0000001D">
      <w:pPr>
        <w:jc w:val="center"/>
        <w:rPr>
          <w:sz w:val="24"/>
          <w:szCs w:val="24"/>
        </w:rPr>
      </w:pPr>
      <w:r w:rsidDel="00000000" w:rsidR="00000000" w:rsidRPr="00000000">
        <w:rPr>
          <w:sz w:val="24"/>
          <w:szCs w:val="24"/>
        </w:rPr>
        <mc:AlternateContent>
          <mc:Choice Requires="wpg">
            <w:drawing>
              <wp:inline distB="114300" distT="114300" distL="114300" distR="114300">
                <wp:extent cx="3019425" cy="6553200"/>
                <wp:effectExtent b="0" l="0" r="0" t="0"/>
                <wp:docPr id="1" name=""/>
                <a:graphic>
                  <a:graphicData uri="http://schemas.microsoft.com/office/word/2010/wordprocessingGroup">
                    <wpg:wgp>
                      <wpg:cNvGrpSpPr/>
                      <wpg:grpSpPr>
                        <a:xfrm>
                          <a:off x="3282050" y="276100"/>
                          <a:ext cx="3019425" cy="6553200"/>
                          <a:chOff x="3282050" y="276100"/>
                          <a:chExt cx="3004775" cy="6540325"/>
                        </a:xfrm>
                      </wpg:grpSpPr>
                      <wps:wsp>
                        <wps:cNvSpPr/>
                        <wps:cNvPr id="2" name="Shape 2"/>
                        <wps:spPr>
                          <a:xfrm>
                            <a:off x="3443825" y="280875"/>
                            <a:ext cx="2284800" cy="222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Upload Data to S3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CSV, Additional data (Fuel Prices, Income levels, Interest rates, unemployment rates, Inflation rates, Financing availability, Marketing Spend by different Brandsetc)</w:t>
                              </w:r>
                            </w:p>
                          </w:txbxContent>
                        </wps:txbx>
                        <wps:bodyPr anchorCtr="0" anchor="ctr" bIns="91425" lIns="91425" spcFirstLastPara="1" rIns="91425" wrap="square" tIns="91425">
                          <a:noAutofit/>
                        </wps:bodyPr>
                      </wps:wsp>
                      <wps:wsp>
                        <wps:cNvSpPr/>
                        <wps:cNvPr id="3" name="Shape 3"/>
                        <wps:spPr>
                          <a:xfrm>
                            <a:off x="4275525" y="2595400"/>
                            <a:ext cx="350700" cy="972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369725" y="3647825"/>
                            <a:ext cx="2433000" cy="70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Store the Data into Fact tables &amp;  Dimensions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4275525" y="4439250"/>
                            <a:ext cx="411000" cy="1503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3286825" y="2745700"/>
                            <a:ext cx="3000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Different Data as needed using Lambda</w:t>
                              </w:r>
                            </w:p>
                          </w:txbxContent>
                        </wps:txbx>
                        <wps:bodyPr anchorCtr="0" anchor="t" bIns="91425" lIns="91425" spcFirstLastPara="1" rIns="91425" wrap="square" tIns="91425">
                          <a:spAutoFit/>
                        </wps:bodyPr>
                      </wps:wsp>
                      <wps:wsp>
                        <wps:cNvSpPr txBox="1"/>
                        <wps:cNvPr id="7" name="Shape 7"/>
                        <wps:spPr>
                          <a:xfrm>
                            <a:off x="3286825" y="4699800"/>
                            <a:ext cx="3000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 scripts to regularly update the different tables </w:t>
                              </w:r>
                              <w:r w:rsidDel="00000000" w:rsidR="00000000" w:rsidRPr="00000000">
                                <w:rPr>
                                  <w:rFonts w:ascii="Arial" w:cs="Arial" w:eastAsia="Arial" w:hAnsi="Arial"/>
                                  <w:b w:val="0"/>
                                  <w:i w:val="0"/>
                                  <w:smallCaps w:val="0"/>
                                  <w:strike w:val="0"/>
                                  <w:color w:val="000000"/>
                                  <w:sz w:val="28"/>
                                  <w:vertAlign w:val="baseline"/>
                                </w:rPr>
                                <w:t xml:space="preserve">using Lambda</w:t>
                              </w:r>
                            </w:p>
                          </w:txbxContent>
                        </wps:txbx>
                        <wps:bodyPr anchorCtr="0" anchor="t" bIns="91425" lIns="91425" spcFirstLastPara="1" rIns="91425" wrap="square" tIns="91425">
                          <a:spAutoFit/>
                        </wps:bodyPr>
                      </wps:wsp>
                      <wps:wsp>
                        <wps:cNvSpPr/>
                        <wps:cNvPr id="8" name="Shape 8"/>
                        <wps:spPr>
                          <a:xfrm>
                            <a:off x="3286825" y="5942250"/>
                            <a:ext cx="2682300" cy="86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w:t>
                              </w:r>
                              <w:r w:rsidDel="00000000" w:rsidR="00000000" w:rsidRPr="00000000">
                                <w:rPr>
                                  <w:rFonts w:ascii="Arial" w:cs="Arial" w:eastAsia="Arial" w:hAnsi="Arial"/>
                                  <w:b w:val="0"/>
                                  <w:i w:val="0"/>
                                  <w:smallCaps w:val="0"/>
                                  <w:strike w:val="0"/>
                                  <w:color w:val="000000"/>
                                  <w:sz w:val="28"/>
                                  <w:vertAlign w:val="baseline"/>
                                </w:rPr>
                                <w:t xml:space="preserve"> appropriate dashboarding for the specific Visualization use-case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19425" cy="6553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19425" cy="655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