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LLM Graph RAG Design, Deployment, and Evaluation — Bible as an Example</w:t>
      </w:r>
    </w:p>
    <w:p>
      <w:pPr>
        <w:spacing w:after="40" w:line="228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 Name</w:t>
      </w:r>
    </w:p>
    <w:p>
      <w:pPr>
        <w:spacing w:after="120" w:line="228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Department, University</w:t>
      </w:r>
    </w:p>
    <w:p>
      <w:pPr>
        <w:spacing w:after="40" w:before="60" w:line="228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Abstract</w:t>
      </w:r>
    </w:p>
    <w:p>
      <w:pPr>
        <w:spacing w:after="60" w:before="0" w:line="200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When high-quality retrieval context is provided, does LLM scale still matter? We investigate this question through a multi-strategy Graph RAG system for Traditional Chinese Bible question answering, integrating PostgreSQL (100K records), Qdrant (3,041 vectors), and Neo4j (19K nodes, 58K relationships) with four parallel retrieval strategies and a dual-path query router. In a controlled experiment where only the generation model varies, a locally deployed Gemma 3 4B matches the commercial Claude Haiku 4.5 within less than 1% on all 12 generation metrics (maximum absolute difference = 0.0098) across a 100-question benchmark evaluated with 19 metrics spanning retrieval, reference-based, semantic, and LLM-judged dimensions. Per-type analysis confirms that retrieval quality, not model scale, is the primary determinant of answer quality. These findings position RAG as a model equalizer, enabling zero-cost, privacy-preserving local deployment with no measurable quality loss.</w:t>
      </w:r>
    </w:p>
    <w:p>
      <w:pPr>
        <w:sectPr>
          <w:pgSz w:w="12240" w:h="15840" w:orient="portrait"/>
          <w:pgMar w:top="720" w:right="810" w:bottom="720" w:left="810" w:header="708" w:footer="708" w:gutter="0"/>
          <w:pgNumType/>
          <w:docGrid w:linePitch="360"/>
        </w:sectPr>
      </w:pPr>
    </w:p>
    <w:p>
      <w:pPr>
        <w:spacing w:before="80" w:after="40" w:line="228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0"/>
          <w:szCs w:val="20"/>
        </w:rPr>
        <w:t xml:space="preserve">I. Introduction</w:t>
      </w:r>
    </w:p>
    <w:p>
      <w:pPr>
        <w:spacing w:after="30" w:before="0" w:line="2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Large language models (LLMs) achieve impressive performance on general question answering, yet deploying them for domain-specific tasks presents two persistent challenges. First, commercial API costs scale linearly with query volume, making sustained deployment economically prohibitive for resource-constrained settings such as academic institutions and non-profit organizations. Second, non-English specialized corpora—such as Traditional Chinese biblical texts spanning 66 books with archaic vocabulary and cross-referential narrative structures—receive minimal coverage during pre-training, leading to factual gaps and hallucination regardless of model size. These constraints motivate a fundamental question: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can a well-designed retrieval pipeline decouple answer quality from model scale?</w:t>
      </w:r>
    </w:p>
    <w:p>
      <w:pPr>
        <w:spacing w:after="30" w:before="0" w:line="2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Retrieval-Augmented Generation (RAG) [1] supplements LLM generation with retrieved evidence, reducing hallucination and enabling domain adaptation without fine-tuning. Knowledge graph-enhanced RAG [2] further captures entity relationships, complementing dense passage retrieval [9] and lexical methods such as BM25 [10]. Recent surveys [3] catalogue diverse RAG architectures, yet most evaluations compare retrieval strategies under a single model. A critical empirical gap remains: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when the retrieval component is held constant, how much does model scale actually affect downstream answer quality?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We address this gap through a controlled comparison—identical retrieval pipeline, identical prompts, only the LLM varies—isolating the generation component’s contribution.</w:t>
      </w:r>
    </w:p>
    <w:p>
      <w:pPr>
        <w:spacing w:after="10" w:before="0" w:line="2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This paper makes three contributions:</w:t>
      </w:r>
    </w:p>
    <w:p>
      <w:pPr>
        <w:spacing w:after="10" w:before="0" w:line="220"/>
        <w:ind w:left="18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1)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 multi-database, multi-strategy Graph RAG architecture integrating PostgreSQL (100K records), Qdrant (3,041 vectors), and Neo4j (19K nodes, 58K relationships) with four parallel retrieval strategies and a dual-path query router.</w:t>
      </w:r>
    </w:p>
    <w:p>
      <w:pPr>
        <w:spacing w:after="10" w:before="0" w:line="220"/>
        <w:ind w:left="18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2)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Controlled empirical evidence that a locally deployed Gemma 3 4B [6] achieves functional equivalence with the commercial Claude Haiku 4.5 [7]—differing by less than 1% on all 12 generation metrics—when retrieval conditions are held constant.</w:t>
      </w:r>
    </w:p>
    <w:p>
      <w:pPr>
        <w:spacing w:after="30" w:before="0" w:line="220"/>
        <w:ind w:left="18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3)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 19-metric evaluation framework across four categories [5], applied to 100 curated questions in five types, revealing retrieval quality as the primary determinant of answer quality.</w:t>
      </w:r>
    </w:p>
    <w:p>
      <w:pPr>
        <w:spacing w:before="80" w:after="40" w:line="228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0"/>
          <w:szCs w:val="20"/>
        </w:rPr>
        <w:t xml:space="preserve">II. System Architecture</w:t>
      </w:r>
    </w:p>
    <w:p>
      <w:pPr>
        <w:spacing w:before="30" w:after="0" w:line="200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66 Books (Traditional Chinese Bible)</w:t>
      </w:r>
    </w:p>
    <w:p>
      <w:pPr>
        <w:spacing w:after="0" w:line="200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↓ Chunking → NER → Embedding</w:t>
      </w:r>
    </w:p>
    <w:p>
      <w:pPr>
        <w:spacing w:after="0" w:line="200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PostgreSQL(100K) | Qdrant(3K) | Neo4j(19K/58K)</w:t>
      </w:r>
    </w:p>
    <w:p>
      <w:pPr>
        <w:spacing w:after="0" w:line="200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↓ Verse | Semantic | Graph | CrossRef</w:t>
      </w:r>
    </w:p>
    <w:p>
      <w:pPr>
        <w:spacing w:after="10" w:line="200"/>
        <w:jc w:val="center"/>
      </w:pPr>
      <w:r>
        <w:rPr>
          <w:rFonts w:ascii="Courier New" w:cs="Courier New" w:eastAsia="Courier New" w:hAnsi="Courier New"/>
          <w:sz w:val="14"/>
          <w:szCs w:val="14"/>
        </w:rPr>
        <w:t xml:space="preserve">Fusion → Dedup → Rerank → LLM → Answer</w:t>
      </w:r>
    </w:p>
    <w:p>
      <w:pPr>
        <w:spacing w:after="40" w:line="200"/>
        <w:jc w:val="center"/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Fig. 1.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System architecture overview.</w:t>
      </w:r>
    </w:p>
    <w:p>
      <w:pPr>
        <w:spacing w:before="50" w:after="20" w:line="228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A. Data Processing Pipeline</w:t>
      </w:r>
    </w:p>
    <w:p>
      <w:pPr>
        <w:spacing w:after="30" w:before="0" w:line="2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Traditional Chinese Bible (66 books) undergoes hierarchical chunking: Book (66) → Chapter (1,189) → Pericope (2,779) → Chunk (431), with token-aware splitting (512–1,024 tokens) respecting verse boundaries. CKIP Transformers [8] perform Chinese NER, extracting 14,845 entities across six types (Person, Place, Group, Event, Object, Theme) with 80,912 mentions. An LLM validation pass supplements NER output for abstract entity types. BGE-M3 [4] generates 1,024-dimensional embeddings for 3,041 text segments at three granularity levels.</w:t>
      </w:r>
    </w:p>
    <w:p>
      <w:pPr>
        <w:spacing w:before="50" w:after="20" w:line="228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B. Triple-Database Architecture</w:t>
      </w:r>
    </w:p>
    <w:p>
      <w:pPr>
        <w:spacing w:after="30" w:before="0" w:line="2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Each database serves a distinct retrieval function. PostgreSQL stores structured verse, chapter, and book data (100,222 records) supporting exact-match lookup and full-text search. Qdrant indexes 3,041 dense vectors with cosine similarity for semantic retrieval. Neo4j maintains a knowledge graph of 19,310 nodes and 57,877 relationships (CONTAINS, NEXT, MENTIONS, CROSS_REFERENCES), enabling entity-centric graph traversal. All three databases share a unified ID scheme ensuring consistent cross-database linkage.</w:t>
      </w:r>
    </w:p>
    <w:p>
      <w:pPr>
        <w:spacing w:before="50" w:after="20" w:line="228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C. Multi-Strategy Retrieval</w:t>
      </w:r>
    </w:p>
    <w:p>
      <w:pPr>
        <w:spacing w:after="30" w:before="0" w:line="2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dual-path router classifies incoming queries. The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fast path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handles explicit verse references via PostgreSQL exact match (~20–50 ms). The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normal path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(~810 ms) dispatches four strategies in parallel: (1) Verse Direct—PostgreSQL lookup; (2) Semantic—BGE-M3 query embedding followed by Qdrant cosine search; (3) Graph—entity name matching via Neo4j MENTIONS traversal; and (4) Cross-Reference—conditional Neo4j expansion. Results undergo ID-based deduplication retaining the highest-weight candidate, followed by BGE-Reranker-v2-M3 cross-encoder reranking [4].</w:t>
      </w:r>
    </w:p>
    <w:p>
      <w:pPr>
        <w:spacing w:before="50" w:after="20" w:line="228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D. Pluggable LLM Generation</w:t>
      </w:r>
    </w:p>
    <w:p>
      <w:pPr>
        <w:spacing w:after="30" w:before="0" w:line="2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factory pattern abstracts the generation layer, supporting multiple providers (Anthropic, Google, OpenAI, Ollama). An identical evidence-first system prompt enforces strict citation from retrieved passages. Crucially,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only the LLM component differs between experimental conditions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—all retrieval, fusion, and reranking stages remain identical, ensuring a controlled comparison.</w:t>
      </w:r>
    </w:p>
    <w:p>
      <w:pPr>
        <w:spacing w:before="80" w:after="40" w:line="228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0"/>
          <w:szCs w:val="20"/>
        </w:rPr>
        <w:t xml:space="preserve">III. Experiments</w:t>
      </w:r>
    </w:p>
    <w:p>
      <w:pPr>
        <w:spacing w:after="20" w:before="0" w:line="22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Setup.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We curated 100 questions across five types (20 each): VERSE_LOOKUP, TOPIC, PERSON, EVENT, and GENERAL. We compare Claude Haiku 4.5 [7] (commercial API) against Gemma 3 4B [6] (local Ollama deployment), sharing an identical retrieval pipeline (temperature = 0.1, top_k = 5). We employ 19 metrics in four categories: 7 retrieval (hit rate, MRR, NDCG@5, MAP@5, precision/recall/F1@k), 4 reference-based (BLEU [12], ROUGE-1/2/L), 2 semantic (BERTScore [11], embedding cosine similarity), and 6 LLM-judged via RAGAS [5] (faithfulness, answer relevancy, context precision/recall, answer correctness, answer point coverage).</w:t>
      </w:r>
    </w:p>
    <w:p>
      <w:pPr>
        <w:spacing w:after="20" w:before="0" w:line="22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Retrieval results.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All 7 retrieval metrics are identical between models, confirming experimental control: hit rate = 0.920, MRR = 0.800, NDCG@5 = 0.835, MAP@5 = 0.758, precision@k = 0.342, recall@k = 0.846, F1@k = 0.454.</w:t>
      </w:r>
    </w:p>
    <w:p>
      <w:pPr>
        <w:spacing w:before="20" w:after="20" w:line="200"/>
        <w:jc w:val="center"/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TABLE I</w:t>
      </w:r>
    </w:p>
    <w:p>
      <w:pPr>
        <w:spacing w:before="0" w:after="20" w:line="20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Generation Metric Comparison (All 12 Metrics)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650"/>
        <w:gridCol w:w="750"/>
        <w:gridCol w:w="750"/>
        <w:gridCol w:w="1100"/>
      </w:tblGrid>
      <w:tr>
        <w:tc>
          <w:tcPr>
            <w:tcW w:type="dxa" w:w="750"/>
            <w:tcBorders>
              <w:top w:val="single" w:color="000000" w:sz="1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Category</w:t>
            </w:r>
          </w:p>
        </w:tc>
        <w:tc>
          <w:tcPr>
            <w:tcW w:type="dxa" w:w="1650"/>
            <w:tcBorders>
              <w:top w:val="single" w:color="000000" w:sz="1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Metric</w:t>
            </w:r>
          </w:p>
        </w:tc>
        <w:tc>
          <w:tcPr>
            <w:tcW w:type="dxa" w:w="750"/>
            <w:tcBorders>
              <w:top w:val="single" w:color="000000" w:sz="1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Claude</w:t>
            </w:r>
          </w:p>
        </w:tc>
        <w:tc>
          <w:tcPr>
            <w:tcW w:type="dxa" w:w="750"/>
            <w:tcBorders>
              <w:top w:val="single" w:color="000000" w:sz="1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Gemma</w:t>
            </w:r>
          </w:p>
        </w:tc>
        <w:tc>
          <w:tcPr>
            <w:tcW w:type="dxa" w:w="1100"/>
            <w:tcBorders>
              <w:top w:val="single" w:color="000000" w:sz="1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Δ</w:t>
            </w:r>
          </w:p>
        </w:tc>
      </w:tr>
      <w:tr>
        <w:tc>
          <w:tcPr>
            <w:tcW w:type="dxa" w:w="7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4"/>
                <w:szCs w:val="14"/>
              </w:rPr>
              <w:t xml:space="preserve">Semantic</w:t>
            </w:r>
          </w:p>
        </w:tc>
        <w:tc>
          <w:tcPr>
            <w:tcW w:type="dxa" w:w="16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BERTScore</w:t>
            </w:r>
          </w:p>
        </w:tc>
        <w:tc>
          <w:tcPr>
            <w:tcW w:type="dxa" w:w="7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0.6531</w:t>
            </w:r>
          </w:p>
        </w:tc>
        <w:tc>
          <w:tcPr>
            <w:tcW w:type="dxa" w:w="7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0.6520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−0.0011</w:t>
            </w:r>
          </w:p>
        </w:tc>
      </w:tr>
      <w:tr>
        <w:tc>
          <w:tcPr>
            <w:tcW w:type="dxa" w:w="75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65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Sem. Similarity</w:t>
            </w:r>
          </w:p>
        </w:tc>
        <w:tc>
          <w:tcPr>
            <w:tcW w:type="dxa" w:w="75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0.7690</w:t>
            </w:r>
          </w:p>
        </w:tc>
        <w:tc>
          <w:tcPr>
            <w:tcW w:type="dxa" w:w="75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0.7684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−0.0006</w:t>
            </w:r>
          </w:p>
        </w:tc>
      </w:tr>
      <w:tr>
        <w:tc>
          <w:tcPr>
            <w:tcW w:type="dxa" w:w="7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4"/>
                <w:szCs w:val="14"/>
              </w:rPr>
              <w:t xml:space="preserve">Ref-based</w:t>
            </w:r>
          </w:p>
        </w:tc>
        <w:tc>
          <w:tcPr>
            <w:tcW w:type="dxa" w:w="16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BLEU</w:t>
            </w:r>
          </w:p>
        </w:tc>
        <w:tc>
          <w:tcPr>
            <w:tcW w:type="dxa" w:w="7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0.0278</w:t>
            </w:r>
          </w:p>
        </w:tc>
        <w:tc>
          <w:tcPr>
            <w:tcW w:type="dxa" w:w="7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0.0285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+0.0007</w:t>
            </w:r>
          </w:p>
        </w:tc>
      </w:tr>
      <w:tr>
        <w:tc>
          <w:tcPr>
            <w:tcW w:type="dxa" w:w="7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6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ROUGE-1</w:t>
            </w:r>
          </w:p>
        </w:tc>
        <w:tc>
          <w:tcPr>
            <w:tcW w:type="dxa" w:w="7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0.0176</w:t>
            </w:r>
          </w:p>
        </w:tc>
        <w:tc>
          <w:tcPr>
            <w:tcW w:type="dxa" w:w="7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0.0153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−0.0023</w:t>
            </w:r>
          </w:p>
        </w:tc>
      </w:tr>
      <w:tr>
        <w:tc>
          <w:tcPr>
            <w:tcW w:type="dxa" w:w="7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6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ROUGE-2</w:t>
            </w:r>
          </w:p>
        </w:tc>
        <w:tc>
          <w:tcPr>
            <w:tcW w:type="dxa" w:w="7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0.0039</w:t>
            </w:r>
          </w:p>
        </w:tc>
        <w:tc>
          <w:tcPr>
            <w:tcW w:type="dxa" w:w="7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0.0052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+0.0013</w:t>
            </w:r>
          </w:p>
        </w:tc>
      </w:tr>
      <w:tr>
        <w:tc>
          <w:tcPr>
            <w:tcW w:type="dxa" w:w="75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65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ROUGE-L</w:t>
            </w:r>
          </w:p>
        </w:tc>
        <w:tc>
          <w:tcPr>
            <w:tcW w:type="dxa" w:w="75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0.0176</w:t>
            </w:r>
          </w:p>
        </w:tc>
        <w:tc>
          <w:tcPr>
            <w:tcW w:type="dxa" w:w="75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0.0153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−0.0023</w:t>
            </w:r>
          </w:p>
        </w:tc>
      </w:tr>
      <w:tr>
        <w:tc>
          <w:tcPr>
            <w:tcW w:type="dxa" w:w="7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4"/>
                <w:szCs w:val="14"/>
              </w:rPr>
              <w:t xml:space="preserve">LLM Judge</w:t>
            </w:r>
          </w:p>
        </w:tc>
        <w:tc>
          <w:tcPr>
            <w:tcW w:type="dxa" w:w="16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Faithfulness</w:t>
            </w:r>
          </w:p>
        </w:tc>
        <w:tc>
          <w:tcPr>
            <w:tcW w:type="dxa" w:w="7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0.6065</w:t>
            </w:r>
          </w:p>
        </w:tc>
        <w:tc>
          <w:tcPr>
            <w:tcW w:type="dxa" w:w="7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0.6072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+0.0007</w:t>
            </w:r>
          </w:p>
        </w:tc>
      </w:tr>
      <w:tr>
        <w:tc>
          <w:tcPr>
            <w:tcW w:type="dxa" w:w="7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6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Ans. Relevancy</w:t>
            </w:r>
          </w:p>
        </w:tc>
        <w:tc>
          <w:tcPr>
            <w:tcW w:type="dxa" w:w="7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0.7273</w:t>
            </w:r>
          </w:p>
        </w:tc>
        <w:tc>
          <w:tcPr>
            <w:tcW w:type="dxa" w:w="7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0.7331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+0.0058</w:t>
            </w:r>
          </w:p>
        </w:tc>
      </w:tr>
      <w:tr>
        <w:tc>
          <w:tcPr>
            <w:tcW w:type="dxa" w:w="7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6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Ctx. Precision</w:t>
            </w:r>
          </w:p>
        </w:tc>
        <w:tc>
          <w:tcPr>
            <w:tcW w:type="dxa" w:w="7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0.5671</w:t>
            </w:r>
          </w:p>
        </w:tc>
        <w:tc>
          <w:tcPr>
            <w:tcW w:type="dxa" w:w="7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0.5687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+0.0016</w:t>
            </w:r>
          </w:p>
        </w:tc>
      </w:tr>
      <w:tr>
        <w:tc>
          <w:tcPr>
            <w:tcW w:type="dxa" w:w="7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6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Ctx. Recall</w:t>
            </w:r>
          </w:p>
        </w:tc>
        <w:tc>
          <w:tcPr>
            <w:tcW w:type="dxa" w:w="7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0.7210</w:t>
            </w:r>
          </w:p>
        </w:tc>
        <w:tc>
          <w:tcPr>
            <w:tcW w:type="dxa" w:w="7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0.7267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+0.0057</w:t>
            </w:r>
          </w:p>
        </w:tc>
      </w:tr>
      <w:tr>
        <w:tc>
          <w:tcPr>
            <w:tcW w:type="dxa" w:w="7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6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Ans. Correctness</w:t>
            </w:r>
          </w:p>
        </w:tc>
        <w:tc>
          <w:tcPr>
            <w:tcW w:type="dxa" w:w="7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0.5215</w:t>
            </w:r>
          </w:p>
        </w:tc>
        <w:tc>
          <w:tcPr>
            <w:tcW w:type="dxa" w:w="75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0.5220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+0.0005</w:t>
            </w:r>
          </w:p>
        </w:tc>
      </w:tr>
      <w:tr>
        <w:tc>
          <w:tcPr>
            <w:tcW w:type="dxa" w:w="75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65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Ans. Pt. Coverage</w:t>
            </w:r>
          </w:p>
        </w:tc>
        <w:tc>
          <w:tcPr>
            <w:tcW w:type="dxa" w:w="75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0.5065</w:t>
            </w:r>
          </w:p>
        </w:tc>
        <w:tc>
          <w:tcPr>
            <w:tcW w:type="dxa" w:w="75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0.4967</w:t>
            </w:r>
          </w:p>
        </w:tc>
        <w:tc>
          <w:tcPr>
            <w:tcW w:type="dxa" w:w="11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−0.0098</w:t>
            </w:r>
          </w:p>
        </w:tc>
      </w:tr>
    </w:tbl>
    <w:p>
      <w:pPr>
        <w:spacing w:after="30" w:before="0" w:line="200"/>
        <w:jc w:val="both"/>
      </w:pPr>
      <w:r>
        <w:rPr>
          <w:rFonts w:ascii="Times New Roman" w:cs="Times New Roman" w:eastAsia="Times New Roman" w:hAnsi="Times New Roman"/>
          <w:i/>
          <w:iCs/>
          <w:sz w:val="14"/>
          <w:szCs w:val="14"/>
        </w:rPr>
        <w:t xml:space="preserve">Note: Δ = Gemma − Claude. Positive values indicate Gemma advantage.</w:t>
      </w:r>
    </w:p>
    <w:p>
      <w:pPr>
        <w:spacing w:before="80" w:after="40" w:line="228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0"/>
          <w:szCs w:val="20"/>
        </w:rPr>
        <w:t xml:space="preserve">IV. Results and Discussion</w:t>
      </w:r>
    </w:p>
    <w:p>
      <w:pPr>
        <w:spacing w:before="50" w:after="20" w:line="228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A. RAG Equalizes Model Differences</w:t>
      </w:r>
    </w:p>
    <w:p>
      <w:pPr>
        <w:spacing w:after="20" w:before="0" w:line="2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I presents the central finding: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all 12 generation metrics differ by less than 1%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The maximum absolute delta is 0.0098 (answer point coverage). Of the 12 metrics, Gemma leads on 7 while Claude leads on 5. The bidirectional distribution of advantages confirms stochastic fluctuations rather than systematic model superiority.</w:t>
      </w:r>
    </w:p>
    <w:p>
      <w:pPr>
        <w:spacing w:after="30" w:before="0" w:line="2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This convergence has a mechanistic explanation. With retrieval NDCG@5 = 0.835, the top-ranked passages already contain the answer evidence, reducing the LLM’s task from open-ended knowledge recall to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evidence-grounded paraphrasing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—a capability well within the reach of a 4B-parameter model. When the retrieval system supplies sufficiently precise context, additional model parameters contribute diminishing returns, as the generation bottleneck shifts from knowledge capacity to surface-level synthesis. A free, locally deployed 4B model is thus functionally indistinguishable from a commercial API.</w:t>
      </w:r>
    </w:p>
    <w:p>
      <w:pPr>
        <w:spacing w:before="50" w:after="20" w:line="228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B. Retrieval Quality Determines Answer Quality</w:t>
      </w:r>
    </w:p>
    <w:p>
      <w:pPr>
        <w:spacing w:after="15" w:before="0" w:line="2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II reveals a clear relationship between retrieval and generation quality across question types.</w:t>
      </w:r>
    </w:p>
    <w:p>
      <w:pPr>
        <w:spacing w:before="15" w:after="20" w:line="200"/>
        <w:jc w:val="center"/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TABLE II</w:t>
      </w:r>
    </w:p>
    <w:p>
      <w:pPr>
        <w:spacing w:before="0" w:after="20" w:line="20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Per-Type Retrieval and Generation Quality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800"/>
        <w:gridCol w:w="1000"/>
        <w:gridCol w:w="1000"/>
      </w:tblGrid>
      <w:tr>
        <w:tc>
          <w:tcPr>
            <w:tcW w:type="dxa" w:w="1400"/>
            <w:tcBorders>
              <w:top w:val="single" w:color="000000" w:sz="1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Type</w:t>
            </w:r>
          </w:p>
        </w:tc>
        <w:tc>
          <w:tcPr>
            <w:tcW w:type="dxa" w:w="800"/>
            <w:tcBorders>
              <w:top w:val="single" w:color="000000" w:sz="1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Hit Rate</w:t>
            </w:r>
          </w:p>
        </w:tc>
        <w:tc>
          <w:tcPr>
            <w:tcW w:type="dxa" w:w="800"/>
            <w:tcBorders>
              <w:top w:val="single" w:color="000000" w:sz="1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NDCG@5</w:t>
            </w:r>
          </w:p>
        </w:tc>
        <w:tc>
          <w:tcPr>
            <w:tcW w:type="dxa" w:w="1000"/>
            <w:tcBorders>
              <w:top w:val="single" w:color="000000" w:sz="1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Cl. APC</w:t>
            </w:r>
          </w:p>
        </w:tc>
        <w:tc>
          <w:tcPr>
            <w:tcW w:type="dxa" w:w="1000"/>
            <w:tcBorders>
              <w:top w:val="single" w:color="000000" w:sz="1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4"/>
                <w:szCs w:val="14"/>
              </w:rPr>
              <w:t xml:space="preserve">Ge. APC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VERSE_LOOKUP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0.958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0.975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TOPIC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0.983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0.629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0.592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PERSON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1.000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0.927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0.303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0.287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EVENT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0.750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0.548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0.298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0.340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GENERAL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0.850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0.715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0.343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15"/>
              <w:left w:type="dxa" w:w="30"/>
              <w:bottom w:type="dxa" w:w="15"/>
              <w:right w:type="dxa" w:w="30"/>
            </w:tcMar>
          </w:tcPr>
          <w:p>
            <w:pPr>
              <w:spacing w:after="0" w:before="0" w:line="2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0.290</w:t>
            </w:r>
          </w:p>
        </w:tc>
      </w:tr>
    </w:tbl>
    <w:p>
      <w:pPr>
        <w:spacing w:after="15" w:before="15" w:line="2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VERSE_LOOKUP achieves perfect retrieval (hit rate = 1.0, NDCG@5 = 1.0) via PostgreSQL exact match, yielding the highest APC (0.958/0.975). TOPIC questions also achieve perfect hit rate with high NDCG (0.983), producing strong APC (0.629/0.592). EVENT questions exhibit the lowest retrieval quality (hit rate = 0.750, NDCG@5 = 0.548)—event narratives span multiple chapters, challenging fixed-window chunking.</w:t>
      </w:r>
    </w:p>
    <w:p>
      <w:pPr>
        <w:spacing w:after="30" w:before="0" w:line="2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PERSON questions present an instructive anomaly: despite perfect hit rate and high NDCG (0.927), APC remains low (0.303/0.287). The Neo4j MENTIONS relationship achieves broad recall (F1@k = 0.778) by retrieving all passages mentioning an entity, but this breadth introduces noise—passages that mention a person incidentally rather than substantively. High NDCG reflects the presence of relevant passages in the top-k, while low APC indicates the LLM must filter through peripherally related context, diluting answer precision. This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breadth-versus-precision tradeoff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confirms that retrieval infrastructure, not model capability, remains the performance bottleneck.</w:t>
      </w:r>
    </w:p>
    <w:p>
      <w:pPr>
        <w:spacing w:before="50" w:after="20" w:line="228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C. Metric Selection for RAG Evaluation</w:t>
      </w:r>
    </w:p>
    <w:p>
      <w:pPr>
        <w:spacing w:after="30" w:before="0" w:line="2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ROUGE-1/2/L scores are extremely low (&lt;0.03), reflecting the paraphrased nature of Traditional Chinese answers rather than failure. Semantic similarity (0.769) and BERTScore (0.653) better capture answer quality by measuring meaning preservation over lexical overlap. Among LLM-judged metrics, answer relevancy (0.73) and context recall (0.72) best differentiate question types. We recommend prioritizing semantic and LLM-judged metrics over n-gram metrics for cross-lingual or generative RAG systems.</w:t>
      </w:r>
    </w:p>
    <w:p>
      <w:pPr>
        <w:spacing w:before="80" w:after="40" w:line="228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0"/>
          <w:szCs w:val="20"/>
        </w:rPr>
        <w:t xml:space="preserve">V. Conclusion</w:t>
      </w:r>
    </w:p>
    <w:p>
      <w:pPr>
        <w:spacing w:after="15" w:before="0" w:line="2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 designed, deployed, and evaluated a multi-strategy Graph RAG architecture for Traditional Chinese Bible question answering. A controlled experiment comparing Gemma 3 4B (local deployment) against Claude Haiku 4.5 (commercial API) demonstrates that all 12 generation metrics differ by less than 1% (max |Δ| = 0.0098) when retrieval conditions are identical. Per-type analysis reveals that retrieval quality—not model scale—is the primary determinant of answer quality, and identifies a breadth-versus-precision tradeoff in graph-based entity retrieval.</w:t>
      </w:r>
    </w:p>
    <w:p>
      <w:pPr>
        <w:spacing w:after="30" w:before="0" w:line="2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These results carry implications beyond biblical studies. Any domain where LLM pre-training provides insufficient coverage—legal codes, medical guidelines, indigenous-language archives—can benefit from the same RAG-as-equalizer paradigm: invest in retrieval infrastructure rather than larger models. Future work includes hybrid dense-sparse retrieval for improved recall on event narratives, adaptive chunking for multi-chapter passages, and multilingual evaluation across Bible translations.</w:t>
      </w:r>
    </w:p>
    <w:p>
      <w:pPr>
        <w:spacing w:before="80" w:after="40" w:line="228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0"/>
          <w:szCs w:val="20"/>
        </w:rPr>
        <w:t xml:space="preserve">References</w:t>
      </w:r>
    </w:p>
    <w:p>
      <w:pPr>
        <w:spacing w:after="8" w:before="0" w:line="192"/>
        <w:ind w:left="280" w:hanging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14"/>
          <w:szCs w:val="14"/>
        </w:rPr>
        <w:t xml:space="preserve">[1] </w:t>
      </w:r>
      <w:r>
        <w:rPr>
          <w:rFonts w:ascii="Times New Roman" w:cs="Times New Roman" w:eastAsia="Times New Roman" w:hAnsi="Times New Roman"/>
          <w:sz w:val="14"/>
          <w:szCs w:val="14"/>
        </w:rPr>
        <w:t xml:space="preserve">P. Lewis et al., "Retrieval-augmented generation for knowledge-intensive NLP tasks," in Proc. NeurIPS, 2020.</w:t>
      </w:r>
    </w:p>
    <w:p>
      <w:pPr>
        <w:spacing w:after="8" w:before="0" w:line="192"/>
        <w:ind w:left="280" w:hanging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14"/>
          <w:szCs w:val="14"/>
        </w:rPr>
        <w:t xml:space="preserve">[2] </w:t>
      </w:r>
      <w:r>
        <w:rPr>
          <w:rFonts w:ascii="Times New Roman" w:cs="Times New Roman" w:eastAsia="Times New Roman" w:hAnsi="Times New Roman"/>
          <w:sz w:val="14"/>
          <w:szCs w:val="14"/>
        </w:rPr>
        <w:t xml:space="preserve">D. Edge et al., "From local to global: A graph RAG approach to query-focused summarization," arXiv:2404.16130, 2024.</w:t>
      </w:r>
    </w:p>
    <w:p>
      <w:pPr>
        <w:spacing w:after="8" w:before="0" w:line="192"/>
        <w:ind w:left="280" w:hanging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14"/>
          <w:szCs w:val="14"/>
        </w:rPr>
        <w:t xml:space="preserve">[3] </w:t>
      </w:r>
      <w:r>
        <w:rPr>
          <w:rFonts w:ascii="Times New Roman" w:cs="Times New Roman" w:eastAsia="Times New Roman" w:hAnsi="Times New Roman"/>
          <w:sz w:val="14"/>
          <w:szCs w:val="14"/>
        </w:rPr>
        <w:t xml:space="preserve">Y. Gao et al., "Retrieval-augmented generation for large language models: A survey," arXiv:2312.10997, 2024.</w:t>
      </w:r>
    </w:p>
    <w:p>
      <w:pPr>
        <w:spacing w:after="8" w:before="0" w:line="192"/>
        <w:ind w:left="280" w:hanging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14"/>
          <w:szCs w:val="14"/>
        </w:rPr>
        <w:t xml:space="preserve">[4] </w:t>
      </w:r>
      <w:r>
        <w:rPr>
          <w:rFonts w:ascii="Times New Roman" w:cs="Times New Roman" w:eastAsia="Times New Roman" w:hAnsi="Times New Roman"/>
          <w:sz w:val="14"/>
          <w:szCs w:val="14"/>
        </w:rPr>
        <w:t xml:space="preserve">J. Chen et al., "BGE M3-embedding: Multi-lingual, multi-functionality, multi-granularity text embeddings through self-knowledge distillation," arXiv:2402.03216, 2024.</w:t>
      </w:r>
    </w:p>
    <w:p>
      <w:pPr>
        <w:spacing w:after="8" w:before="0" w:line="192"/>
        <w:ind w:left="280" w:hanging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14"/>
          <w:szCs w:val="14"/>
        </w:rPr>
        <w:t xml:space="preserve">[5] </w:t>
      </w:r>
      <w:r>
        <w:rPr>
          <w:rFonts w:ascii="Times New Roman" w:cs="Times New Roman" w:eastAsia="Times New Roman" w:hAnsi="Times New Roman"/>
          <w:sz w:val="14"/>
          <w:szCs w:val="14"/>
        </w:rPr>
        <w:t xml:space="preserve">S. Es et al., "RAGAS: Automated evaluation of retrieval augmented generation," arXiv:2309.15217, 2024.</w:t>
      </w:r>
    </w:p>
    <w:p>
      <w:pPr>
        <w:spacing w:after="8" w:before="0" w:line="192"/>
        <w:ind w:left="280" w:hanging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14"/>
          <w:szCs w:val="14"/>
        </w:rPr>
        <w:t xml:space="preserve">[6] </w:t>
      </w:r>
      <w:r>
        <w:rPr>
          <w:rFonts w:ascii="Times New Roman" w:cs="Times New Roman" w:eastAsia="Times New Roman" w:hAnsi="Times New Roman"/>
          <w:sz w:val="14"/>
          <w:szCs w:val="14"/>
        </w:rPr>
        <w:t xml:space="preserve">Google DeepMind, "Gemma 3 technical report," arXiv:2503.19786, 2025.</w:t>
      </w:r>
    </w:p>
    <w:p>
      <w:pPr>
        <w:spacing w:after="8" w:before="0" w:line="192"/>
        <w:ind w:left="280" w:hanging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14"/>
          <w:szCs w:val="14"/>
        </w:rPr>
        <w:t xml:space="preserve">[7] </w:t>
      </w:r>
      <w:r>
        <w:rPr>
          <w:rFonts w:ascii="Times New Roman" w:cs="Times New Roman" w:eastAsia="Times New Roman" w:hAnsi="Times New Roman"/>
          <w:sz w:val="14"/>
          <w:szCs w:val="14"/>
        </w:rPr>
        <w:t xml:space="preserve">Anthropic, "The Claude model family," 2024.</w:t>
      </w:r>
    </w:p>
    <w:p>
      <w:pPr>
        <w:spacing w:after="8" w:before="0" w:line="192"/>
        <w:ind w:left="280" w:hanging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14"/>
          <w:szCs w:val="14"/>
        </w:rPr>
        <w:t xml:space="preserve">[8] </w:t>
      </w:r>
      <w:r>
        <w:rPr>
          <w:rFonts w:ascii="Times New Roman" w:cs="Times New Roman" w:eastAsia="Times New Roman" w:hAnsi="Times New Roman"/>
          <w:sz w:val="14"/>
          <w:szCs w:val="14"/>
        </w:rPr>
        <w:t xml:space="preserve">W.-Y. Ma and K.-J. Chen, "CKIP Transformers: An NLP toolkit for traditional Chinese," in Proc. ROCLING, 2021.</w:t>
      </w:r>
    </w:p>
    <w:p>
      <w:pPr>
        <w:spacing w:after="8" w:before="0" w:line="192"/>
        <w:ind w:left="280" w:hanging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14"/>
          <w:szCs w:val="14"/>
        </w:rPr>
        <w:t xml:space="preserve">[9] </w:t>
      </w:r>
      <w:r>
        <w:rPr>
          <w:rFonts w:ascii="Times New Roman" w:cs="Times New Roman" w:eastAsia="Times New Roman" w:hAnsi="Times New Roman"/>
          <w:sz w:val="14"/>
          <w:szCs w:val="14"/>
        </w:rPr>
        <w:t xml:space="preserve">V. Karpukhin et al., "Dense passage retrieval for open-domain question answering," in Proc. EMNLP, 2020.</w:t>
      </w:r>
    </w:p>
    <w:p>
      <w:pPr>
        <w:spacing w:after="8" w:before="0" w:line="192"/>
        <w:ind w:left="280" w:hanging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14"/>
          <w:szCs w:val="14"/>
        </w:rPr>
        <w:t xml:space="preserve">[10] </w:t>
      </w:r>
      <w:r>
        <w:rPr>
          <w:rFonts w:ascii="Times New Roman" w:cs="Times New Roman" w:eastAsia="Times New Roman" w:hAnsi="Times New Roman"/>
          <w:sz w:val="14"/>
          <w:szCs w:val="14"/>
        </w:rPr>
        <w:t xml:space="preserve">S. Robertson and H. Zaragoza, "The probabilistic relevance framework: BM25 and beyond," Found. Trends Inf. Retr., vol. 3, no. 4, pp. 333–389, 2009.</w:t>
      </w:r>
    </w:p>
    <w:p>
      <w:pPr>
        <w:spacing w:after="8" w:before="0" w:line="192"/>
        <w:ind w:left="280" w:hanging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14"/>
          <w:szCs w:val="14"/>
        </w:rPr>
        <w:t xml:space="preserve">[11] </w:t>
      </w:r>
      <w:r>
        <w:rPr>
          <w:rFonts w:ascii="Times New Roman" w:cs="Times New Roman" w:eastAsia="Times New Roman" w:hAnsi="Times New Roman"/>
          <w:sz w:val="14"/>
          <w:szCs w:val="14"/>
        </w:rPr>
        <w:t xml:space="preserve">T. Zhang et al., "BERTScore: Evaluating text generation with BERT," in Proc. ICLR, 2020.</w:t>
      </w:r>
    </w:p>
    <w:p>
      <w:pPr>
        <w:spacing w:after="8" w:before="0" w:line="192"/>
        <w:ind w:left="280" w:hanging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14"/>
          <w:szCs w:val="14"/>
        </w:rPr>
        <w:t xml:space="preserve">[12] </w:t>
      </w:r>
      <w:r>
        <w:rPr>
          <w:rFonts w:ascii="Times New Roman" w:cs="Times New Roman" w:eastAsia="Times New Roman" w:hAnsi="Times New Roman"/>
          <w:sz w:val="14"/>
          <w:szCs w:val="14"/>
        </w:rPr>
        <w:t xml:space="preserve">K. Papineni et al., "BLEU: A method for automatic evaluation of machine translation," in Proc. ACL, 2002.</w:t>
      </w:r>
    </w:p>
    <w:sectPr>
      <w:type w:val="continuous"/>
      <w:pgSz w:w="12240" w:h="15840" w:orient="portrait"/>
      <w:pgMar w:top="720" w:right="810" w:bottom="720" w:left="810" w:header="708" w:footer="708" w:gutter="0"/>
      <w:pgNumType/>
      <w:cols w:space="432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2026-02-08T13:20:35.257Z</dcterms:created>
  <dcterms:modified xsi:type="dcterms:W3CDTF">2026-02-08T13:20:35.257Z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