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A1B3" w14:textId="6A05F22F" w:rsidR="005D57BC" w:rsidRDefault="003570BE" w:rsidP="00B43532">
      <w:r>
        <w:t>March 2</w:t>
      </w:r>
      <w:r w:rsidR="006E652C">
        <w:t>8</w:t>
      </w:r>
      <w:r>
        <w:t>, 2024</w:t>
      </w:r>
    </w:p>
    <w:p w14:paraId="58315B05" w14:textId="49FC281E" w:rsidR="003570BE" w:rsidRDefault="003570BE" w:rsidP="00B43532">
      <w:r>
        <w:t>Katherine Brown</w:t>
      </w:r>
      <w:r w:rsidR="00F76696">
        <w:br/>
        <w:t>Tribal Trust and Assistance Branch</w:t>
      </w:r>
      <w:r w:rsidR="00F76696">
        <w:br/>
        <w:t>Regional Administrator's Division (TTAB-122)</w:t>
      </w:r>
      <w:r w:rsidR="00F76696">
        <w:br/>
        <w:t>1200 6th Avenue, Suite 155</w:t>
      </w:r>
      <w:r w:rsidR="00F76696">
        <w:br/>
        <w:t>Seattle, WA 98101</w:t>
      </w:r>
    </w:p>
    <w:p w14:paraId="771684AF" w14:textId="79A3C963" w:rsidR="0023558C" w:rsidRDefault="0023558C" w:rsidP="00B43532">
      <w:r>
        <w:t xml:space="preserve">Email: </w:t>
      </w:r>
      <w:hyperlink r:id="rId8" w:history="1">
        <w:r w:rsidRPr="00B770EA">
          <w:rPr>
            <w:rStyle w:val="Hyperlink"/>
          </w:rPr>
          <w:t>brown.katherine@epa.gov</w:t>
        </w:r>
      </w:hyperlink>
      <w:r>
        <w:t xml:space="preserve"> </w:t>
      </w:r>
    </w:p>
    <w:p w14:paraId="19FB7C00" w14:textId="77777777" w:rsidR="006E652C" w:rsidRDefault="006E652C" w:rsidP="00B43532"/>
    <w:p w14:paraId="787DA68E" w14:textId="699BD306" w:rsidR="003570BE" w:rsidRDefault="0023558C" w:rsidP="00B43532">
      <w:r>
        <w:t>Dear Ms. Brown</w:t>
      </w:r>
      <w:r w:rsidR="006E652C">
        <w:t>,</w:t>
      </w:r>
    </w:p>
    <w:p w14:paraId="28E08FDF" w14:textId="157DB7BA" w:rsidR="006E652C" w:rsidRDefault="006E652C" w:rsidP="00B43532">
      <w:r>
        <w:t>Kenai Watershed Forum</w:t>
      </w:r>
      <w:r w:rsidR="00AC19ED">
        <w:t xml:space="preserve"> coordinates the efforts of a cooperative water quality monitoring program focused on the Kenai River</w:t>
      </w:r>
      <w:r w:rsidR="00CF6D78">
        <w:t xml:space="preserve"> in south central Alaska. </w:t>
      </w:r>
      <w:r w:rsidR="00B24A62">
        <w:t xml:space="preserve">We are providing this technical memo to inform the EPA Region 10 office of several minor revisions to the project’s </w:t>
      </w:r>
      <w:r w:rsidR="00CF6D78">
        <w:t>current Quality Assurance Project Plan (QAPP)</w:t>
      </w:r>
      <w:r w:rsidR="00B24A62">
        <w:t xml:space="preserve">. </w:t>
      </w:r>
      <w:r w:rsidR="0030126A">
        <w:t>The changes include the following items:</w:t>
      </w:r>
    </w:p>
    <w:p w14:paraId="0A0654E6" w14:textId="75C3F540" w:rsidR="0030126A" w:rsidRDefault="0030126A" w:rsidP="0030126A">
      <w:pPr>
        <w:pStyle w:val="ListParagraph"/>
        <w:numPr>
          <w:ilvl w:val="0"/>
          <w:numId w:val="3"/>
        </w:numPr>
      </w:pPr>
      <w:r>
        <w:t xml:space="preserve">Updating personnel </w:t>
      </w:r>
      <w:r w:rsidR="00763583">
        <w:t xml:space="preserve">names </w:t>
      </w:r>
      <w:r>
        <w:t>on the distribution list and technical advisory committee</w:t>
      </w:r>
    </w:p>
    <w:p w14:paraId="3B81DFFD" w14:textId="37029F85" w:rsidR="00763583" w:rsidRDefault="00763583" w:rsidP="0030126A">
      <w:pPr>
        <w:pStyle w:val="ListParagraph"/>
        <w:numPr>
          <w:ilvl w:val="0"/>
          <w:numId w:val="3"/>
        </w:numPr>
      </w:pPr>
      <w:r>
        <w:t>Including use of new model</w:t>
      </w:r>
      <w:r w:rsidR="00BD2FF9">
        <w:t>s</w:t>
      </w:r>
      <w:r>
        <w:t xml:space="preserve"> of hand-held water probe</w:t>
      </w:r>
      <w:r w:rsidR="00BD2FF9">
        <w:t>s</w:t>
      </w:r>
      <w:r>
        <w:t xml:space="preserve"> to </w:t>
      </w:r>
      <w:r w:rsidR="00BD2FF9">
        <w:t xml:space="preserve">collect intrinsic water quality parameter observations (pH, </w:t>
      </w:r>
      <w:r w:rsidR="00884037">
        <w:t>temperature, conductivity, dissolved oxygen, and turbidity)</w:t>
      </w:r>
    </w:p>
    <w:p w14:paraId="4FFD9A97" w14:textId="2D4F10A6" w:rsidR="0030126A" w:rsidRDefault="00884037" w:rsidP="0030126A">
      <w:pPr>
        <w:pStyle w:val="ListParagraph"/>
        <w:numPr>
          <w:ilvl w:val="0"/>
          <w:numId w:val="3"/>
        </w:numPr>
      </w:pPr>
      <w:r>
        <w:t xml:space="preserve">Describing where, when, and how </w:t>
      </w:r>
      <w:r w:rsidR="00A4413B">
        <w:t xml:space="preserve">opportunistic observations of the five parameters listed above may be </w:t>
      </w:r>
      <w:r w:rsidR="008E4401">
        <w:t>collected, using the new hand-held probes</w:t>
      </w:r>
      <w:r w:rsidR="00550550">
        <w:t xml:space="preserve">. </w:t>
      </w:r>
      <w:r w:rsidR="008D589F">
        <w:t>(“Opportunistic,” to mean occurring on dates outside of solely the two standard spring &amp; summer dates currently described</w:t>
      </w:r>
      <w:r w:rsidR="005353D7">
        <w:t>)</w:t>
      </w:r>
    </w:p>
    <w:p w14:paraId="2D1B9620" w14:textId="2FEDAA70" w:rsidR="0030126A" w:rsidRPr="00E857A4" w:rsidRDefault="0030126A" w:rsidP="0030126A">
      <w:r>
        <w:t>We have documented th</w:t>
      </w:r>
      <w:r w:rsidR="008E4401">
        <w:t>e</w:t>
      </w:r>
      <w:r>
        <w:t xml:space="preserve">se proposed changes within this technical </w:t>
      </w:r>
      <w:r w:rsidR="00CD5799">
        <w:t>memo and</w:t>
      </w:r>
      <w:r w:rsidR="008E4401">
        <w:t xml:space="preserve"> will publish </w:t>
      </w:r>
      <w:r w:rsidR="005353D7">
        <w:t xml:space="preserve">it as an addendum to the full QAPP document posted on </w:t>
      </w:r>
      <w:hyperlink r:id="rId9" w:history="1">
        <w:r w:rsidR="005353D7" w:rsidRPr="00B770EA">
          <w:rPr>
            <w:rStyle w:val="Hyperlink"/>
          </w:rPr>
          <w:t>www.kenaiwatershed.org</w:t>
        </w:r>
      </w:hyperlink>
      <w:r w:rsidR="005353D7">
        <w:t xml:space="preserve">. </w:t>
      </w:r>
      <w:r w:rsidR="004F392E">
        <w:t xml:space="preserve">When a future opportunity </w:t>
      </w:r>
      <w:r w:rsidR="00CD5799" w:rsidRPr="00E857A4">
        <w:t xml:space="preserve">occurs </w:t>
      </w:r>
      <w:r w:rsidR="004F392E" w:rsidRPr="00E857A4">
        <w:t>to conduct a f</w:t>
      </w:r>
      <w:r w:rsidR="00E92106" w:rsidRPr="00E857A4">
        <w:t>ormal</w:t>
      </w:r>
      <w:r w:rsidR="004F392E" w:rsidRPr="00E857A4">
        <w:t xml:space="preserve"> revision of the QAPP, we will incorporate these </w:t>
      </w:r>
      <w:r w:rsidR="00CD5799" w:rsidRPr="00E857A4">
        <w:t>changes in to the  proposed edits.</w:t>
      </w:r>
    </w:p>
    <w:p w14:paraId="35C51EE5" w14:textId="1568A618" w:rsidR="00551BD7" w:rsidRPr="00E857A4" w:rsidRDefault="00E857A4" w:rsidP="00551BD7">
      <w:r w:rsidRPr="00E857A4">
        <w:t xml:space="preserve">Thank you for your time and assistance. </w:t>
      </w:r>
      <w:r w:rsidR="00551BD7" w:rsidRPr="00E857A4">
        <w:t xml:space="preserve">Sincerely, </w:t>
      </w:r>
    </w:p>
    <w:p w14:paraId="663F0604" w14:textId="77777777" w:rsidR="00551BD7" w:rsidRPr="00E857A4" w:rsidRDefault="00551BD7" w:rsidP="00551BD7">
      <w:r w:rsidRPr="00E857A4">
        <w:rPr>
          <w:noProof/>
        </w:rPr>
        <w:drawing>
          <wp:inline distT="0" distB="0" distL="0" distR="0" wp14:anchorId="1AD6A497" wp14:editId="3775063A">
            <wp:extent cx="942975" cy="42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35" cy="4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7A4">
        <w:br/>
        <w:t>Benjamin Meyer</w:t>
      </w:r>
      <w:r w:rsidRPr="00E857A4">
        <w:br/>
        <w:t>Kenai Watershed Forum, Environmental Scientist</w:t>
      </w:r>
      <w:r w:rsidRPr="00E857A4">
        <w:br/>
      </w:r>
      <w:hyperlink r:id="rId11" w:history="1">
        <w:r w:rsidRPr="00E857A4">
          <w:rPr>
            <w:rStyle w:val="Hyperlink"/>
          </w:rPr>
          <w:t>ben@kenaiwatershed.org</w:t>
        </w:r>
      </w:hyperlink>
      <w:r w:rsidRPr="00E857A4">
        <w:br/>
        <w:t>(907) 232-0280</w:t>
      </w:r>
    </w:p>
    <w:p w14:paraId="32E5B96D" w14:textId="77777777" w:rsidR="00CD5799" w:rsidRPr="00E857A4" w:rsidRDefault="00CD5799" w:rsidP="00B43532"/>
    <w:p w14:paraId="5C917D4E" w14:textId="77777777" w:rsidR="00CD5799" w:rsidRDefault="00CD5799" w:rsidP="00B43532"/>
    <w:p w14:paraId="1F65AB11" w14:textId="6AB89C97" w:rsidR="005D57BC" w:rsidRDefault="005D57BC" w:rsidP="00B43532"/>
    <w:p w14:paraId="53A7A969" w14:textId="6AE90F50" w:rsidR="00040AB8" w:rsidRDefault="00040AB8" w:rsidP="00F10978">
      <w:pPr>
        <w:jc w:val="center"/>
        <w:rPr>
          <w:b/>
          <w:bCs/>
        </w:rPr>
      </w:pPr>
      <w:r>
        <w:rPr>
          <w:b/>
          <w:bCs/>
        </w:rPr>
        <w:lastRenderedPageBreak/>
        <w:t>March 2024</w:t>
      </w:r>
    </w:p>
    <w:p w14:paraId="621991F7" w14:textId="24971905" w:rsidR="00F10978" w:rsidRPr="00F10978" w:rsidRDefault="002925D4" w:rsidP="00F10978">
      <w:pPr>
        <w:jc w:val="center"/>
        <w:rPr>
          <w:b/>
          <w:bCs/>
        </w:rPr>
      </w:pPr>
      <w:r w:rsidRPr="00F10978">
        <w:rPr>
          <w:b/>
          <w:bCs/>
        </w:rPr>
        <w:t>Revisions to</w:t>
      </w:r>
      <w:r w:rsidR="002A5331" w:rsidRPr="00F10978">
        <w:rPr>
          <w:b/>
          <w:bCs/>
        </w:rPr>
        <w:t xml:space="preserve"> “</w:t>
      </w:r>
      <w:r w:rsidR="002A5331" w:rsidRPr="00F10978">
        <w:rPr>
          <w:b/>
          <w:bCs/>
        </w:rPr>
        <w:t>Kenai River Water Quality Monitoring</w:t>
      </w:r>
      <w:r w:rsidR="002A5331" w:rsidRPr="00F10978">
        <w:rPr>
          <w:b/>
          <w:bCs/>
        </w:rPr>
        <w:t xml:space="preserve"> </w:t>
      </w:r>
      <w:r w:rsidR="002A5331" w:rsidRPr="00F10978">
        <w:rPr>
          <w:b/>
          <w:bCs/>
        </w:rPr>
        <w:t>Quality Assurance Project Plan (QAPP)</w:t>
      </w:r>
      <w:r w:rsidR="002A5331" w:rsidRPr="00F10978">
        <w:rPr>
          <w:b/>
          <w:bCs/>
        </w:rPr>
        <w:t xml:space="preserve">, </w:t>
      </w:r>
      <w:r w:rsidR="002A5331" w:rsidRPr="00F10978">
        <w:rPr>
          <w:b/>
          <w:bCs/>
        </w:rPr>
        <w:t>Multi-Agency Baseline</w:t>
      </w:r>
      <w:r w:rsidR="002A5331" w:rsidRPr="00F10978">
        <w:rPr>
          <w:b/>
          <w:bCs/>
        </w:rPr>
        <w:t>, v3,” available</w:t>
      </w:r>
      <w:r w:rsidR="001F1B19" w:rsidRPr="00F10978">
        <w:rPr>
          <w:b/>
          <w:bCs/>
        </w:rPr>
        <w:t xml:space="preserve"> at the </w:t>
      </w:r>
      <w:r w:rsidR="00D17A30">
        <w:rPr>
          <w:b/>
          <w:bCs/>
        </w:rPr>
        <w:t>web address</w:t>
      </w:r>
      <w:r w:rsidR="001F1B19" w:rsidRPr="00F10978">
        <w:rPr>
          <w:b/>
          <w:bCs/>
        </w:rPr>
        <w:t xml:space="preserve"> in the footnote</w:t>
      </w:r>
      <w:r w:rsidR="00F10978" w:rsidRPr="00F10978">
        <w:rPr>
          <w:rStyle w:val="FootnoteReference"/>
          <w:b/>
          <w:bCs/>
        </w:rPr>
        <w:footnoteReference w:id="1"/>
      </w:r>
      <w:r w:rsidR="00F10978" w:rsidRPr="00F10978">
        <w:rPr>
          <w:b/>
          <w:bCs/>
        </w:rPr>
        <w:t>.</w:t>
      </w:r>
    </w:p>
    <w:p w14:paraId="5088B09B" w14:textId="5430F0C2" w:rsidR="002A5331" w:rsidRDefault="002A5331" w:rsidP="00F10978">
      <w:pPr>
        <w:jc w:val="center"/>
      </w:pPr>
    </w:p>
    <w:p w14:paraId="65F63B00" w14:textId="44A03F4C" w:rsidR="002925D4" w:rsidRDefault="002925D4" w:rsidP="004C785D">
      <w:pPr>
        <w:pStyle w:val="ListParagraph"/>
        <w:numPr>
          <w:ilvl w:val="0"/>
          <w:numId w:val="5"/>
        </w:numPr>
        <w:rPr>
          <w:b/>
          <w:bCs/>
        </w:rPr>
      </w:pPr>
      <w:r w:rsidRPr="004C785D">
        <w:rPr>
          <w:b/>
          <w:bCs/>
        </w:rPr>
        <w:t>Updating personnel names on the distribution list and technical advisory committee</w:t>
      </w:r>
      <w:r w:rsidR="00AD0248" w:rsidRPr="004C785D">
        <w:rPr>
          <w:b/>
          <w:bCs/>
        </w:rPr>
        <w:t xml:space="preserve"> (arrow indicates change)</w:t>
      </w:r>
    </w:p>
    <w:p w14:paraId="0C8B7C6F" w14:textId="77777777" w:rsidR="004C785D" w:rsidRPr="004C785D" w:rsidRDefault="004C785D" w:rsidP="004C785D">
      <w:pPr>
        <w:pStyle w:val="ListParagraph"/>
        <w:rPr>
          <w:b/>
          <w:bCs/>
        </w:rPr>
      </w:pPr>
    </w:p>
    <w:p w14:paraId="1B51DE5D" w14:textId="38F6F6DA" w:rsidR="00040AB8" w:rsidRDefault="00FD1BAC" w:rsidP="00FD1BAC">
      <w:pPr>
        <w:pStyle w:val="ListParagraph"/>
        <w:numPr>
          <w:ilvl w:val="0"/>
          <w:numId w:val="4"/>
        </w:numPr>
      </w:pPr>
      <w:r>
        <w:t>Page 7</w:t>
      </w:r>
      <w:r w:rsidR="00045FEF">
        <w:t>, “A4. Distribution List”</w:t>
      </w:r>
    </w:p>
    <w:p w14:paraId="505F8A08" w14:textId="1355674E" w:rsidR="00045FEF" w:rsidRDefault="00045FEF" w:rsidP="00045FEF">
      <w:pPr>
        <w:pStyle w:val="ListParagraph"/>
        <w:numPr>
          <w:ilvl w:val="1"/>
          <w:numId w:val="4"/>
        </w:numPr>
      </w:pPr>
      <w:r>
        <w:t xml:space="preserve">Mitch Michaud </w:t>
      </w:r>
      <w:r>
        <w:sym w:font="Wingdings" w:char="F0E0"/>
      </w:r>
      <w:r>
        <w:t xml:space="preserve"> Trent Dodson</w:t>
      </w:r>
    </w:p>
    <w:p w14:paraId="299E6786" w14:textId="5204181C" w:rsidR="00045FEF" w:rsidRDefault="00AD0248" w:rsidP="00045FEF">
      <w:pPr>
        <w:pStyle w:val="ListParagraph"/>
        <w:numPr>
          <w:ilvl w:val="1"/>
          <w:numId w:val="4"/>
        </w:numPr>
      </w:pPr>
      <w:r>
        <w:t xml:space="preserve">Moses Jordan </w:t>
      </w:r>
      <w:r>
        <w:sym w:font="Wingdings" w:char="F0E0"/>
      </w:r>
      <w:r>
        <w:t xml:space="preserve"> Alana Shaw (</w:t>
      </w:r>
      <w:hyperlink r:id="rId12" w:history="1">
        <w:r w:rsidR="000C2210" w:rsidRPr="00B770EA">
          <w:rPr>
            <w:rStyle w:val="Hyperlink"/>
          </w:rPr>
          <w:t>alana.shaw@kenaitze.org</w:t>
        </w:r>
      </w:hyperlink>
      <w:r w:rsidR="000C2210">
        <w:t>)</w:t>
      </w:r>
    </w:p>
    <w:p w14:paraId="64C9D82E" w14:textId="11E374B0" w:rsidR="003624C6" w:rsidRDefault="003624C6" w:rsidP="00045FEF">
      <w:pPr>
        <w:pStyle w:val="ListParagraph"/>
        <w:numPr>
          <w:ilvl w:val="1"/>
          <w:numId w:val="4"/>
        </w:numPr>
      </w:pPr>
      <w:r>
        <w:t xml:space="preserve">Yvonne Weber </w:t>
      </w:r>
      <w:r>
        <w:sym w:font="Wingdings" w:char="F0E0"/>
      </w:r>
      <w:r>
        <w:t xml:space="preserve"> Vacant</w:t>
      </w:r>
    </w:p>
    <w:p w14:paraId="4AF2DCD1" w14:textId="4075D06B" w:rsidR="003624C6" w:rsidRDefault="003624C6" w:rsidP="00045FEF">
      <w:pPr>
        <w:pStyle w:val="ListParagraph"/>
        <w:numPr>
          <w:ilvl w:val="1"/>
          <w:numId w:val="4"/>
        </w:numPr>
      </w:pPr>
      <w:r>
        <w:t xml:space="preserve">Amber Bethe </w:t>
      </w:r>
      <w:r>
        <w:sym w:font="Wingdings" w:char="F0E0"/>
      </w:r>
      <w:r>
        <w:t xml:space="preserve"> </w:t>
      </w:r>
      <w:r w:rsidR="005C2396">
        <w:t>Amber Crawford (</w:t>
      </w:r>
      <w:hyperlink r:id="rId13" w:history="1">
        <w:r w:rsidR="000C2210" w:rsidRPr="00B770EA">
          <w:rPr>
            <w:rStyle w:val="Hyperlink"/>
          </w:rPr>
          <w:t>amber.crawford@alaska.gov</w:t>
        </w:r>
      </w:hyperlink>
      <w:r w:rsidR="000C2210">
        <w:t xml:space="preserve">) </w:t>
      </w:r>
    </w:p>
    <w:p w14:paraId="21AC98EE" w14:textId="5FDA92BC" w:rsidR="00D60F47" w:rsidRDefault="00D60F47" w:rsidP="00D60F47">
      <w:pPr>
        <w:pStyle w:val="ListParagraph"/>
        <w:numPr>
          <w:ilvl w:val="0"/>
          <w:numId w:val="4"/>
        </w:numPr>
      </w:pPr>
      <w:r>
        <w:t>Page 8, “KWF Director”</w:t>
      </w:r>
    </w:p>
    <w:p w14:paraId="1E7D5DCD" w14:textId="37A236D4" w:rsidR="00D60F47" w:rsidRDefault="00D60F47" w:rsidP="00D60F47">
      <w:pPr>
        <w:pStyle w:val="ListParagraph"/>
        <w:numPr>
          <w:ilvl w:val="1"/>
          <w:numId w:val="4"/>
        </w:numPr>
      </w:pPr>
      <w:r>
        <w:t xml:space="preserve">Mitch Michaud </w:t>
      </w:r>
      <w:r>
        <w:sym w:font="Wingdings" w:char="F0E0"/>
      </w:r>
      <w:r>
        <w:t xml:space="preserve"> Trent Dodson</w:t>
      </w:r>
    </w:p>
    <w:p w14:paraId="50CA14FE" w14:textId="3245BD6D" w:rsidR="00D60F47" w:rsidRDefault="00B53679" w:rsidP="00D60F47">
      <w:pPr>
        <w:pStyle w:val="ListParagraph"/>
        <w:numPr>
          <w:ilvl w:val="0"/>
          <w:numId w:val="4"/>
        </w:numPr>
      </w:pPr>
      <w:r>
        <w:t>Page 46</w:t>
      </w:r>
      <w:r w:rsidR="0015707B">
        <w:t>, “Appendix A: Technical Advisory Committee”</w:t>
      </w:r>
    </w:p>
    <w:p w14:paraId="024D7191" w14:textId="77777777" w:rsidR="00CF2FCB" w:rsidRDefault="003C54D5" w:rsidP="0015707B">
      <w:pPr>
        <w:pStyle w:val="ListParagraph"/>
        <w:numPr>
          <w:ilvl w:val="1"/>
          <w:numId w:val="4"/>
        </w:numPr>
      </w:pPr>
      <w:r>
        <w:t xml:space="preserve">Sara </w:t>
      </w:r>
      <w:proofErr w:type="spellStart"/>
      <w:r>
        <w:t>Apsens</w:t>
      </w:r>
      <w:proofErr w:type="spellEnd"/>
    </w:p>
    <w:p w14:paraId="42410F41" w14:textId="63A78F12" w:rsidR="0015707B" w:rsidRDefault="00CC4733" w:rsidP="00CC4733">
      <w:pPr>
        <w:pStyle w:val="ListParagraph"/>
        <w:numPr>
          <w:ilvl w:val="2"/>
          <w:numId w:val="4"/>
        </w:numPr>
      </w:pPr>
      <w:r>
        <w:sym w:font="Wingdings" w:char="F0E0"/>
      </w:r>
      <w:r>
        <w:t xml:space="preserve"> C</w:t>
      </w:r>
      <w:r w:rsidR="00CB4A93">
        <w:t>hange in job title &amp; agency</w:t>
      </w:r>
    </w:p>
    <w:p w14:paraId="7EF4FF84" w14:textId="3B1E4464" w:rsidR="00276232" w:rsidRDefault="00276232" w:rsidP="00CF2FCB">
      <w:pPr>
        <w:pStyle w:val="ListParagraph"/>
        <w:numPr>
          <w:ilvl w:val="2"/>
          <w:numId w:val="4"/>
        </w:numPr>
        <w:rPr>
          <w:rStyle w:val="postal-code"/>
        </w:rPr>
      </w:pPr>
      <w:r>
        <w:sym w:font="Wingdings" w:char="F0E0"/>
      </w:r>
      <w:r>
        <w:t xml:space="preserve"> Habitat Branch </w:t>
      </w:r>
      <w:r w:rsidR="00403EAC">
        <w:t>–</w:t>
      </w:r>
      <w:r>
        <w:t xml:space="preserve"> </w:t>
      </w:r>
      <w:r w:rsidR="00403EAC">
        <w:t xml:space="preserve">Fish and Wildlife Biologist, Kenai Fish and Wildlife Conservation Office, </w:t>
      </w:r>
      <w:r>
        <w:rPr>
          <w:rStyle w:val="address-line1"/>
        </w:rPr>
        <w:t>43655 Kalifornsky Beach Road</w:t>
      </w:r>
      <w:r w:rsidR="00403EAC">
        <w:t xml:space="preserve">, </w:t>
      </w:r>
      <w:r>
        <w:rPr>
          <w:rStyle w:val="locality"/>
        </w:rPr>
        <w:t>Soldotna</w:t>
      </w:r>
      <w:r>
        <w:t xml:space="preserve">, </w:t>
      </w:r>
      <w:r>
        <w:rPr>
          <w:rStyle w:val="administrative-area"/>
        </w:rPr>
        <w:t>AK</w:t>
      </w:r>
      <w:r>
        <w:t xml:space="preserve"> </w:t>
      </w:r>
      <w:r>
        <w:rPr>
          <w:rStyle w:val="postal-code"/>
        </w:rPr>
        <w:t>99669</w:t>
      </w:r>
    </w:p>
    <w:p w14:paraId="14CEA697" w14:textId="2FB07218" w:rsidR="00CF2FCB" w:rsidRDefault="00CF2FCB" w:rsidP="00CF2FCB">
      <w:pPr>
        <w:pStyle w:val="ListParagraph"/>
        <w:numPr>
          <w:ilvl w:val="1"/>
          <w:numId w:val="4"/>
        </w:numPr>
        <w:rPr>
          <w:rStyle w:val="postal-code"/>
        </w:rPr>
      </w:pPr>
      <w:r>
        <w:rPr>
          <w:rStyle w:val="postal-code"/>
        </w:rPr>
        <w:t>Jack Blackwell</w:t>
      </w:r>
    </w:p>
    <w:p w14:paraId="44B7FD4A" w14:textId="43B2CD99" w:rsidR="00040AB8" w:rsidRDefault="00CF2FCB" w:rsidP="00040AB8">
      <w:pPr>
        <w:pStyle w:val="ListParagraph"/>
        <w:numPr>
          <w:ilvl w:val="2"/>
          <w:numId w:val="4"/>
        </w:numPr>
      </w:pPr>
      <w:r w:rsidRPr="00CF2FCB">
        <w:rPr>
          <w:rStyle w:val="postal-code"/>
        </w:rPr>
        <w:sym w:font="Wingdings" w:char="F0E0"/>
      </w:r>
      <w:r>
        <w:rPr>
          <w:rStyle w:val="postal-code"/>
        </w:rPr>
        <w:t xml:space="preserve"> Retired, remove from list</w:t>
      </w:r>
      <w:r w:rsidR="00C21769">
        <w:rPr>
          <w:rStyle w:val="postal-code"/>
        </w:rPr>
        <w:br/>
      </w:r>
    </w:p>
    <w:p w14:paraId="32425DBF" w14:textId="6294DBEF" w:rsidR="002925D4" w:rsidRDefault="00CC4733" w:rsidP="004C785D">
      <w:pPr>
        <w:pStyle w:val="ListParagraph"/>
        <w:numPr>
          <w:ilvl w:val="0"/>
          <w:numId w:val="5"/>
        </w:numPr>
        <w:rPr>
          <w:b/>
          <w:bCs/>
        </w:rPr>
      </w:pPr>
      <w:r w:rsidRPr="004C785D">
        <w:rPr>
          <w:b/>
          <w:bCs/>
        </w:rPr>
        <w:t>Use</w:t>
      </w:r>
      <w:r w:rsidR="002925D4" w:rsidRPr="004C785D">
        <w:rPr>
          <w:b/>
          <w:bCs/>
        </w:rPr>
        <w:t xml:space="preserve"> of new models of hand-held water probes to collect intrinsic water quality parameter observations (pH, temperature, conductivity, dissolved oxygen, and turbidity)</w:t>
      </w:r>
    </w:p>
    <w:p w14:paraId="56540D23" w14:textId="77777777" w:rsidR="004C785D" w:rsidRDefault="004C785D" w:rsidP="004C785D">
      <w:pPr>
        <w:pStyle w:val="ListParagraph"/>
        <w:rPr>
          <w:b/>
          <w:bCs/>
        </w:rPr>
      </w:pPr>
    </w:p>
    <w:p w14:paraId="2E82DBF8" w14:textId="54B2A884" w:rsidR="00953A93" w:rsidRDefault="00953A93" w:rsidP="00953A93">
      <w:pPr>
        <w:pStyle w:val="ListParagraph"/>
      </w:pPr>
      <w:r>
        <w:t>Kenai Watershed Forum will include use of two</w:t>
      </w:r>
      <w:r w:rsidR="002D44EA">
        <w:t xml:space="preserve"> new</w:t>
      </w:r>
      <w:r>
        <w:t xml:space="preserve"> portable field instruments, 1.) the hand held probe YSI </w:t>
      </w:r>
      <w:proofErr w:type="spellStart"/>
      <w:r>
        <w:t>ProQuatro</w:t>
      </w:r>
      <w:proofErr w:type="spellEnd"/>
      <w:r>
        <w:t>, and 2) the Hach 2100P portable turbidimeter</w:t>
      </w:r>
      <w:r w:rsidR="00A50C09">
        <w:t>. T</w:t>
      </w:r>
      <w:r>
        <w:t xml:space="preserve">hey will be </w:t>
      </w:r>
      <w:r w:rsidR="00A50C09">
        <w:t>used</w:t>
      </w:r>
      <w:r w:rsidR="002D44EA">
        <w:t xml:space="preserve"> at existing sites year-round as resources and </w:t>
      </w:r>
      <w:r w:rsidR="00A50C09">
        <w:t xml:space="preserve">site </w:t>
      </w:r>
      <w:r w:rsidR="002D44EA">
        <w:t>conditions permit.</w:t>
      </w:r>
    </w:p>
    <w:p w14:paraId="0DB8DB0D" w14:textId="77777777" w:rsidR="00953A93" w:rsidRPr="00953A93" w:rsidRDefault="00953A93" w:rsidP="00953A93">
      <w:pPr>
        <w:pStyle w:val="ListParagraph"/>
      </w:pPr>
    </w:p>
    <w:p w14:paraId="057A032D" w14:textId="48D45C47" w:rsidR="004C785D" w:rsidRDefault="0024142F" w:rsidP="004C785D">
      <w:pPr>
        <w:pStyle w:val="ListParagraph"/>
        <w:numPr>
          <w:ilvl w:val="0"/>
          <w:numId w:val="6"/>
        </w:numPr>
      </w:pPr>
      <w:r>
        <w:t>Page 13, “Schedule”</w:t>
      </w:r>
    </w:p>
    <w:p w14:paraId="26BF9F3F" w14:textId="7F943FD3" w:rsidR="0024142F" w:rsidRDefault="00F55D49" w:rsidP="0024142F">
      <w:pPr>
        <w:pStyle w:val="ListParagraph"/>
        <w:numPr>
          <w:ilvl w:val="1"/>
          <w:numId w:val="6"/>
        </w:numPr>
      </w:pPr>
      <w:r>
        <w:t>Add additional bullet point</w:t>
      </w:r>
      <w:r w:rsidR="00595016">
        <w:t>:</w:t>
      </w:r>
    </w:p>
    <w:p w14:paraId="7A0CD6E4" w14:textId="5C495E3B" w:rsidR="00DA3417" w:rsidRPr="00357321" w:rsidRDefault="00357321" w:rsidP="00DA3417">
      <w:pPr>
        <w:pStyle w:val="ListParagraph"/>
        <w:widowControl w:val="0"/>
        <w:numPr>
          <w:ilvl w:val="1"/>
          <w:numId w:val="6"/>
        </w:numPr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contextualSpacing w:val="0"/>
        <w:rPr>
          <w:rFonts w:ascii="Symbol" w:hAnsi="Symbol"/>
        </w:rPr>
      </w:pPr>
      <w:r>
        <w:t>“</w:t>
      </w:r>
      <w:r w:rsidR="00DA3417" w:rsidRPr="00DA3417">
        <w:t>Opportunistic data collection of intrinsic water quality parameters will occur throughout the year, including pH, turbidity, water temperature, specific conductivity, and dissolved oxygen</w:t>
      </w:r>
      <w:r>
        <w:t>.”</w:t>
      </w:r>
    </w:p>
    <w:p w14:paraId="09AE09D2" w14:textId="560FBD56" w:rsidR="00357321" w:rsidRPr="00D030DD" w:rsidRDefault="00357321" w:rsidP="00357321">
      <w:pPr>
        <w:pStyle w:val="ListParagraph"/>
        <w:widowControl w:val="0"/>
        <w:numPr>
          <w:ilvl w:val="0"/>
          <w:numId w:val="6"/>
        </w:numPr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contextualSpacing w:val="0"/>
        <w:rPr>
          <w:rFonts w:ascii="Symbol" w:hAnsi="Symbol"/>
        </w:rPr>
      </w:pPr>
      <w:r>
        <w:rPr>
          <w:rFonts w:cstheme="minorHAnsi"/>
        </w:rPr>
        <w:t>Page 16, “Table 2</w:t>
      </w:r>
      <w:r w:rsidR="009A36F5">
        <w:rPr>
          <w:rFonts w:cstheme="minorHAnsi"/>
        </w:rPr>
        <w:t>. Data Quality Objectives for Electronic Instruments”</w:t>
      </w:r>
    </w:p>
    <w:p w14:paraId="5D6ABB6C" w14:textId="69CAC11E" w:rsidR="00D030DD" w:rsidRPr="007C556A" w:rsidRDefault="00D030DD" w:rsidP="00D030DD">
      <w:pPr>
        <w:pStyle w:val="ListParagraph"/>
        <w:widowControl w:val="0"/>
        <w:numPr>
          <w:ilvl w:val="1"/>
          <w:numId w:val="6"/>
        </w:numPr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contextualSpacing w:val="0"/>
        <w:rPr>
          <w:rFonts w:ascii="Symbol" w:hAnsi="Symbol"/>
        </w:rPr>
      </w:pPr>
      <w:r>
        <w:rPr>
          <w:rFonts w:cstheme="minorHAnsi"/>
        </w:rPr>
        <w:lastRenderedPageBreak/>
        <w:t>See</w:t>
      </w:r>
      <w:r w:rsidR="004E3CE9">
        <w:rPr>
          <w:rFonts w:cstheme="minorHAnsi"/>
        </w:rPr>
        <w:t xml:space="preserve"> the revised version of</w:t>
      </w:r>
      <w:r>
        <w:rPr>
          <w:rFonts w:cstheme="minorHAnsi"/>
        </w:rPr>
        <w:t xml:space="preserve"> </w:t>
      </w:r>
      <w:r w:rsidR="00AF5EF1">
        <w:rPr>
          <w:rFonts w:cstheme="minorHAnsi"/>
        </w:rPr>
        <w:t>table</w:t>
      </w:r>
      <w:r w:rsidR="004E3CE9">
        <w:rPr>
          <w:rFonts w:cstheme="minorHAnsi"/>
        </w:rPr>
        <w:t xml:space="preserve"> 2</w:t>
      </w:r>
      <w:r w:rsidR="00AF5EF1">
        <w:rPr>
          <w:rFonts w:cstheme="minorHAnsi"/>
        </w:rPr>
        <w:t xml:space="preserve"> below for </w:t>
      </w:r>
      <w:r w:rsidR="004F69C5">
        <w:rPr>
          <w:rFonts w:cstheme="minorHAnsi"/>
        </w:rPr>
        <w:t>updated information in implementing the new instruments</w:t>
      </w:r>
      <w:r w:rsidR="004E3CE9">
        <w:rPr>
          <w:rFonts w:cstheme="minorHAnsi"/>
        </w:rPr>
        <w:t xml:space="preserve">, a) YSI </w:t>
      </w:r>
      <w:proofErr w:type="spellStart"/>
      <w:r w:rsidR="004E3CE9">
        <w:rPr>
          <w:rFonts w:cstheme="minorHAnsi"/>
        </w:rPr>
        <w:t>ProQuatro</w:t>
      </w:r>
      <w:proofErr w:type="spellEnd"/>
      <w:r w:rsidR="004E3CE9">
        <w:rPr>
          <w:rFonts w:cstheme="minorHAnsi"/>
        </w:rPr>
        <w:t xml:space="preserve"> for pH, conductivity, dissolved oxygen, and temperature, and 2.) The Hach 2100P for turbidity</w:t>
      </w:r>
    </w:p>
    <w:p w14:paraId="2AB4D132" w14:textId="717C9029" w:rsidR="007C556A" w:rsidRPr="009A36F5" w:rsidRDefault="007C556A" w:rsidP="00D030DD">
      <w:pPr>
        <w:pStyle w:val="ListParagraph"/>
        <w:widowControl w:val="0"/>
        <w:numPr>
          <w:ilvl w:val="1"/>
          <w:numId w:val="6"/>
        </w:numPr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contextualSpacing w:val="0"/>
        <w:rPr>
          <w:rFonts w:ascii="Symbol" w:hAnsi="Symbol"/>
        </w:rPr>
      </w:pPr>
      <w:r>
        <w:rPr>
          <w:rFonts w:cstheme="minorHAnsi"/>
        </w:rPr>
        <w:t>TKA – add in fact that turbidity measurements will be recorded in lab from sample of TSS sample</w:t>
      </w:r>
      <w:r w:rsidR="002D72E1">
        <w:rPr>
          <w:rFonts w:cstheme="minorHAnsi"/>
        </w:rPr>
        <w:t xml:space="preserve"> </w:t>
      </w:r>
    </w:p>
    <w:p w14:paraId="0C6D5D0B" w14:textId="77777777" w:rsidR="00A94111" w:rsidRDefault="00A94111" w:rsidP="00A94111">
      <w:pPr>
        <w:widowControl w:val="0"/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rPr>
          <w:rFonts w:ascii="Symbol" w:hAnsi="Symbol"/>
        </w:rPr>
      </w:pPr>
    </w:p>
    <w:p w14:paraId="7F5BA4AC" w14:textId="77777777" w:rsidR="00AF5EF1" w:rsidRDefault="00AF5EF1" w:rsidP="00A94111">
      <w:pPr>
        <w:widowControl w:val="0"/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rPr>
          <w:rFonts w:ascii="Symbol" w:hAnsi="Symbol"/>
        </w:rPr>
      </w:pPr>
    </w:p>
    <w:p w14:paraId="75A76FE2" w14:textId="67DA017A" w:rsidR="00A94111" w:rsidRPr="002D44EA" w:rsidRDefault="002D44EA" w:rsidP="00A94111">
      <w:pPr>
        <w:widowControl w:val="0"/>
        <w:tabs>
          <w:tab w:val="left" w:pos="839"/>
          <w:tab w:val="left" w:pos="840"/>
        </w:tabs>
        <w:autoSpaceDE w:val="0"/>
        <w:autoSpaceDN w:val="0"/>
        <w:spacing w:before="20" w:after="0" w:line="240" w:lineRule="auto"/>
        <w:ind w:right="-90"/>
        <w:rPr>
          <w:rFonts w:cstheme="minorHAnsi"/>
          <w:b/>
          <w:bCs/>
        </w:rPr>
      </w:pPr>
      <w:r w:rsidRPr="002D44EA">
        <w:rPr>
          <w:rFonts w:cstheme="minorHAnsi"/>
          <w:b/>
          <w:bCs/>
        </w:rPr>
        <w:t>Table 2. Data Quality Objectives for Electronic Instruments</w:t>
      </w:r>
      <w:r w:rsidR="00B63F19">
        <w:rPr>
          <w:rStyle w:val="FootnoteReference"/>
          <w:rFonts w:cstheme="minorHAnsi"/>
          <w:b/>
          <w:bCs/>
        </w:rPr>
        <w:footnoteReference w:id="2"/>
      </w:r>
      <w:r w:rsidR="00E05FB7" w:rsidRPr="00E05FB7">
        <w:rPr>
          <w:rFonts w:cstheme="minorHAnsi"/>
          <w:b/>
          <w:bCs/>
          <w:vertAlign w:val="superscript"/>
        </w:rPr>
        <w:t>,</w:t>
      </w:r>
      <w:r w:rsidR="00447DE5">
        <w:rPr>
          <w:rStyle w:val="FootnoteReference"/>
          <w:rFonts w:cstheme="minorHAnsi"/>
          <w:b/>
          <w:bCs/>
        </w:rPr>
        <w:footnote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634"/>
        <w:gridCol w:w="912"/>
        <w:gridCol w:w="1476"/>
        <w:gridCol w:w="1350"/>
        <w:gridCol w:w="1389"/>
        <w:gridCol w:w="1191"/>
      </w:tblGrid>
      <w:tr w:rsidR="00B145EB" w14:paraId="206BA51C" w14:textId="77777777" w:rsidTr="008D0862">
        <w:tc>
          <w:tcPr>
            <w:tcW w:w="1398" w:type="dxa"/>
          </w:tcPr>
          <w:p w14:paraId="4D35350B" w14:textId="113C2B7A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 w:rsidRPr="00B67812">
              <w:rPr>
                <w:rFonts w:cstheme="minorHAnsi"/>
              </w:rPr>
              <w:t>PARAMETER</w:t>
            </w:r>
          </w:p>
        </w:tc>
        <w:tc>
          <w:tcPr>
            <w:tcW w:w="1634" w:type="dxa"/>
          </w:tcPr>
          <w:p w14:paraId="0D40D60B" w14:textId="3A7F66CA" w:rsidR="00D12648" w:rsidRPr="00B67812" w:rsidRDefault="00F931C7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EPA </w:t>
            </w:r>
            <w:r w:rsidR="00D12648">
              <w:rPr>
                <w:rFonts w:cstheme="minorHAnsi"/>
              </w:rPr>
              <w:t>METHOD</w:t>
            </w:r>
          </w:p>
        </w:tc>
        <w:tc>
          <w:tcPr>
            <w:tcW w:w="912" w:type="dxa"/>
          </w:tcPr>
          <w:p w14:paraId="222625D4" w14:textId="4FCC0B6C" w:rsidR="00D12648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RANGE</w:t>
            </w:r>
          </w:p>
        </w:tc>
        <w:tc>
          <w:tcPr>
            <w:tcW w:w="1476" w:type="dxa"/>
          </w:tcPr>
          <w:p w14:paraId="0B601ED1" w14:textId="6A217F86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018B01F6" w14:textId="0E76F69F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SENSITIVITY</w:t>
            </w:r>
          </w:p>
        </w:tc>
        <w:tc>
          <w:tcPr>
            <w:tcW w:w="1389" w:type="dxa"/>
          </w:tcPr>
          <w:p w14:paraId="4CD6D92A" w14:textId="724707BA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PRECISION</w:t>
            </w:r>
            <w:r w:rsidR="00272050">
              <w:rPr>
                <w:rStyle w:val="FootnoteReference"/>
                <w:rFonts w:cstheme="minorHAnsi"/>
              </w:rPr>
              <w:footnoteReference w:id="4"/>
            </w:r>
          </w:p>
        </w:tc>
        <w:tc>
          <w:tcPr>
            <w:tcW w:w="1191" w:type="dxa"/>
          </w:tcPr>
          <w:p w14:paraId="6955ECD5" w14:textId="1877969B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</w:tr>
      <w:tr w:rsidR="00B145EB" w14:paraId="3942ED5F" w14:textId="77777777" w:rsidTr="00FE4A82">
        <w:trPr>
          <w:trHeight w:val="161"/>
        </w:trPr>
        <w:tc>
          <w:tcPr>
            <w:tcW w:w="1398" w:type="dxa"/>
          </w:tcPr>
          <w:p w14:paraId="5CA9F511" w14:textId="028E97F2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  <w:tc>
          <w:tcPr>
            <w:tcW w:w="1634" w:type="dxa"/>
          </w:tcPr>
          <w:p w14:paraId="7F2B7B77" w14:textId="77777777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  <w:tc>
          <w:tcPr>
            <w:tcW w:w="912" w:type="dxa"/>
          </w:tcPr>
          <w:p w14:paraId="41D91C47" w14:textId="77777777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  <w:tc>
          <w:tcPr>
            <w:tcW w:w="1476" w:type="dxa"/>
          </w:tcPr>
          <w:p w14:paraId="422C92D2" w14:textId="69036225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43094F3E" w14:textId="77777777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  <w:tc>
          <w:tcPr>
            <w:tcW w:w="1389" w:type="dxa"/>
          </w:tcPr>
          <w:p w14:paraId="5731C5E7" w14:textId="77777777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  <w:tc>
          <w:tcPr>
            <w:tcW w:w="1191" w:type="dxa"/>
          </w:tcPr>
          <w:p w14:paraId="2B821A97" w14:textId="77777777" w:rsidR="00D12648" w:rsidRPr="00B67812" w:rsidRDefault="00D12648" w:rsidP="00A94111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</w:tc>
      </w:tr>
      <w:tr w:rsidR="00B145EB" w14:paraId="32059A51" w14:textId="77777777" w:rsidTr="00FE4A82">
        <w:tc>
          <w:tcPr>
            <w:tcW w:w="1398" w:type="dxa"/>
          </w:tcPr>
          <w:p w14:paraId="5799192C" w14:textId="237EBE0B" w:rsidR="00D12648" w:rsidRPr="00B67812" w:rsidRDefault="00D12648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pH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634" w:type="dxa"/>
          </w:tcPr>
          <w:p w14:paraId="276787A6" w14:textId="00A9E349" w:rsidR="00D12648" w:rsidRPr="00B67812" w:rsidRDefault="00D12648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4500-H+ B-2000, pH probe on YSI </w:t>
            </w:r>
            <w:proofErr w:type="spellStart"/>
            <w:r>
              <w:rPr>
                <w:rFonts w:cstheme="minorHAnsi"/>
              </w:rPr>
              <w:t>ProQuatro</w:t>
            </w:r>
            <w:proofErr w:type="spellEnd"/>
          </w:p>
        </w:tc>
        <w:tc>
          <w:tcPr>
            <w:tcW w:w="912" w:type="dxa"/>
          </w:tcPr>
          <w:p w14:paraId="32E95262" w14:textId="743E1B90" w:rsidR="00D12648" w:rsidRDefault="00D12648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sz w:val="20"/>
              </w:rPr>
            </w:pPr>
            <w:r>
              <w:rPr>
                <w:sz w:val="20"/>
              </w:rPr>
              <w:t>0 – 14</w:t>
            </w:r>
          </w:p>
          <w:p w14:paraId="03584449" w14:textId="628A3CFC" w:rsidR="00D12648" w:rsidRDefault="00D12648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sz w:val="20"/>
              </w:rPr>
            </w:pPr>
          </w:p>
        </w:tc>
        <w:tc>
          <w:tcPr>
            <w:tcW w:w="1476" w:type="dxa"/>
          </w:tcPr>
          <w:p w14:paraId="49CBBCE7" w14:textId="6B8FB67A" w:rsidR="00D12648" w:rsidRPr="00B67812" w:rsidRDefault="00D12648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sz w:val="20"/>
              </w:rPr>
              <w:t>Standard pH units</w:t>
            </w:r>
          </w:p>
        </w:tc>
        <w:tc>
          <w:tcPr>
            <w:tcW w:w="1350" w:type="dxa"/>
          </w:tcPr>
          <w:p w14:paraId="281ABC57" w14:textId="605DB034" w:rsidR="00D12648" w:rsidRPr="00B67812" w:rsidRDefault="001F707B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389" w:type="dxa"/>
          </w:tcPr>
          <w:p w14:paraId="24B827F4" w14:textId="16968747" w:rsidR="00D12648" w:rsidRPr="00B67812" w:rsidRDefault="004227A8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0.01 units</w:t>
            </w:r>
          </w:p>
        </w:tc>
        <w:tc>
          <w:tcPr>
            <w:tcW w:w="1191" w:type="dxa"/>
          </w:tcPr>
          <w:p w14:paraId="47E18705" w14:textId="1B9E2B5B" w:rsidR="00D12648" w:rsidRPr="00B67812" w:rsidRDefault="000E3C0B" w:rsidP="00506573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 w:rsidRPr="00DD3FBE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0.2 units</w:t>
            </w:r>
          </w:p>
        </w:tc>
      </w:tr>
      <w:tr w:rsidR="00B609E8" w14:paraId="7E5BF033" w14:textId="77777777" w:rsidTr="00FE4A82">
        <w:tc>
          <w:tcPr>
            <w:tcW w:w="1398" w:type="dxa"/>
          </w:tcPr>
          <w:p w14:paraId="1BFDE48D" w14:textId="5F8CE311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Turbidity</w:t>
            </w:r>
          </w:p>
        </w:tc>
        <w:tc>
          <w:tcPr>
            <w:tcW w:w="1634" w:type="dxa"/>
          </w:tcPr>
          <w:p w14:paraId="7635C7DE" w14:textId="2A26C695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 w:rsidRPr="00AE6AA8">
              <w:rPr>
                <w:rFonts w:cstheme="minorHAnsi"/>
              </w:rPr>
              <w:t>2130 B ~ Nephelometric Method</w:t>
            </w:r>
            <w:r>
              <w:rPr>
                <w:rFonts w:cstheme="minorHAnsi"/>
              </w:rPr>
              <w:t xml:space="preserve">, </w:t>
            </w:r>
            <w:r w:rsidR="0079694B">
              <w:rPr>
                <w:rFonts w:cstheme="minorHAnsi"/>
              </w:rPr>
              <w:t>Hach 2100P</w:t>
            </w:r>
            <w:r>
              <w:rPr>
                <w:rFonts w:cstheme="minorHAnsi"/>
              </w:rPr>
              <w:t>portable turbidimeter</w:t>
            </w:r>
          </w:p>
        </w:tc>
        <w:tc>
          <w:tcPr>
            <w:tcW w:w="912" w:type="dxa"/>
          </w:tcPr>
          <w:p w14:paraId="41FDD4B0" w14:textId="585CD67D" w:rsidR="00B609E8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sz w:val="20"/>
              </w:rPr>
            </w:pPr>
            <w:r>
              <w:rPr>
                <w:sz w:val="20"/>
              </w:rPr>
              <w:t>0 – 1000 NTU</w:t>
            </w:r>
          </w:p>
        </w:tc>
        <w:tc>
          <w:tcPr>
            <w:tcW w:w="1476" w:type="dxa"/>
          </w:tcPr>
          <w:p w14:paraId="084176E7" w14:textId="38C3937C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sz w:val="20"/>
              </w:rPr>
              <w:t>Nephelometric Turbidity Units (NTU)</w:t>
            </w:r>
          </w:p>
        </w:tc>
        <w:tc>
          <w:tcPr>
            <w:tcW w:w="1350" w:type="dxa"/>
          </w:tcPr>
          <w:p w14:paraId="527B3B15" w14:textId="69FB8EBD" w:rsidR="00B609E8" w:rsidRPr="00B67812" w:rsidRDefault="00335BB0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0.01 </w:t>
            </w:r>
          </w:p>
        </w:tc>
        <w:tc>
          <w:tcPr>
            <w:tcW w:w="1389" w:type="dxa"/>
          </w:tcPr>
          <w:p w14:paraId="5C967330" w14:textId="6FDA9740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0.01 NTU or 1% o</w:t>
            </w:r>
            <w:r w:rsidR="00A745FF">
              <w:rPr>
                <w:rFonts w:cstheme="minorHAnsi"/>
              </w:rPr>
              <w:t>f</w:t>
            </w:r>
            <w:r>
              <w:rPr>
                <w:rFonts w:cstheme="minorHAnsi"/>
              </w:rPr>
              <w:t xml:space="preserve"> reading, whichever is greater</w:t>
            </w:r>
          </w:p>
        </w:tc>
        <w:tc>
          <w:tcPr>
            <w:tcW w:w="1191" w:type="dxa"/>
          </w:tcPr>
          <w:p w14:paraId="12CDDB1F" w14:textId="3097EA7E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 w:rsidRPr="00DD3FBE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2% </w:t>
            </w:r>
          </w:p>
        </w:tc>
      </w:tr>
      <w:tr w:rsidR="00B609E8" w14:paraId="10158405" w14:textId="77777777" w:rsidTr="00FE4A82">
        <w:tc>
          <w:tcPr>
            <w:tcW w:w="1398" w:type="dxa"/>
          </w:tcPr>
          <w:p w14:paraId="281AE0B8" w14:textId="34483410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Water Temperature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634" w:type="dxa"/>
          </w:tcPr>
          <w:p w14:paraId="2A2BC6FD" w14:textId="21D4A514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2550 B-2000, temperature probe on YSI models </w:t>
            </w:r>
            <w:proofErr w:type="spellStart"/>
            <w:r>
              <w:rPr>
                <w:rFonts w:cstheme="minorHAnsi"/>
              </w:rPr>
              <w:t>ProQuatro</w:t>
            </w:r>
            <w:proofErr w:type="spellEnd"/>
            <w:r>
              <w:rPr>
                <w:rFonts w:cstheme="minorHAnsi"/>
              </w:rPr>
              <w:t>, 30, 55, and 95</w:t>
            </w:r>
          </w:p>
        </w:tc>
        <w:tc>
          <w:tcPr>
            <w:tcW w:w="912" w:type="dxa"/>
          </w:tcPr>
          <w:p w14:paraId="2D70CC1F" w14:textId="7864B62E" w:rsidR="00B609E8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sz w:val="20"/>
              </w:rPr>
            </w:pPr>
            <w:r>
              <w:rPr>
                <w:sz w:val="20"/>
              </w:rPr>
              <w:t>-10</w:t>
            </w:r>
            <w:r w:rsidR="00E26CE0" w:rsidRPr="00E26CE0">
              <w:rPr>
                <w:sz w:val="20"/>
              </w:rPr>
              <w:t>°</w:t>
            </w:r>
            <w:r>
              <w:rPr>
                <w:sz w:val="20"/>
              </w:rPr>
              <w:t>C – 60</w:t>
            </w:r>
            <w:r w:rsidR="00E26CE0" w:rsidRPr="00E26CE0">
              <w:rPr>
                <w:sz w:val="20"/>
              </w:rPr>
              <w:t>°C</w:t>
            </w:r>
          </w:p>
        </w:tc>
        <w:tc>
          <w:tcPr>
            <w:tcW w:w="1476" w:type="dxa"/>
          </w:tcPr>
          <w:p w14:paraId="6C7DB113" w14:textId="775FDB81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sz w:val="20"/>
              </w:rPr>
              <w:t>Degrees Celsius (</w:t>
            </w:r>
            <w:r w:rsidR="00E26CE0" w:rsidRPr="00E26CE0">
              <w:rPr>
                <w:sz w:val="20"/>
              </w:rPr>
              <w:t>°C</w:t>
            </w:r>
            <w:r>
              <w:rPr>
                <w:sz w:val="20"/>
              </w:rPr>
              <w:t>)</w:t>
            </w:r>
          </w:p>
        </w:tc>
        <w:tc>
          <w:tcPr>
            <w:tcW w:w="1350" w:type="dxa"/>
          </w:tcPr>
          <w:p w14:paraId="2CFF0596" w14:textId="7B14632C" w:rsidR="00B609E8" w:rsidRPr="00C739AD" w:rsidRDefault="00023288" w:rsidP="00C739AD">
            <w:pPr>
              <w:pStyle w:val="TableParagraph"/>
              <w:spacing w:line="228" w:lineRule="exact"/>
              <w:ind w:left="229" w:right="219"/>
              <w:jc w:val="center"/>
              <w:rPr>
                <w:sz w:val="20"/>
              </w:rPr>
            </w:pPr>
            <w:r>
              <w:rPr>
                <w:rFonts w:cstheme="minorHAnsi"/>
              </w:rPr>
              <w:t>0.1</w:t>
            </w:r>
            <w:r w:rsidR="00C739AD">
              <w:rPr>
                <w:rFonts w:cstheme="minorHAnsi"/>
              </w:rPr>
              <w:t xml:space="preserve">, </w:t>
            </w:r>
            <w:r w:rsidR="00C739AD">
              <w:rPr>
                <w:sz w:val="20"/>
              </w:rPr>
              <w:t>0.1,</w:t>
            </w:r>
            <w:r w:rsidR="00C739AD">
              <w:rPr>
                <w:spacing w:val="-2"/>
                <w:sz w:val="20"/>
              </w:rPr>
              <w:t xml:space="preserve"> </w:t>
            </w:r>
            <w:r w:rsidR="00C739AD">
              <w:rPr>
                <w:sz w:val="20"/>
              </w:rPr>
              <w:t>0.2,</w:t>
            </w:r>
            <w:r w:rsidR="00C739AD">
              <w:rPr>
                <w:sz w:val="20"/>
              </w:rPr>
              <w:t xml:space="preserve"> and 0.1</w:t>
            </w:r>
          </w:p>
        </w:tc>
        <w:tc>
          <w:tcPr>
            <w:tcW w:w="1389" w:type="dxa"/>
          </w:tcPr>
          <w:p w14:paraId="4E8623AF" w14:textId="1877395B" w:rsidR="00B609E8" w:rsidRPr="00B67812" w:rsidRDefault="006F1C6A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1</w:t>
            </w:r>
            <w:r w:rsidRPr="00F324D1">
              <w:rPr>
                <w:rFonts w:cstheme="minorHAnsi"/>
              </w:rPr>
              <w:t>°C</w:t>
            </w:r>
          </w:p>
        </w:tc>
        <w:tc>
          <w:tcPr>
            <w:tcW w:w="1191" w:type="dxa"/>
          </w:tcPr>
          <w:p w14:paraId="0B13C266" w14:textId="2357B6E0" w:rsidR="00B609E8" w:rsidRPr="00B67812" w:rsidRDefault="00435CCE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 w:rsidRPr="00DD3FBE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0.2</w:t>
            </w:r>
            <w:r w:rsidR="00F324D1" w:rsidRPr="00F324D1">
              <w:rPr>
                <w:rFonts w:cstheme="minorHAnsi"/>
              </w:rPr>
              <w:t>°C</w:t>
            </w:r>
          </w:p>
        </w:tc>
      </w:tr>
      <w:tr w:rsidR="00B609E8" w14:paraId="1E4C74B9" w14:textId="77777777" w:rsidTr="00FE4A82">
        <w:tc>
          <w:tcPr>
            <w:tcW w:w="1398" w:type="dxa"/>
          </w:tcPr>
          <w:p w14:paraId="247679CD" w14:textId="36D68B14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Conductance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634" w:type="dxa"/>
          </w:tcPr>
          <w:p w14:paraId="702B79F9" w14:textId="58FF2F84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120.1, conductivity probe on YSI </w:t>
            </w:r>
            <w:proofErr w:type="spellStart"/>
            <w:r>
              <w:rPr>
                <w:rFonts w:cstheme="minorHAnsi"/>
              </w:rPr>
              <w:t>ProQuatro</w:t>
            </w:r>
            <w:proofErr w:type="spellEnd"/>
          </w:p>
        </w:tc>
        <w:tc>
          <w:tcPr>
            <w:tcW w:w="912" w:type="dxa"/>
          </w:tcPr>
          <w:p w14:paraId="6E42736B" w14:textId="25D3D601" w:rsidR="00B609E8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0 – 1000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>/cm</w:t>
            </w:r>
          </w:p>
        </w:tc>
        <w:tc>
          <w:tcPr>
            <w:tcW w:w="1476" w:type="dxa"/>
          </w:tcPr>
          <w:p w14:paraId="4EF330C1" w14:textId="3448F742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Micro-siemens/cm (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>/cm) (converted to 25 C)</w:t>
            </w:r>
          </w:p>
        </w:tc>
        <w:tc>
          <w:tcPr>
            <w:tcW w:w="1350" w:type="dxa"/>
          </w:tcPr>
          <w:p w14:paraId="62A23A26" w14:textId="284F4540" w:rsidR="00B609E8" w:rsidRPr="00B67812" w:rsidRDefault="004227A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4 digits</w:t>
            </w:r>
          </w:p>
        </w:tc>
        <w:tc>
          <w:tcPr>
            <w:tcW w:w="1389" w:type="dxa"/>
          </w:tcPr>
          <w:p w14:paraId="049D9C13" w14:textId="34178460" w:rsidR="00B609E8" w:rsidRPr="00B67812" w:rsidRDefault="007835AC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No stated accuracy spec</w:t>
            </w:r>
          </w:p>
        </w:tc>
        <w:tc>
          <w:tcPr>
            <w:tcW w:w="1191" w:type="dxa"/>
          </w:tcPr>
          <w:p w14:paraId="2D793755" w14:textId="20BB91A5" w:rsidR="00B609E8" w:rsidRPr="00B67812" w:rsidRDefault="004B7820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 w:rsidRPr="00DD3FBE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0.5% of reading or 0.00</w:t>
            </w:r>
            <w:r w:rsidR="008A0D15">
              <w:rPr>
                <w:rFonts w:cstheme="minorHAnsi"/>
              </w:rPr>
              <w:t>1 mS/</w:t>
            </w:r>
            <w:proofErr w:type="spellStart"/>
            <w:r w:rsidR="008A0D15">
              <w:rPr>
                <w:rFonts w:cstheme="minorHAnsi"/>
              </w:rPr>
              <w:t>uS</w:t>
            </w:r>
            <w:proofErr w:type="spellEnd"/>
            <w:r w:rsidR="008A0D15">
              <w:rPr>
                <w:rFonts w:cstheme="minorHAnsi"/>
              </w:rPr>
              <w:t xml:space="preserve">. </w:t>
            </w:r>
            <w:proofErr w:type="spellStart"/>
            <w:r w:rsidR="008A0D15">
              <w:rPr>
                <w:rFonts w:cstheme="minorHAnsi"/>
              </w:rPr>
              <w:t>w.i.g</w:t>
            </w:r>
            <w:proofErr w:type="spellEnd"/>
            <w:r w:rsidR="008A0D15">
              <w:rPr>
                <w:rFonts w:cstheme="minorHAnsi"/>
              </w:rPr>
              <w:t>.</w:t>
            </w:r>
          </w:p>
        </w:tc>
      </w:tr>
      <w:tr w:rsidR="00B609E8" w14:paraId="3C4EE2A6" w14:textId="77777777" w:rsidTr="00FE4A82">
        <w:tc>
          <w:tcPr>
            <w:tcW w:w="1398" w:type="dxa"/>
          </w:tcPr>
          <w:p w14:paraId="7626A390" w14:textId="453DAD19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Dissolved Oxygen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634" w:type="dxa"/>
          </w:tcPr>
          <w:p w14:paraId="435DBAA8" w14:textId="69578FA5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ASTM D888—09 (C), dissolved oxygen probe on YSI </w:t>
            </w:r>
            <w:proofErr w:type="spellStart"/>
            <w:r>
              <w:rPr>
                <w:rFonts w:cstheme="minorHAnsi"/>
              </w:rPr>
              <w:t>ProQuatro</w:t>
            </w:r>
            <w:proofErr w:type="spellEnd"/>
          </w:p>
        </w:tc>
        <w:tc>
          <w:tcPr>
            <w:tcW w:w="912" w:type="dxa"/>
          </w:tcPr>
          <w:p w14:paraId="7D254989" w14:textId="11BDA174" w:rsidR="00B609E8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 to 20 mg/L</w:t>
            </w:r>
          </w:p>
        </w:tc>
        <w:tc>
          <w:tcPr>
            <w:tcW w:w="1476" w:type="dxa"/>
          </w:tcPr>
          <w:p w14:paraId="7DCE95DF" w14:textId="5EAF10D3" w:rsidR="00B609E8" w:rsidRPr="00B67812" w:rsidRDefault="00B609E8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Milligrams per liter (mg/L)</w:t>
            </w:r>
          </w:p>
        </w:tc>
        <w:tc>
          <w:tcPr>
            <w:tcW w:w="1350" w:type="dxa"/>
          </w:tcPr>
          <w:p w14:paraId="795879DA" w14:textId="3377D8DB" w:rsidR="00B609E8" w:rsidRPr="00B67812" w:rsidRDefault="002A70A0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0.1 mg/L</w:t>
            </w:r>
          </w:p>
        </w:tc>
        <w:tc>
          <w:tcPr>
            <w:tcW w:w="1389" w:type="dxa"/>
          </w:tcPr>
          <w:p w14:paraId="5247AB7C" w14:textId="2717ABA2" w:rsidR="00B609E8" w:rsidRPr="00B67812" w:rsidRDefault="005B0F8C" w:rsidP="00B609E8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>0.1% air saturation</w:t>
            </w:r>
          </w:p>
        </w:tc>
        <w:tc>
          <w:tcPr>
            <w:tcW w:w="1191" w:type="dxa"/>
          </w:tcPr>
          <w:p w14:paraId="314B4C8E" w14:textId="77777777" w:rsidR="00440997" w:rsidRDefault="00440997" w:rsidP="00440997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0 to 20 mg/L: </w:t>
            </w:r>
            <w:r w:rsidRPr="00DD3FBE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2% of reading or 0.2 mg/L, </w:t>
            </w:r>
            <w:proofErr w:type="spellStart"/>
            <w:r>
              <w:rPr>
                <w:rFonts w:cstheme="minorHAnsi"/>
              </w:rPr>
              <w:t>w.i.g</w:t>
            </w:r>
            <w:proofErr w:type="spellEnd"/>
          </w:p>
          <w:p w14:paraId="30C4A90C" w14:textId="77777777" w:rsidR="00440997" w:rsidRDefault="00440997" w:rsidP="00440997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</w:p>
          <w:p w14:paraId="228AA7AA" w14:textId="0395F373" w:rsidR="00B609E8" w:rsidRPr="00B67812" w:rsidRDefault="00440997" w:rsidP="00440997">
            <w:pPr>
              <w:widowControl w:val="0"/>
              <w:tabs>
                <w:tab w:val="left" w:pos="839"/>
                <w:tab w:val="left" w:pos="840"/>
              </w:tabs>
              <w:autoSpaceDE w:val="0"/>
              <w:autoSpaceDN w:val="0"/>
              <w:spacing w:before="20"/>
              <w:ind w:right="-90"/>
              <w:rPr>
                <w:rFonts w:cstheme="minorHAnsi"/>
              </w:rPr>
            </w:pPr>
            <w:r>
              <w:rPr>
                <w:rFonts w:cstheme="minorHAnsi"/>
              </w:rPr>
              <w:t xml:space="preserve">20 to 50 mg/L: </w:t>
            </w:r>
            <w:r w:rsidRPr="00DD3FBE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6% of reading (0.01 mg/L)</w:t>
            </w:r>
          </w:p>
        </w:tc>
      </w:tr>
    </w:tbl>
    <w:p w14:paraId="618D8A79" w14:textId="77777777" w:rsidR="00C21769" w:rsidRDefault="00C21769" w:rsidP="00C21769">
      <w:pPr>
        <w:pStyle w:val="ListParagraph"/>
        <w:rPr>
          <w:b/>
          <w:bCs/>
        </w:rPr>
      </w:pPr>
    </w:p>
    <w:p w14:paraId="2115AEB5" w14:textId="77777777" w:rsidR="00C21769" w:rsidRDefault="00C21769" w:rsidP="00C21769">
      <w:pPr>
        <w:pStyle w:val="ListParagraph"/>
        <w:rPr>
          <w:b/>
          <w:bCs/>
        </w:rPr>
      </w:pPr>
    </w:p>
    <w:p w14:paraId="3DC4D155" w14:textId="0E0641C4" w:rsidR="001C34F8" w:rsidRPr="001C34F8" w:rsidRDefault="001C34F8" w:rsidP="001C34F8">
      <w:pPr>
        <w:pStyle w:val="ListParagraph"/>
        <w:numPr>
          <w:ilvl w:val="0"/>
          <w:numId w:val="5"/>
        </w:numPr>
        <w:rPr>
          <w:b/>
          <w:bCs/>
        </w:rPr>
      </w:pPr>
      <w:r w:rsidRPr="001C34F8">
        <w:rPr>
          <w:b/>
          <w:bCs/>
        </w:rPr>
        <w:t>O</w:t>
      </w:r>
      <w:r w:rsidR="002925D4" w:rsidRPr="001C34F8">
        <w:rPr>
          <w:b/>
          <w:bCs/>
        </w:rPr>
        <w:t xml:space="preserve">pportunistic observations of </w:t>
      </w:r>
      <w:r w:rsidRPr="001C34F8">
        <w:rPr>
          <w:b/>
          <w:bCs/>
        </w:rPr>
        <w:t>intrinsic water quality parameters</w:t>
      </w:r>
      <w:r w:rsidR="002925D4" w:rsidRPr="001C34F8">
        <w:rPr>
          <w:b/>
          <w:bCs/>
        </w:rPr>
        <w:t xml:space="preserve">, using the new hand-held </w:t>
      </w:r>
      <w:r w:rsidR="00D13CFE">
        <w:rPr>
          <w:b/>
          <w:bCs/>
        </w:rPr>
        <w:t>instruments</w:t>
      </w:r>
    </w:p>
    <w:p w14:paraId="4D170A82" w14:textId="77777777" w:rsidR="001C34F8" w:rsidRDefault="001C34F8" w:rsidP="001C34F8">
      <w:pPr>
        <w:pStyle w:val="ListParagraph"/>
      </w:pPr>
    </w:p>
    <w:p w14:paraId="5333A182" w14:textId="621CC005" w:rsidR="001C34F8" w:rsidRDefault="006B08CD" w:rsidP="001C34F8">
      <w:pPr>
        <w:pStyle w:val="ListParagraph"/>
        <w:numPr>
          <w:ilvl w:val="0"/>
          <w:numId w:val="6"/>
        </w:numPr>
      </w:pPr>
      <w:r>
        <w:t xml:space="preserve">In version 3 of the QAPP, five water quality parameters are </w:t>
      </w:r>
      <w:r w:rsidR="00FC4279">
        <w:t xml:space="preserve">collected </w:t>
      </w:r>
      <w:r w:rsidR="00AF0EA0">
        <w:t>using hand-held instruments at all twenty-two field sites twice annually, once in spring and once in summer, simultaneously when grab samples are collected</w:t>
      </w:r>
      <w:r w:rsidR="00311471">
        <w:t>.</w:t>
      </w:r>
    </w:p>
    <w:p w14:paraId="4468005B" w14:textId="79B06872" w:rsidR="00AF0EA0" w:rsidRDefault="00102138" w:rsidP="001C34F8">
      <w:pPr>
        <w:pStyle w:val="ListParagraph"/>
        <w:numPr>
          <w:ilvl w:val="0"/>
          <w:numId w:val="6"/>
        </w:numPr>
      </w:pPr>
      <w:r>
        <w:t>To</w:t>
      </w:r>
      <w:r w:rsidR="00AF0EA0">
        <w:t xml:space="preserve"> </w:t>
      </w:r>
      <w:r w:rsidR="002A07A5">
        <w:t>characterize baseline conditions more thoroughly</w:t>
      </w:r>
      <w:r w:rsidR="00AF0EA0">
        <w:t xml:space="preserve"> at these </w:t>
      </w:r>
      <w:r w:rsidR="00311471">
        <w:t xml:space="preserve">established </w:t>
      </w:r>
      <w:r w:rsidR="00AF0EA0">
        <w:t xml:space="preserve">sites, we </w:t>
      </w:r>
      <w:r w:rsidR="0057408D">
        <w:t>will</w:t>
      </w:r>
      <w:r w:rsidR="00311471">
        <w:t xml:space="preserve"> use portable field instruments to gather data</w:t>
      </w:r>
      <w:r w:rsidR="00930979">
        <w:t xml:space="preserve"> at additional dates throughout the year as resources allow.</w:t>
      </w:r>
    </w:p>
    <w:p w14:paraId="1EE2E8F5" w14:textId="04CF3B71" w:rsidR="0047281A" w:rsidRDefault="002A07A5" w:rsidP="00845FFD">
      <w:pPr>
        <w:pStyle w:val="ListParagraph"/>
        <w:numPr>
          <w:ilvl w:val="0"/>
          <w:numId w:val="6"/>
        </w:numPr>
      </w:pPr>
      <w:r>
        <w:t xml:space="preserve">We will use the </w:t>
      </w:r>
      <w:r w:rsidRPr="006167D2">
        <w:rPr>
          <w:b/>
          <w:bCs/>
          <w:u w:val="single"/>
        </w:rPr>
        <w:t xml:space="preserve">YSI </w:t>
      </w:r>
      <w:proofErr w:type="spellStart"/>
      <w:r w:rsidRPr="006167D2">
        <w:rPr>
          <w:b/>
          <w:bCs/>
          <w:u w:val="single"/>
        </w:rPr>
        <w:t>ProQuatro</w:t>
      </w:r>
      <w:proofErr w:type="spellEnd"/>
      <w:r>
        <w:t xml:space="preserve"> to m</w:t>
      </w:r>
      <w:r w:rsidR="0047281A">
        <w:t>e</w:t>
      </w:r>
      <w:r>
        <w:t xml:space="preserve">asure in-situ </w:t>
      </w:r>
      <w:r w:rsidR="0047281A">
        <w:t>conditions for pH, temperature, conductivity, and dissolved oxygen</w:t>
      </w:r>
    </w:p>
    <w:p w14:paraId="26772B3B" w14:textId="5A16C312" w:rsidR="00845FFD" w:rsidRDefault="00845FFD" w:rsidP="00845FFD">
      <w:pPr>
        <w:pStyle w:val="ListParagraph"/>
        <w:numPr>
          <w:ilvl w:val="1"/>
          <w:numId w:val="6"/>
        </w:numPr>
      </w:pPr>
      <w:r>
        <w:t>All measurements</w:t>
      </w:r>
      <w:r w:rsidR="00D54E00">
        <w:t xml:space="preserve"> for these parameters</w:t>
      </w:r>
      <w:r>
        <w:t xml:space="preserve"> will be recorded in-situ</w:t>
      </w:r>
      <w:r w:rsidR="0099461E">
        <w:t xml:space="preserve"> on the field form provided in this technical memo</w:t>
      </w:r>
      <w:r w:rsidR="006167D2">
        <w:t>.</w:t>
      </w:r>
    </w:p>
    <w:p w14:paraId="7F0E7041" w14:textId="0552A20E" w:rsidR="006B08CD" w:rsidRDefault="00845FFD" w:rsidP="001C34F8">
      <w:pPr>
        <w:pStyle w:val="ListParagraph"/>
        <w:numPr>
          <w:ilvl w:val="0"/>
          <w:numId w:val="6"/>
        </w:numPr>
      </w:pPr>
      <w:r>
        <w:t>We will use the</w:t>
      </w:r>
      <w:r w:rsidR="002A07A5">
        <w:t xml:space="preserve"> </w:t>
      </w:r>
      <w:r w:rsidR="002A07A5" w:rsidRPr="006167D2">
        <w:rPr>
          <w:b/>
          <w:bCs/>
          <w:u w:val="single"/>
        </w:rPr>
        <w:t>Hach 2100</w:t>
      </w:r>
      <w:r w:rsidR="0099461E" w:rsidRPr="006167D2">
        <w:rPr>
          <w:b/>
          <w:bCs/>
          <w:u w:val="single"/>
        </w:rPr>
        <w:t>P</w:t>
      </w:r>
      <w:r w:rsidR="0099461E">
        <w:t xml:space="preserve"> portable turbidimeter to measure turbidity</w:t>
      </w:r>
      <w:r w:rsidR="00154993">
        <w:t>.</w:t>
      </w:r>
    </w:p>
    <w:p w14:paraId="115AF43C" w14:textId="2D5612AA" w:rsidR="00BF76EF" w:rsidRDefault="00C74A25" w:rsidP="00C74A25">
      <w:pPr>
        <w:pStyle w:val="ListParagraph"/>
        <w:numPr>
          <w:ilvl w:val="1"/>
          <w:numId w:val="6"/>
        </w:numPr>
      </w:pPr>
      <w:r>
        <w:t>Measurements will be recorded preferentially on-site</w:t>
      </w:r>
      <w:r w:rsidR="00BF76EF">
        <w:t>, and data recorded on the field form provide din this technical memo</w:t>
      </w:r>
      <w:r w:rsidR="006167D2">
        <w:t>.</w:t>
      </w:r>
    </w:p>
    <w:p w14:paraId="3C6EB06D" w14:textId="3109B469" w:rsidR="00C74A25" w:rsidRDefault="007262A8" w:rsidP="00C74A25">
      <w:pPr>
        <w:pStyle w:val="ListParagraph"/>
        <w:numPr>
          <w:ilvl w:val="1"/>
          <w:numId w:val="6"/>
        </w:numPr>
      </w:pPr>
      <w:r>
        <w:t xml:space="preserve">When it is not possible to </w:t>
      </w:r>
      <w:r w:rsidR="00FD620C">
        <w:t>use</w:t>
      </w:r>
      <w:r>
        <w:t xml:space="preserve"> the turbidime</w:t>
      </w:r>
      <w:r w:rsidR="007C556A">
        <w:t xml:space="preserve">ter </w:t>
      </w:r>
      <w:r w:rsidR="00FD620C">
        <w:t>in-situ</w:t>
      </w:r>
      <w:r w:rsidR="00DF4019">
        <w:t>, samples will be collected</w:t>
      </w:r>
      <w:r w:rsidR="00103D0E">
        <w:t xml:space="preserve"> and transported</w:t>
      </w:r>
      <w:r w:rsidR="00140E56">
        <w:t xml:space="preserve"> using methods </w:t>
      </w:r>
      <w:r w:rsidR="00CE75E7">
        <w:t xml:space="preserve">identical to those </w:t>
      </w:r>
      <w:r w:rsidR="00140E56">
        <w:t>described for total suspended solids</w:t>
      </w:r>
      <w:r w:rsidR="005517EA">
        <w:t xml:space="preserve"> (</w:t>
      </w:r>
      <w:r w:rsidR="00C84DD4">
        <w:t>Appendix B of QAPP)</w:t>
      </w:r>
    </w:p>
    <w:p w14:paraId="01F89415" w14:textId="6970F439" w:rsidR="00BC7780" w:rsidRDefault="00BC7780" w:rsidP="00CE75E7">
      <w:pPr>
        <w:pStyle w:val="ListParagraph"/>
        <w:numPr>
          <w:ilvl w:val="1"/>
          <w:numId w:val="6"/>
        </w:numPr>
      </w:pPr>
      <w:r>
        <w:t xml:space="preserve">Prior to </w:t>
      </w:r>
      <w:r w:rsidR="00E3074D">
        <w:t xml:space="preserve">transferring </w:t>
      </w:r>
      <w:r w:rsidR="00CE75E7">
        <w:t xml:space="preserve">samples to </w:t>
      </w:r>
      <w:r w:rsidR="00E3074D">
        <w:t xml:space="preserve">the </w:t>
      </w:r>
      <w:r w:rsidR="002E0F41">
        <w:t xml:space="preserve">20 mL </w:t>
      </w:r>
      <w:r w:rsidR="00E3074D">
        <w:t>glass vials used for the Hach 2100P photometer</w:t>
      </w:r>
      <w:r w:rsidR="005517EA">
        <w:t>, sample</w:t>
      </w:r>
      <w:r w:rsidR="002E0F41">
        <w:t>s</w:t>
      </w:r>
      <w:r w:rsidR="005517EA">
        <w:t xml:space="preserve"> in the 1L HDPE bottles</w:t>
      </w:r>
      <w:r w:rsidR="00103D0E">
        <w:t xml:space="preserve"> will be </w:t>
      </w:r>
      <w:r w:rsidR="00C75ED5">
        <w:t>re-</w:t>
      </w:r>
      <w:r w:rsidR="00103D0E">
        <w:t>homogenized according to methods described</w:t>
      </w:r>
      <w:r w:rsidR="002E0F41">
        <w:t xml:space="preserve"> for preparing</w:t>
      </w:r>
      <w:r w:rsidR="00095560">
        <w:t xml:space="preserve"> Hach</w:t>
      </w:r>
      <w:r w:rsidR="002E0F41">
        <w:t xml:space="preserve"> </w:t>
      </w:r>
      <w:r w:rsidR="00C75ED5">
        <w:t>turbidity standards</w:t>
      </w:r>
      <w:r w:rsidR="00C75ED5">
        <w:rPr>
          <w:rStyle w:val="FootnoteReference"/>
        </w:rPr>
        <w:footnoteReference w:id="5"/>
      </w:r>
      <w:r w:rsidR="00095560">
        <w:t xml:space="preserve"> (each </w:t>
      </w:r>
      <w:r w:rsidR="00F36E95">
        <w:t>collection bottle will be receive a series of gentle inversions)</w:t>
      </w:r>
      <w:r w:rsidR="006167D2">
        <w:t>.</w:t>
      </w:r>
    </w:p>
    <w:p w14:paraId="653C023D" w14:textId="6AAF7D90" w:rsidR="0099461E" w:rsidRDefault="0099461E" w:rsidP="0099461E">
      <w:pPr>
        <w:pStyle w:val="ListParagraph"/>
        <w:numPr>
          <w:ilvl w:val="0"/>
          <w:numId w:val="6"/>
        </w:numPr>
      </w:pPr>
      <w:r>
        <w:t xml:space="preserve">All </w:t>
      </w:r>
      <w:r w:rsidR="000F0253">
        <w:t xml:space="preserve">individuals </w:t>
      </w:r>
      <w:r w:rsidR="00154993">
        <w:t>using</w:t>
      </w:r>
      <w:r w:rsidR="000F0253">
        <w:t xml:space="preserve"> the portable field instruments described above will</w:t>
      </w:r>
      <w:r w:rsidR="00051B93">
        <w:t xml:space="preserve"> receive a standardized training from the project </w:t>
      </w:r>
      <w:r w:rsidR="00154993">
        <w:t>manager or project quality assurance officer</w:t>
      </w:r>
      <w:r w:rsidR="006167D2">
        <w:t>.</w:t>
      </w:r>
    </w:p>
    <w:p w14:paraId="630871FD" w14:textId="77777777" w:rsidR="001C34F8" w:rsidRDefault="001C34F8" w:rsidP="006167D2">
      <w:pPr>
        <w:ind w:left="360"/>
      </w:pPr>
    </w:p>
    <w:p w14:paraId="085E4097" w14:textId="77777777" w:rsidR="006E4843" w:rsidRPr="00B43532" w:rsidRDefault="006E4843" w:rsidP="00B43532"/>
    <w:sectPr w:rsidR="006E4843" w:rsidRPr="00B4353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1FF5" w14:textId="77777777" w:rsidR="00052046" w:rsidRDefault="00052046" w:rsidP="006C5728">
      <w:pPr>
        <w:spacing w:after="0" w:line="240" w:lineRule="auto"/>
      </w:pPr>
      <w:r>
        <w:separator/>
      </w:r>
    </w:p>
  </w:endnote>
  <w:endnote w:type="continuationSeparator" w:id="0">
    <w:p w14:paraId="406141FD" w14:textId="77777777" w:rsidR="00052046" w:rsidRDefault="00052046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657F" w14:textId="77777777" w:rsidR="006C5728" w:rsidRPr="006C5728" w:rsidRDefault="006C5728">
    <w:pPr>
      <w:pStyle w:val="Footer"/>
      <w:rPr>
        <w:sz w:val="20"/>
        <w:szCs w:val="20"/>
      </w:rPr>
    </w:pPr>
  </w:p>
  <w:p w14:paraId="29178A36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AB42" w14:textId="77777777" w:rsidR="00052046" w:rsidRDefault="00052046" w:rsidP="006C5728">
      <w:pPr>
        <w:spacing w:after="0" w:line="240" w:lineRule="auto"/>
      </w:pPr>
      <w:r>
        <w:separator/>
      </w:r>
    </w:p>
  </w:footnote>
  <w:footnote w:type="continuationSeparator" w:id="0">
    <w:p w14:paraId="775CB367" w14:textId="77777777" w:rsidR="00052046" w:rsidRDefault="00052046" w:rsidP="006C5728">
      <w:pPr>
        <w:spacing w:after="0" w:line="240" w:lineRule="auto"/>
      </w:pPr>
      <w:r>
        <w:continuationSeparator/>
      </w:r>
    </w:p>
  </w:footnote>
  <w:footnote w:id="1">
    <w:p w14:paraId="7A83B9CF" w14:textId="77777777" w:rsidR="00F10978" w:rsidRDefault="00F10978" w:rsidP="00F10978">
      <w:r>
        <w:rPr>
          <w:rStyle w:val="FootnoteReference"/>
        </w:rPr>
        <w:footnoteRef/>
      </w:r>
      <w:r>
        <w:t xml:space="preserve">  </w:t>
      </w:r>
      <w:hyperlink r:id="rId1" w:history="1">
        <w:r w:rsidRPr="00B770EA">
          <w:rPr>
            <w:rStyle w:val="Hyperlink"/>
          </w:rPr>
          <w:t>https://www.kenaiwatershed.org/news-media/qapp-revisions-completed-2023/</w:t>
        </w:r>
      </w:hyperlink>
      <w:r>
        <w:t xml:space="preserve"> </w:t>
      </w:r>
    </w:p>
    <w:p w14:paraId="2A7C2CC4" w14:textId="77777777" w:rsidR="00F10978" w:rsidRDefault="00F10978" w:rsidP="00F10978">
      <w:pPr>
        <w:pStyle w:val="FootnoteText"/>
      </w:pPr>
    </w:p>
  </w:footnote>
  <w:footnote w:id="2">
    <w:p w14:paraId="4E366154" w14:textId="53489C83" w:rsidR="00B63F19" w:rsidRDefault="00B63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3360F8">
          <w:rPr>
            <w:rStyle w:val="Hyperlink"/>
          </w:rPr>
          <w:t>https://www.ysi.com/File%20Library/Documents/News%20Briefs/NB13-0116-01-EPA-Approved-Methods.pdf</w:t>
        </w:r>
      </w:hyperlink>
      <w:r>
        <w:t xml:space="preserve"> </w:t>
      </w:r>
    </w:p>
  </w:footnote>
  <w:footnote w:id="3">
    <w:p w14:paraId="46AA3B3C" w14:textId="7881435D" w:rsidR="00447DE5" w:rsidRDefault="00447D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360F8">
          <w:rPr>
            <w:rStyle w:val="Hyperlink"/>
          </w:rPr>
          <w:t>https://www.manualslib.com/manual/1279581/Hach-2100p.html</w:t>
        </w:r>
      </w:hyperlink>
      <w:r>
        <w:t xml:space="preserve"> </w:t>
      </w:r>
    </w:p>
  </w:footnote>
  <w:footnote w:id="4">
    <w:p w14:paraId="2A005A5D" w14:textId="77777777" w:rsidR="00272050" w:rsidRDefault="00272050" w:rsidP="00272050">
      <w:pPr>
        <w:pStyle w:val="FootnoteText"/>
      </w:pPr>
      <w:r>
        <w:rPr>
          <w:rStyle w:val="FootnoteReference"/>
        </w:rPr>
        <w:footnoteRef/>
      </w:r>
      <w:r>
        <w:t xml:space="preserve"> Instrument’s value in user manual for “resolution”</w:t>
      </w:r>
    </w:p>
  </w:footnote>
  <w:footnote w:id="5">
    <w:p w14:paraId="32025462" w14:textId="3C250CF2" w:rsidR="00C75ED5" w:rsidRDefault="00C75E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3360F8">
          <w:rPr>
            <w:rStyle w:val="Hyperlink"/>
          </w:rPr>
          <w:t>https://images.hach.com/asset-get.download.jsa?id=27449988703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F40E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24E2FDE9" wp14:editId="33339C8D">
          <wp:extent cx="990600" cy="540327"/>
          <wp:effectExtent l="0" t="0" r="0" b="0"/>
          <wp:docPr id="1357938640" name="Picture 13579386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EA6B3D" w14:textId="77777777"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14:paraId="3220FF2C" w14:textId="77777777"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14:paraId="36E9F6B4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0C7"/>
    <w:multiLevelType w:val="hybridMultilevel"/>
    <w:tmpl w:val="06C89EB6"/>
    <w:lvl w:ilvl="0" w:tplc="41163F6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6A92DA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586C9A12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11623B4">
      <w:numFmt w:val="bullet"/>
      <w:lvlText w:val=""/>
      <w:lvlJc w:val="left"/>
      <w:pPr>
        <w:ind w:left="14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02722C6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5" w:tplc="C51A23C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6" w:tplc="D3225AB2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7" w:tplc="F9EA4EF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 w:tplc="2DDCCD9A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2A0A26"/>
    <w:multiLevelType w:val="hybridMultilevel"/>
    <w:tmpl w:val="9912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1778"/>
    <w:multiLevelType w:val="hybridMultilevel"/>
    <w:tmpl w:val="07D4AA44"/>
    <w:lvl w:ilvl="0" w:tplc="D6DA1C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33E3"/>
    <w:multiLevelType w:val="hybridMultilevel"/>
    <w:tmpl w:val="8014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D272F"/>
    <w:multiLevelType w:val="hybridMultilevel"/>
    <w:tmpl w:val="EE40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1537DD"/>
    <w:multiLevelType w:val="hybridMultilevel"/>
    <w:tmpl w:val="09AC4748"/>
    <w:lvl w:ilvl="0" w:tplc="10EED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92095">
    <w:abstractNumId w:val="5"/>
  </w:num>
  <w:num w:numId="2" w16cid:durableId="1497258421">
    <w:abstractNumId w:val="6"/>
  </w:num>
  <w:num w:numId="3" w16cid:durableId="2058511528">
    <w:abstractNumId w:val="3"/>
  </w:num>
  <w:num w:numId="4" w16cid:durableId="2001540505">
    <w:abstractNumId w:val="4"/>
  </w:num>
  <w:num w:numId="5" w16cid:durableId="855465806">
    <w:abstractNumId w:val="2"/>
  </w:num>
  <w:num w:numId="6" w16cid:durableId="348873225">
    <w:abstractNumId w:val="1"/>
  </w:num>
  <w:num w:numId="7" w16cid:durableId="101923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014068"/>
    <w:rsid w:val="00023288"/>
    <w:rsid w:val="00040AB8"/>
    <w:rsid w:val="00045FEF"/>
    <w:rsid w:val="00051B93"/>
    <w:rsid w:val="00052046"/>
    <w:rsid w:val="000743F3"/>
    <w:rsid w:val="00095560"/>
    <w:rsid w:val="000A17BE"/>
    <w:rsid w:val="000C2210"/>
    <w:rsid w:val="000E3C0B"/>
    <w:rsid w:val="000F0253"/>
    <w:rsid w:val="000F0325"/>
    <w:rsid w:val="00102138"/>
    <w:rsid w:val="00103D0E"/>
    <w:rsid w:val="00140E56"/>
    <w:rsid w:val="00154993"/>
    <w:rsid w:val="001565FC"/>
    <w:rsid w:val="0015707B"/>
    <w:rsid w:val="00166D16"/>
    <w:rsid w:val="00170929"/>
    <w:rsid w:val="0017402A"/>
    <w:rsid w:val="001C34F8"/>
    <w:rsid w:val="001C649E"/>
    <w:rsid w:val="001F1B19"/>
    <w:rsid w:val="001F707B"/>
    <w:rsid w:val="00224457"/>
    <w:rsid w:val="0023558C"/>
    <w:rsid w:val="0024142F"/>
    <w:rsid w:val="00272050"/>
    <w:rsid w:val="00276232"/>
    <w:rsid w:val="002925D4"/>
    <w:rsid w:val="00293750"/>
    <w:rsid w:val="002A07A5"/>
    <w:rsid w:val="002A5331"/>
    <w:rsid w:val="002A70A0"/>
    <w:rsid w:val="002B0EDD"/>
    <w:rsid w:val="002C01E3"/>
    <w:rsid w:val="002D44EA"/>
    <w:rsid w:val="002D72E1"/>
    <w:rsid w:val="002E0F41"/>
    <w:rsid w:val="0030126A"/>
    <w:rsid w:val="00311471"/>
    <w:rsid w:val="00335BB0"/>
    <w:rsid w:val="003570BE"/>
    <w:rsid w:val="00357321"/>
    <w:rsid w:val="003624C6"/>
    <w:rsid w:val="003C54D5"/>
    <w:rsid w:val="00403EAC"/>
    <w:rsid w:val="004227A8"/>
    <w:rsid w:val="00435CCE"/>
    <w:rsid w:val="00440997"/>
    <w:rsid w:val="00447DE5"/>
    <w:rsid w:val="0047281A"/>
    <w:rsid w:val="004901EC"/>
    <w:rsid w:val="004B7459"/>
    <w:rsid w:val="004B7820"/>
    <w:rsid w:val="004C785D"/>
    <w:rsid w:val="004E3CE9"/>
    <w:rsid w:val="004F14FD"/>
    <w:rsid w:val="004F392E"/>
    <w:rsid w:val="004F69C5"/>
    <w:rsid w:val="00506573"/>
    <w:rsid w:val="0052108D"/>
    <w:rsid w:val="005353D7"/>
    <w:rsid w:val="00535424"/>
    <w:rsid w:val="00537E09"/>
    <w:rsid w:val="00550550"/>
    <w:rsid w:val="005517EA"/>
    <w:rsid w:val="00551BD7"/>
    <w:rsid w:val="0057408D"/>
    <w:rsid w:val="00595016"/>
    <w:rsid w:val="005B0F8C"/>
    <w:rsid w:val="005C2396"/>
    <w:rsid w:val="005C75E0"/>
    <w:rsid w:val="005D57BC"/>
    <w:rsid w:val="005F0B89"/>
    <w:rsid w:val="006167D2"/>
    <w:rsid w:val="00622BC1"/>
    <w:rsid w:val="00637580"/>
    <w:rsid w:val="00651737"/>
    <w:rsid w:val="0065347B"/>
    <w:rsid w:val="006656B2"/>
    <w:rsid w:val="006B08CD"/>
    <w:rsid w:val="006C5728"/>
    <w:rsid w:val="006E2E46"/>
    <w:rsid w:val="006E4843"/>
    <w:rsid w:val="006E652C"/>
    <w:rsid w:val="006F1C6A"/>
    <w:rsid w:val="007262A8"/>
    <w:rsid w:val="00740F1E"/>
    <w:rsid w:val="00751DE8"/>
    <w:rsid w:val="00763302"/>
    <w:rsid w:val="00763583"/>
    <w:rsid w:val="007835AC"/>
    <w:rsid w:val="0079694B"/>
    <w:rsid w:val="007C556A"/>
    <w:rsid w:val="00845FFD"/>
    <w:rsid w:val="00884037"/>
    <w:rsid w:val="0089526E"/>
    <w:rsid w:val="008A0D15"/>
    <w:rsid w:val="008B2277"/>
    <w:rsid w:val="008D0862"/>
    <w:rsid w:val="008D589F"/>
    <w:rsid w:val="008E4401"/>
    <w:rsid w:val="008E5243"/>
    <w:rsid w:val="00930979"/>
    <w:rsid w:val="00953A93"/>
    <w:rsid w:val="00966A81"/>
    <w:rsid w:val="0099461E"/>
    <w:rsid w:val="009A36F5"/>
    <w:rsid w:val="009F6224"/>
    <w:rsid w:val="00A30B7A"/>
    <w:rsid w:val="00A4413B"/>
    <w:rsid w:val="00A50C09"/>
    <w:rsid w:val="00A516C3"/>
    <w:rsid w:val="00A64C1E"/>
    <w:rsid w:val="00A745FF"/>
    <w:rsid w:val="00A94111"/>
    <w:rsid w:val="00A96B32"/>
    <w:rsid w:val="00AA1378"/>
    <w:rsid w:val="00AC19ED"/>
    <w:rsid w:val="00AD0248"/>
    <w:rsid w:val="00AE6AA8"/>
    <w:rsid w:val="00AF0EA0"/>
    <w:rsid w:val="00AF5EF1"/>
    <w:rsid w:val="00B145EB"/>
    <w:rsid w:val="00B24A62"/>
    <w:rsid w:val="00B43532"/>
    <w:rsid w:val="00B53679"/>
    <w:rsid w:val="00B57AD6"/>
    <w:rsid w:val="00B609E8"/>
    <w:rsid w:val="00B63F19"/>
    <w:rsid w:val="00B67812"/>
    <w:rsid w:val="00BA5851"/>
    <w:rsid w:val="00BC7780"/>
    <w:rsid w:val="00BD2FF9"/>
    <w:rsid w:val="00BF76EF"/>
    <w:rsid w:val="00C21769"/>
    <w:rsid w:val="00C739AD"/>
    <w:rsid w:val="00C74A25"/>
    <w:rsid w:val="00C75ED5"/>
    <w:rsid w:val="00C84DD4"/>
    <w:rsid w:val="00CB4A93"/>
    <w:rsid w:val="00CC4733"/>
    <w:rsid w:val="00CD5799"/>
    <w:rsid w:val="00CE75E7"/>
    <w:rsid w:val="00CF2FCB"/>
    <w:rsid w:val="00CF6D78"/>
    <w:rsid w:val="00D030DD"/>
    <w:rsid w:val="00D12648"/>
    <w:rsid w:val="00D13CFE"/>
    <w:rsid w:val="00D17A30"/>
    <w:rsid w:val="00D54E00"/>
    <w:rsid w:val="00D60F47"/>
    <w:rsid w:val="00DA3417"/>
    <w:rsid w:val="00DA6DCF"/>
    <w:rsid w:val="00DD3FBE"/>
    <w:rsid w:val="00DF4019"/>
    <w:rsid w:val="00E03E7E"/>
    <w:rsid w:val="00E05FB7"/>
    <w:rsid w:val="00E26CE0"/>
    <w:rsid w:val="00E3074D"/>
    <w:rsid w:val="00E52C5B"/>
    <w:rsid w:val="00E857A4"/>
    <w:rsid w:val="00E92106"/>
    <w:rsid w:val="00EF1FA2"/>
    <w:rsid w:val="00F05107"/>
    <w:rsid w:val="00F10978"/>
    <w:rsid w:val="00F17061"/>
    <w:rsid w:val="00F324D1"/>
    <w:rsid w:val="00F36E95"/>
    <w:rsid w:val="00F55D49"/>
    <w:rsid w:val="00F56DCE"/>
    <w:rsid w:val="00F76696"/>
    <w:rsid w:val="00F931C7"/>
    <w:rsid w:val="00FA073C"/>
    <w:rsid w:val="00FC4279"/>
    <w:rsid w:val="00FD1BAC"/>
    <w:rsid w:val="00FD2C31"/>
    <w:rsid w:val="00FD620C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AF502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B43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55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B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B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1B19"/>
    <w:rPr>
      <w:vertAlign w:val="superscript"/>
    </w:rPr>
  </w:style>
  <w:style w:type="paragraph" w:customStyle="1" w:styleId="address">
    <w:name w:val="address"/>
    <w:basedOn w:val="Normal"/>
    <w:rsid w:val="0027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1">
    <w:name w:val="address-line1"/>
    <w:basedOn w:val="DefaultParagraphFont"/>
    <w:rsid w:val="00276232"/>
  </w:style>
  <w:style w:type="character" w:customStyle="1" w:styleId="locality">
    <w:name w:val="locality"/>
    <w:basedOn w:val="DefaultParagraphFont"/>
    <w:rsid w:val="00276232"/>
  </w:style>
  <w:style w:type="character" w:customStyle="1" w:styleId="administrative-area">
    <w:name w:val="administrative-area"/>
    <w:basedOn w:val="DefaultParagraphFont"/>
    <w:rsid w:val="00276232"/>
  </w:style>
  <w:style w:type="character" w:customStyle="1" w:styleId="postal-code">
    <w:name w:val="postal-code"/>
    <w:basedOn w:val="DefaultParagraphFont"/>
    <w:rsid w:val="00276232"/>
  </w:style>
  <w:style w:type="character" w:customStyle="1" w:styleId="country">
    <w:name w:val="country"/>
    <w:basedOn w:val="DefaultParagraphFont"/>
    <w:rsid w:val="00276232"/>
  </w:style>
  <w:style w:type="paragraph" w:customStyle="1" w:styleId="TableParagraph">
    <w:name w:val="Table Paragraph"/>
    <w:basedOn w:val="Normal"/>
    <w:uiPriority w:val="1"/>
    <w:qFormat/>
    <w:rsid w:val="000A1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A1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1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17B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A5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wn.katherine@epa.gov" TargetMode="External"/><Relationship Id="rId13" Type="http://schemas.openxmlformats.org/officeDocument/2006/relationships/hyperlink" Target="mailto:amber.crawford@alask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ana.shaw@kenaitz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n@kenaiwatershed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kenaiwatershed.org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nualslib.com/manual/1279581/Hach-2100p.html" TargetMode="External"/><Relationship Id="rId2" Type="http://schemas.openxmlformats.org/officeDocument/2006/relationships/hyperlink" Target="https://www.ysi.com/File%20Library/Documents/News%20Briefs/NB13-0116-01-EPA-Approved-Methods.pdf" TargetMode="External"/><Relationship Id="rId1" Type="http://schemas.openxmlformats.org/officeDocument/2006/relationships/hyperlink" Target="https://www.kenaiwatershed.org/news-media/qapp-revisions-completed-2023/" TargetMode="External"/><Relationship Id="rId4" Type="http://schemas.openxmlformats.org/officeDocument/2006/relationships/hyperlink" Target="https://images.hach.com/asset-get.download.jsa?id=2744998870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F9D2-F7E3-4E97-90AB-E7909468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179</cp:revision>
  <dcterms:created xsi:type="dcterms:W3CDTF">2022-07-07T00:04:00Z</dcterms:created>
  <dcterms:modified xsi:type="dcterms:W3CDTF">2024-03-29T01:33:00Z</dcterms:modified>
</cp:coreProperties>
</file>