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80.png" ContentType="image/png"/>
  <Override PartName="/word/media/rId83.png" ContentType="image/png"/>
  <Override PartName="/word/media/rId23.jpg" ContentType="image/jpeg"/>
  <Override PartName="/word/media/rId20.jpg" ContentType="image/jpeg"/>
  <Override PartName="/word/media/rId36.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1/11/23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the online version of the Water Quality Assessment of the Kenai River Watershed, 2000 - 2023.</w:t>
      </w:r>
    </w:p>
    <w:p>
      <w:pPr>
        <w:pStyle w:val="BodyText"/>
      </w:pPr>
      <w:r>
        <w:t xml:space="preserve">The report can also be downloaded as an Microsoft Word document by clicking on the</w:t>
      </w:r>
      <w:r>
        <w:t xml:space="preserve"> </w:t>
      </w:r>
      <w:r>
        <w:t xml:space="preserve">‘</w:t>
      </w:r>
      <w:r>
        <w:t xml:space="preserve">W</w:t>
      </w:r>
      <w:r>
        <w:t xml:space="preserve">’</w:t>
      </w:r>
      <w:r>
        <w:t xml:space="preserve"> </w:t>
      </w:r>
      <w:r>
        <w:t xml:space="preserve">symbol in the upper left corner. All project files are hosted in a public GitHub repository, which is accessible by clicking the GitHub symbol in the upper left corner.</w:t>
      </w:r>
    </w:p>
    <w:p>
      <w:pPr>
        <w:pStyle w:val="BodyText"/>
      </w:pP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3"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(see Figure 1). Five species of Pacific salmon flourish in the Kenai River Watershed, comprising 30% of the commercial Chinook harvest and 40% of the commercial sockeye harvest (Glass, 1999). Surface runoff, groundwater composition, natural minerals, aquatic plants and animals, and human activities can affect water quality in this area (Glass, 1999). Potential sources of pollution from humans include gasoline powered boat engines, agriculture, mining, street runoff, and perforated septic tanks.</w:t>
      </w:r>
    </w:p>
    <w:bookmarkEnd w:id="32"/>
    <w:bookmarkStart w:id="39" w:name="figuresmaps"/>
    <w:p>
      <w:pPr>
        <w:pStyle w:val="Heading2"/>
      </w:pPr>
      <w:r>
        <w:t xml:space="preserve">2.2 Figures/maps</w:t>
      </w:r>
    </w:p>
    <w:p>
      <w:pPr>
        <w:pStyle w:val="FirstParagraph"/>
      </w:pPr>
      <w:r>
        <w:drawing>
          <wp:inline>
            <wp:extent cx="5334000" cy="7274692"/>
            <wp:effectExtent b="0" l="0" r="0" t="0"/>
            <wp:docPr descr="" title="" id="34" name="Picture"/>
            <a:graphic>
              <a:graphicData uri="http://schemas.openxmlformats.org/drawingml/2006/picture">
                <pic:pic>
                  <pic:nvPicPr>
                    <pic:cNvPr descr="./other/documents/images/kenai_watershed_map.jpg" id="35" name="Picture"/>
                    <pic:cNvPicPr>
                      <a:picLocks noChangeArrowheads="1" noChangeAspect="1"/>
                    </pic:cNvPicPr>
                  </pic:nvPicPr>
                  <pic:blipFill>
                    <a:blip r:embed="rId33"/>
                    <a:stretch>
                      <a:fillRect/>
                    </a:stretch>
                  </pic:blipFill>
                  <pic:spPr bwMode="auto">
                    <a:xfrm>
                      <a:off x="0" y="0"/>
                      <a:ext cx="5334000" cy="7274692"/>
                    </a:xfrm>
                    <a:prstGeom prst="rect">
                      <a:avLst/>
                    </a:prstGeom>
                    <a:noFill/>
                    <a:ln w="9525">
                      <a:noFill/>
                      <a:headEnd/>
                      <a:tailEnd/>
                    </a:ln>
                  </pic:spPr>
                </pic:pic>
              </a:graphicData>
            </a:graphic>
          </wp:inline>
        </w:drawing>
      </w:r>
    </w:p>
    <w:p>
      <w:pPr>
        <w:pStyle w:val="BodyText"/>
      </w:pPr>
    </w:p>
    <w:p>
      <w:pPr>
        <w:pStyle w:val="BodyText"/>
      </w:pPr>
      <w:r>
        <w:drawing>
          <wp:inline>
            <wp:extent cx="5334000" cy="4114655"/>
            <wp:effectExtent b="0" l="0" r="0" t="0"/>
            <wp:docPr descr="" title="" id="37" name="Picture"/>
            <a:graphic>
              <a:graphicData uri="http://schemas.openxmlformats.org/drawingml/2006/picture">
                <pic:pic>
                  <pic:nvPicPr>
                    <pic:cNvPr descr="./other/documents/images/kenai_river_map_bw.png" id="38" name="Picture"/>
                    <pic:cNvPicPr>
                      <a:picLocks noChangeArrowheads="1" noChangeAspect="1"/>
                    </pic:cNvPicPr>
                  </pic:nvPicPr>
                  <pic:blipFill>
                    <a:blip r:embed="rId36"/>
                    <a:stretch>
                      <a:fillRect/>
                    </a:stretch>
                  </pic:blipFill>
                  <pic:spPr bwMode="auto">
                    <a:xfrm>
                      <a:off x="0" y="0"/>
                      <a:ext cx="5334000" cy="4114655"/>
                    </a:xfrm>
                    <a:prstGeom prst="rect">
                      <a:avLst/>
                    </a:prstGeom>
                    <a:noFill/>
                    <a:ln w="9525">
                      <a:noFill/>
                      <a:headEnd/>
                      <a:tailEnd/>
                    </a:ln>
                  </pic:spPr>
                </pic:pic>
              </a:graphicData>
            </a:graphic>
          </wp:inline>
        </w:drawing>
      </w:r>
    </w:p>
    <w:bookmarkEnd w:id="39"/>
    <w:bookmarkStart w:id="42" w:name="sampling-sites-descriptionsphotos"/>
    <w:p>
      <w:pPr>
        <w:pStyle w:val="Heading2"/>
      </w:pPr>
      <w:r>
        <w:t xml:space="preserve">2.3 Sampling sites descriptions/photos</w:t>
      </w:r>
    </w:p>
    <w:bookmarkStart w:id="40" w:name="tributary-sites"/>
    <w:p>
      <w:pPr>
        <w:pStyle w:val="Heading3"/>
      </w:pPr>
      <w:r>
        <w:t xml:space="preserve">2.3.1 Tributary Sites</w:t>
      </w:r>
    </w:p>
    <w:bookmarkEnd w:id="40"/>
    <w:bookmarkStart w:id="41" w:name="main-stem-sites"/>
    <w:p>
      <w:pPr>
        <w:pStyle w:val="Heading3"/>
      </w:pPr>
      <w:r>
        <w:t xml:space="preserve">2.3.2 Main Stem Sites</w:t>
      </w:r>
    </w:p>
    <w:p>
      <w:r>
        <w:br w:type="page"/>
      </w:r>
    </w:p>
    <w:bookmarkEnd w:id="41"/>
    <w:bookmarkEnd w:id="42"/>
    <w:bookmarkEnd w:id="43"/>
    <w:bookmarkStart w:id="44"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 Figure XXX). These locations selected by a team of</w:t>
      </w:r>
    </w:p>
    <w:p>
      <w:pPr>
        <w:pStyle w:val="BodyText"/>
      </w:pPr>
      <w:r>
        <w:t xml:space="preserve">chosen by dozens of participants in order to accurately represent the Kenai River Watershed’s ambient water quality conditions (Ashton, 1998) [UPDATE THIS REF].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that was originally approved by the ADEC in 2001 and later revised and approved by ADEC again in 2013. [UPDATE APPROVALS AND REFER TO CURRENT FIELD METHODS/QAPP IN APPENDIX].</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w:t>
      </w:r>
      <w:r>
        <w:t xml:space="preserve"> </w:t>
      </w:r>
      <w:hyperlink w:anchor="acronyms">
        <w:r>
          <w:rPr>
            <w:rStyle w:val="Hyperlink"/>
          </w:rPr>
          <w:t xml:space="preserve">ACRONYMS</w:t>
        </w:r>
      </w:hyperlink>
      <w:r>
        <w:t xml:space="preserve"> </w:t>
      </w:r>
      <w:r>
        <w:t xml:space="preserve">was used to estimate the values and run the analysis. The MRL was used because during the early years of the project, the lab only provided this information and not the MDL.</w:t>
      </w:r>
    </w:p>
    <w:p>
      <w:r>
        <w:br w:type="page"/>
      </w:r>
    </w:p>
    <w:bookmarkEnd w:id="44"/>
    <w:bookmarkStart w:id="47" w:name="results"/>
    <w:p>
      <w:pPr>
        <w:pStyle w:val="Heading1"/>
      </w:pPr>
      <w:r>
        <w:t xml:space="preserve">4. Results</w:t>
      </w:r>
    </w:p>
    <w:bookmarkStart w:id="46" w:name="parameters-and-graphs"/>
    <w:p>
      <w:pPr>
        <w:pStyle w:val="Heading2"/>
      </w:pPr>
      <w:r>
        <w:t xml:space="preserve">4.1 Parameters and graphs</w:t>
      </w:r>
    </w:p>
    <w:p>
      <w:pPr>
        <w:pStyle w:val="FirstParagraph"/>
      </w:pPr>
      <w:r>
        <w:t xml:space="preserve">Explain how to interpret figures</w:t>
      </w:r>
    </w:p>
    <w:bookmarkStart w:id="45" w:name="parameters"/>
    <w:p>
      <w:pPr>
        <w:pStyle w:val="Heading3"/>
      </w:pPr>
      <w:r>
        <w:t xml:space="preserve">4.1.1 Parameters</w:t>
      </w:r>
    </w:p>
    <w:p>
      <w:pPr>
        <w:pStyle w:val="FirstParagraph"/>
      </w:pPr>
      <w:r>
        <w:t xml:space="preserve">For each parameter, basic time series figures in context of EPA and AEDC limits similar to Guerron Orejuela 2016. Update references and interpretation.</w:t>
      </w:r>
    </w:p>
    <w:p>
      <w:pPr>
        <w:pStyle w:val="BodyText"/>
      </w:pPr>
      <w:r>
        <w:t xml:space="preserve">(code note: use</w:t>
      </w:r>
      <w:r>
        <w:t xml:space="preserve"> </w:t>
      </w:r>
      <w:r>
        <w:t xml:space="preserve">“</w:t>
      </w:r>
      <w:r>
        <w:t xml:space="preserve">parameters</w:t>
      </w:r>
      <w:r>
        <w:t xml:space="preserve">”</w:t>
      </w:r>
      <w:r>
        <w:t xml:space="preserve"> </w:t>
      </w:r>
      <w:r>
        <w:t xml:space="preserve">option in front matter of each page to switch, https://bookdown.org/yihui/rmarkdown/params-knit.html)</w:t>
      </w:r>
    </w:p>
    <w:bookmarkEnd w:id="45"/>
    <w:bookmarkEnd w:id="46"/>
    <w:bookmarkEnd w:id="47"/>
    <w:bookmarkStart w:id="48" w:name="data-qaqc"/>
    <w:p>
      <w:pPr>
        <w:pStyle w:val="Heading1"/>
      </w:pPr>
      <w:r>
        <w:t xml:space="preserve">5. Data QA/QC</w:t>
      </w:r>
    </w:p>
    <w:bookmarkEnd w:id="48"/>
    <w:bookmarkStart w:id="49" w:name="summary"/>
    <w:p>
      <w:pPr>
        <w:pStyle w:val="Heading1"/>
      </w:pPr>
      <w:r>
        <w:t xml:space="preserve">6. Summary</w:t>
      </w:r>
    </w:p>
    <w:p>
      <w:pPr>
        <w:pStyle w:val="FirstParagraph"/>
      </w:pPr>
      <w:r>
        <w:t xml:space="preserve">In summary, this book has no content whatsoever.</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49"/>
    <w:bookmarkStart w:id="51" w:name="references"/>
    <w:p>
      <w:pPr>
        <w:pStyle w:val="Heading1"/>
      </w:pPr>
      <w:r>
        <w:t xml:space="preserve">References</w:t>
      </w:r>
    </w:p>
    <w:bookmarkStart w:id="50" w:name="refs"/>
    <w:bookmarkEnd w:id="50"/>
    <w:bookmarkEnd w:id="51"/>
    <w:bookmarkStart w:id="69" w:name="appendix-data-review-and-uplift"/>
    <w:p>
      <w:pPr>
        <w:pStyle w:val="Heading1"/>
      </w:pPr>
      <w:r>
        <w:t xml:space="preserve">Appendix A — Appendix: Data Review and Uplift</w:t>
      </w:r>
    </w:p>
    <w:bookmarkStart w:id="68" w:name="introduction-1"/>
    <w:p>
      <w:pPr>
        <w:pStyle w:val="Heading2"/>
      </w:pPr>
      <w:r>
        <w:t xml:space="preserve">A.1 Introduction</w:t>
      </w:r>
    </w:p>
    <w:p>
      <w:pPr>
        <w:pStyle w:val="FirstParagraph"/>
      </w:pPr>
      <w:r>
        <w:t xml:space="preserve">Prior to analysis and interpretation of water quality data, we will ensure that all data that meets QA/QC standards outlined in the current project</w:t>
      </w:r>
      <w:r>
        <w:t xml:space="preserve"> </w:t>
      </w:r>
      <w:hyperlink r:id="rId52">
        <w:r>
          <w:rPr>
            <w:rStyle w:val="Hyperlink"/>
          </w:rPr>
          <w:t xml:space="preserve">Quality Assurance Project Plan (QAPP)</w:t>
        </w:r>
      </w:hyperlink>
      <w:r>
        <w:t xml:space="preserve"> </w:t>
      </w:r>
      <w:r>
        <w:t xml:space="preserve">is accessible in the appropriate repository.</w:t>
      </w:r>
    </w:p>
    <w:p>
      <w:pPr>
        <w:pStyle w:val="BodyText"/>
      </w:pPr>
      <w:r>
        <w:t xml:space="preserve">Water quality data from this project is ultimately destined for the EPA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Section B10 of the 2020 QAPP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57" w:name="water-quality-data"/>
    <w:p>
      <w:pPr>
        <w:pStyle w:val="Heading3"/>
      </w:pPr>
      <w:r>
        <w:t xml:space="preserve">A.1.1 2021 Water Quality Data</w:t>
      </w:r>
    </w:p>
    <w:p>
      <w:pPr>
        <w:pStyle w:val="FirstParagraph"/>
      </w:pPr>
      <w:r>
        <w:t xml:space="preserve">In this appendix we will collate laboratory data from several sources into a single spreadsheet document with a consistent format. The format consists of a spreadsheet template provided by the Alaska Department of Environmental Conservation (ADEC), referred to here as the AQWMS Template:</w:t>
      </w:r>
    </w:p>
    <w:p>
      <w:pPr>
        <w:pStyle w:val="BodyText"/>
      </w:pPr>
    </w:p>
    <w:p>
      <w:pPr>
        <w:pStyle w:val="BodyText"/>
      </w:pPr>
      <w:r>
        <w:t xml:space="preserve">AWQMS is an acronym for</w:t>
      </w:r>
      <w:r>
        <w:t xml:space="preserve"> </w:t>
      </w:r>
      <w:r>
        <w:t xml:space="preserve">“</w:t>
      </w:r>
      <w:r>
        <w:t xml:space="preserve">Ambient Water Quality Management System,</w:t>
      </w:r>
      <w:r>
        <w:t xml:space="preserve">”</w:t>
      </w:r>
      <w:r>
        <w:t xml:space="preserve"> </w:t>
      </w:r>
      <w:r>
        <w:t xml:space="preserve">the service used by ADEC to manage and prepare data for potential uplift to the EPA WQX.</w:t>
      </w:r>
    </w:p>
    <w:bookmarkStart w:id="56"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53"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pPr>
        <w:pStyle w:val="BodyText"/>
      </w:pPr>
    </w:p>
    <w:p>
      <w:pPr>
        <w:pStyle w:val="BodyText"/>
      </w:pPr>
    </w:p>
    <w:bookmarkEnd w:id="53"/>
    <w:bookmarkStart w:id="54" w:name="Xe5573e5633f16ae9a1ac22e5093bc76c9f3efc3"/>
    <w:p>
      <w:pPr>
        <w:pStyle w:val="Heading5"/>
      </w:pPr>
      <w:r>
        <w:t xml:space="preserve">A.1.1.1.2 2021 Fecal Coliform Lab Results (Soldotna Wastewater Treatment Plant (SWWTP)/Taurianen Engineering)</w:t>
      </w:r>
    </w:p>
    <w:p>
      <w:pPr>
        <w:pStyle w:val="FirstParagraph"/>
      </w:pPr>
    </w:p>
    <w:bookmarkEnd w:id="54"/>
    <w:bookmarkStart w:id="55" w:name="Xd9049d25c5e6fccbce9d9aa9b1d8dbff507076f"/>
    <w:p>
      <w:pPr>
        <w:pStyle w:val="Heading5"/>
      </w:pPr>
      <w:r>
        <w:t xml:space="preserve">A.1.1.1.3 2021 Total Dissolved Solids Lab Results (Soldotna Wastewater Treatment Plant (SWWTP))</w:t>
      </w:r>
    </w:p>
    <w:p>
      <w:pPr>
        <w:pStyle w:val="FirstParagraph"/>
      </w:pPr>
    </w:p>
    <w:p>
      <w:pPr>
        <w:pStyle w:val="BodyText"/>
      </w:pPr>
    </w:p>
    <w:bookmarkEnd w:id="55"/>
    <w:bookmarkEnd w:id="56"/>
    <w:bookmarkEnd w:id="57"/>
    <w:bookmarkStart w:id="58" w:name="provisional-results-prior-to-data-review"/>
    <w:p>
      <w:pPr>
        <w:pStyle w:val="Heading3"/>
      </w:pPr>
      <w:r>
        <w:t xml:space="preserve">A.1.2 2021 Provisional Results, Prior to Data Review</w:t>
      </w:r>
    </w:p>
    <w:p>
      <w:pPr>
        <w:pStyle w:val="FirstParagraph"/>
      </w:pPr>
      <w:r>
        <w:rPr>
          <w:iCs/>
          <w:i/>
        </w:rPr>
        <w:t xml:space="preserve">Results last updated 2023-01-12</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58"/>
    <w:bookmarkStart w:id="67" w:name="data-evaluation"/>
    <w:p>
      <w:pPr>
        <w:pStyle w:val="Heading3"/>
      </w:pPr>
      <w:r>
        <w:t xml:space="preserve">A.1.3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Start w:id="66" w:name="pre-database"/>
    <w:p>
      <w:pPr>
        <w:pStyle w:val="Heading4"/>
      </w:pPr>
      <w:r>
        <w:t xml:space="preserve">A.1.3.1 Pre-Database</w:t>
      </w:r>
    </w:p>
    <w:bookmarkStart w:id="60" w:name="overall-project-success"/>
    <w:p>
      <w:pPr>
        <w:pStyle w:val="Heading5"/>
      </w:pPr>
      <w:r>
        <w:t xml:space="preserve">A.1.3.1.1 Overall Project Success</w:t>
      </w:r>
    </w:p>
    <w:p>
      <w:pPr>
        <w:pStyle w:val="FirstParagraph"/>
      </w:pPr>
      <w:r>
        <w:rPr>
          <w:iCs/>
          <w:i/>
        </w:rPr>
        <w:t xml:space="preserve">Show/Hide Code used to Evaluate Overall Project Success</w:t>
      </w:r>
    </w:p>
    <w:p>
      <w:pPr>
        <w:pStyle w:val="SourceCode"/>
      </w:pPr>
      <w:r>
        <w:rPr>
          <w:rStyle w:val="VerbatimChar"/>
        </w:rPr>
        <w:t xml:space="preserve">Warning in rm(spring21_planned, summer21_planned): object 'spring21_planned' not</w:t>
      </w:r>
      <w:r>
        <w:br/>
      </w:r>
      <w:r>
        <w:rPr>
          <w:rStyle w:val="VerbatimChar"/>
        </w:rPr>
        <w:t xml:space="preserve">found</w:t>
      </w:r>
    </w:p>
    <w:p>
      <w:pPr>
        <w:pStyle w:val="SourceCode"/>
      </w:pPr>
      <w:r>
        <w:rPr>
          <w:rStyle w:val="VerbatimChar"/>
        </w:rPr>
        <w:t xml:space="preserve">Warning in rm(spring21_planned, summer21_planned): object 'summer21_planned' not</w:t>
      </w:r>
      <w:r>
        <w:br/>
      </w:r>
      <w:r>
        <w:rPr>
          <w:rStyle w:val="VerbatimChar"/>
        </w:rPr>
        <w:t xml:space="preserve">found</w:t>
      </w:r>
    </w:p>
    <w:p>
      <w:pPr>
        <w:pStyle w:val="SourceCode"/>
      </w:pPr>
      <w:r>
        <w:rPr>
          <w:rStyle w:val="VerbatimChar"/>
        </w:rPr>
        <w:t xml:space="preserve">Warning: Using an external vector in selections was deprecated in tidyselect 1.1.0.</w:t>
      </w:r>
      <w:r>
        <w:br/>
      </w:r>
      <w:r>
        <w:rPr>
          <w:rStyle w:val="VerbatimChar"/>
        </w:rPr>
        <w:t xml:space="preserve">ℹ Please use `all_of()` or `any_of()` instead.</w:t>
      </w:r>
      <w:r>
        <w:br/>
      </w:r>
      <w:r>
        <w:rPr>
          <w:rStyle w:val="VerbatimChar"/>
        </w:rPr>
        <w:t xml:space="preserve">  # Was:</w:t>
      </w:r>
      <w:r>
        <w:br/>
      </w:r>
      <w:r>
        <w:rPr>
          <w:rStyle w:val="VerbatimChar"/>
        </w:rPr>
        <w:t xml:space="preserve">  data %&gt;% select(rpd_cols)</w:t>
      </w:r>
      <w:r>
        <w:br/>
      </w:r>
      <w:r>
        <w:br/>
      </w:r>
      <w:r>
        <w:rPr>
          <w:rStyle w:val="VerbatimChar"/>
        </w:rPr>
        <w:t xml:space="preserve">  # Now:</w:t>
      </w:r>
      <w:r>
        <w:br/>
      </w:r>
      <w:r>
        <w:rPr>
          <w:rStyle w:val="VerbatimChar"/>
        </w:rPr>
        <w:t xml:space="preserve">  data %&gt;% select(all_of(rpd_cols))</w:t>
      </w:r>
      <w:r>
        <w:br/>
      </w:r>
      <w:r>
        <w:br/>
      </w:r>
      <w:r>
        <w:rPr>
          <w:rStyle w:val="VerbatimChar"/>
        </w:rPr>
        <w:t xml:space="preserve">See &lt;https://tidyselect.r-lib.org/reference/faq-external-vector.html&gt;.</w:t>
      </w:r>
    </w:p>
    <w:p>
      <w:pPr>
        <w:pStyle w:val="SourceCode"/>
      </w:pPr>
      <w:r>
        <w:rPr>
          <w:rStyle w:val="VerbatimChar"/>
        </w:rPr>
        <w:t xml:space="preserve">[1] TRUE</w:t>
      </w:r>
    </w:p>
    <w:p>
      <w:pPr>
        <w:pStyle w:val="FirstParagraph"/>
      </w:pPr>
    </w:p>
    <w:p>
      <w:pPr>
        <w:numPr>
          <w:ilvl w:val="0"/>
          <w:numId w:val="1005"/>
        </w:numPr>
        <w:pStyle w:val="Compact"/>
      </w:pPr>
      <w:r>
        <w:rPr>
          <w:bCs/>
          <w:b/>
          <w:u w:val="single"/>
        </w:rPr>
        <w:t xml:space="preserve">Did the project follow the QAPP?</w:t>
      </w:r>
      <w:r>
        <w:t xml:space="preserve"> </w:t>
      </w:r>
      <w:r>
        <w:rPr>
          <w:iCs/>
          <w:i/>
        </w:rPr>
        <w:t xml:space="preserve">Yes</w:t>
      </w:r>
      <w:r>
        <w:t xml:space="preserve">.</w:t>
      </w:r>
      <w:r>
        <w:t xml:space="preserve"> </w:t>
      </w:r>
      <w:r>
        <w:rPr>
          <w:bCs/>
          <w:b/>
          <w:u w:val="single"/>
        </w:rPr>
        <w:t xml:space="preserve">Were there any deviations from the sampling plan?</w:t>
      </w:r>
      <w:r>
        <w:t xml:space="preserve"> </w:t>
      </w:r>
      <w:r>
        <w:rPr>
          <w:iCs/>
          <w:i/>
        </w:rPr>
        <w:t xml:space="preserve">Yes. Refer to Individual Answers Below.</w:t>
      </w:r>
    </w:p>
    <w:p>
      <w:pPr>
        <w:pStyle w:val="FirstParagraph"/>
      </w:pPr>
    </w:p>
    <w:p>
      <w:pPr>
        <w:numPr>
          <w:ilvl w:val="0"/>
          <w:numId w:val="1006"/>
        </w:numPr>
        <w:pStyle w:val="Compact"/>
      </w:pPr>
      <w:r>
        <w:rPr>
          <w:bCs/>
          <w:b/>
          <w:u w:val="single"/>
        </w:rPr>
        <w:t xml:space="preserve">Was the data collected representative of environmental conditions?</w:t>
      </w:r>
      <w:r>
        <w:t xml:space="preserve"> </w:t>
      </w:r>
      <w:r>
        <w:rPr>
          <w:iCs/>
          <w:i/>
        </w:rPr>
        <w:t xml:space="preserve">Yes</w:t>
      </w:r>
      <w:r>
        <w:t xml:space="preserve">. Notes: Study design is intended to create two single-day snapshots, one in spring and another in summer, across a wide geographical area of the Kenai River watershed.</w:t>
      </w:r>
    </w:p>
    <w:p>
      <w:pPr>
        <w:pStyle w:val="FirstParagraph"/>
      </w:pPr>
    </w:p>
    <w:p>
      <w:pPr>
        <w:numPr>
          <w:ilvl w:val="0"/>
          <w:numId w:val="1007"/>
        </w:numPr>
        <w:pStyle w:val="Compact"/>
      </w:pPr>
      <w:r>
        <w:rPr>
          <w:bCs/>
          <w:b/>
          <w:u w:val="single"/>
        </w:rPr>
        <w:t xml:space="preserve">Are site names, dates, and times correct and as expected?</w:t>
      </w:r>
      <w:r>
        <w:t xml:space="preserve"> </w:t>
      </w:r>
      <w:r>
        <w:rPr>
          <w:iCs/>
          <w:i/>
        </w:rPr>
        <w:t xml:space="preserve">Yes, after post-season correction documented in this report.</w:t>
      </w:r>
      <w:r>
        <w:t xml:space="preserve"> </w:t>
      </w:r>
      <w:r>
        <w:t xml:space="preserve">Notes: In 2021 Kenai Watershed Forum used pre-printed labels on all sample bottles, reducing opportunity for field and lab transcription errors. Remaining site name transcription errors were corrected in post-season data review.</w:t>
      </w:r>
    </w:p>
    <w:p>
      <w:pPr>
        <w:pStyle w:val="FirstParagraph"/>
      </w:pPr>
    </w:p>
    <w:p>
      <w:pPr>
        <w:numPr>
          <w:ilvl w:val="0"/>
          <w:numId w:val="1008"/>
        </w:numPr>
        <w:pStyle w:val="Compact"/>
      </w:pPr>
      <w:r>
        <w:rPr>
          <w:bCs/>
          <w:b/>
          <w:u w:val="single"/>
        </w:rPr>
        <w:t xml:space="preserve">Is the dataset complete and did you receive the expected number of results?</w:t>
      </w:r>
      <w:r>
        <w:t xml:space="preserve"> </w:t>
      </w:r>
      <w:r>
        <w:rPr>
          <w:iCs/>
          <w:i/>
        </w:rPr>
        <w:t xml:space="preserve">TBD</w:t>
      </w:r>
      <w:r>
        <w:t xml:space="preserve">. Notes: we acquired the expected number of results in 2021 sampling events. All sites described in the QAPP were visited twice in 2021, and all water sample collections were successfully conducted. However most intrinsic water quality parameters mentioned in the current QAPP were not collected in 2021.</w:t>
      </w:r>
    </w:p>
    <w:p>
      <w:pPr>
        <w:pStyle w:val="FirstParagraph"/>
      </w:pPr>
      <w:r>
        <w:t xml:space="preserve">Data evaluation is currently in progress. The values in the downloadable table below are current as of 2023-01-12. The numerator values of</w:t>
      </w:r>
      <w:r>
        <w:t xml:space="preserve"> </w:t>
      </w:r>
      <w:r>
        <w:t xml:space="preserve">“</w:t>
      </w:r>
      <w:r>
        <w:t xml:space="preserve">Samples Submitted to ADEC</w:t>
      </w:r>
      <w:r>
        <w:t xml:space="preserve">”</w:t>
      </w:r>
      <w:r>
        <w:t xml:space="preserve"> </w:t>
      </w:r>
      <w:r>
        <w:t xml:space="preserve">and</w:t>
      </w:r>
      <w:r>
        <w:t xml:space="preserve"> </w:t>
      </w:r>
      <w:r>
        <w:t xml:space="preserve">“</w:t>
      </w:r>
      <w:r>
        <w:t xml:space="preserve">Usable Samples</w:t>
      </w:r>
      <w:r>
        <w:t xml:space="preserve">”</w:t>
      </w:r>
      <w:r>
        <w:t xml:space="preserve"> </w:t>
      </w:r>
      <w:r>
        <w:t xml:space="preserve">are not yet finalized and will depend on feedback received from DEC as part of this pre-database review process.</w:t>
      </w:r>
    </w:p>
    <w:p>
      <w:pPr>
        <w:pStyle w:val="SourceCode"/>
      </w:pPr>
      <w:r>
        <w:rPr>
          <w:rStyle w:val="VerbatimChar"/>
        </w:rPr>
        <w:t xml:space="preserve">-   Completeness Measure A = (Results Collected) / (Results Submitted to ADEC) \*100%</w:t>
      </w:r>
      <w:r>
        <w:br/>
      </w:r>
      <w:r>
        <w:br/>
      </w:r>
      <w:r>
        <w:rPr>
          <w:rStyle w:val="VerbatimChar"/>
        </w:rPr>
        <w:t xml:space="preserve">    -   Project goal: ***85%***</w:t>
      </w:r>
      <w:r>
        <w:br/>
      </w:r>
      <w:r>
        <w:rPr>
          <w:rStyle w:val="VerbatimChar"/>
        </w:rPr>
        <w:t xml:space="preserve">    -   Calculated project completeness Measure A: Varies by parameter, see downloadable file below.</w:t>
      </w:r>
      <w:r>
        <w:br/>
      </w:r>
      <w:r>
        <w:br/>
      </w:r>
      <w:r>
        <w:rPr>
          <w:rStyle w:val="VerbatimChar"/>
        </w:rPr>
        <w:t xml:space="preserve">-   Completeness Measure B = (Planned Number of Results) / (Useable Number of Results) \* 100%</w:t>
      </w:r>
      <w:r>
        <w:br/>
      </w:r>
      <w:r>
        <w:br/>
      </w:r>
      <w:r>
        <w:rPr>
          <w:rStyle w:val="VerbatimChar"/>
        </w:rPr>
        <w:t xml:space="preserve">    -   Project goal: ***60%***</w:t>
      </w:r>
      <w:r>
        <w:br/>
      </w:r>
      <w:r>
        <w:br/>
      </w:r>
      <w:r>
        <w:rPr>
          <w:rStyle w:val="VerbatimChar"/>
        </w:rPr>
        <w:t xml:space="preserve">    -   Calculated project completeness Measure B: Varies by parameter, see downloadable file below. *These values will be updated as revisions from DEC dictate the number of usable (publishable) samples.*</w:t>
      </w:r>
    </w:p>
    <w:p>
      <w:pPr>
        <w:pStyle w:val="FirstParagraph"/>
      </w:pPr>
    </w:p>
    <w:p>
      <w:pPr>
        <w:numPr>
          <w:ilvl w:val="0"/>
          <w:numId w:val="1009"/>
        </w:numPr>
        <w:pStyle w:val="Compact"/>
      </w:pPr>
      <w:r>
        <w:rPr>
          <w:bCs/>
          <w:b/>
          <w:u w:val="single"/>
        </w:rPr>
        <w:t xml:space="preserve">Were field duplicates, blanks, and/or other QC samples collected as planned?</w:t>
      </w:r>
      <w:r>
        <w:t xml:space="preserve"> </w:t>
      </w:r>
      <w:r>
        <w:rPr>
          <w:iCs/>
          <w:i/>
        </w:rPr>
        <w:t xml:space="preserve">Yes, with one exception, see below</w:t>
      </w:r>
    </w:p>
    <w:p>
      <w:pPr>
        <w:pStyle w:val="FirstParagraph"/>
      </w:pPr>
      <w:r>
        <w:t xml:space="preserve">From the above downloadable table,</w:t>
      </w:r>
      <w:r>
        <w:t xml:space="preserve"> </w:t>
      </w:r>
      <w:r>
        <w:t xml:space="preserve">“</w:t>
      </w:r>
      <w:r>
        <w:t xml:space="preserve">Planned vs. Actual Trip Blank and Field Duplicate Samples for 2021,</w:t>
      </w:r>
      <w:r>
        <w:t xml:space="preserve">”</w:t>
      </w:r>
      <w:r>
        <w:t xml:space="preserve"> </w:t>
      </w:r>
      <w:r>
        <w:t xml:space="preserve">we observe that data from one field duplicate sample is missing. The missing sample is for the 200.7 (total metals) analyses on 2021-05-11 at RM 31 (Morgan’s Landing). This error occurred due to a transcription error on the chain of custody form, and the lab did not process a total metals analysis for this site/event.</w:t>
      </w:r>
    </w:p>
    <w:bookmarkStart w:id="59" w:name="field-qaqc-sample-collection-summary"/>
    <w:p>
      <w:pPr>
        <w:pStyle w:val="Heading6"/>
      </w:pPr>
      <w:r>
        <w:t xml:space="preserve">A.1.3.1.1.1 2021 Field QA/QC Sample Collection Summary</w:t>
      </w:r>
    </w:p>
    <w:p>
      <w:pPr>
        <w:numPr>
          <w:ilvl w:val="0"/>
          <w:numId w:val="1010"/>
        </w:numPr>
      </w:pPr>
      <w:r>
        <w:t xml:space="preserve">Field duplicates:</w:t>
      </w:r>
    </w:p>
    <w:p>
      <w:pPr>
        <w:numPr>
          <w:ilvl w:val="1"/>
          <w:numId w:val="1011"/>
        </w:numPr>
        <w:pStyle w:val="Compact"/>
      </w:pPr>
      <w:r>
        <w:t xml:space="preserve"># required:</w:t>
      </w:r>
      <w:r>
        <w:t xml:space="preserve"> </w:t>
      </w:r>
      <w:r>
        <w:rPr>
          <w:iCs/>
          <w:i/>
          <w:bCs/>
          <w:b/>
        </w:rPr>
        <w:t xml:space="preserve">22</w:t>
      </w:r>
    </w:p>
    <w:p>
      <w:pPr>
        <w:numPr>
          <w:ilvl w:val="1"/>
          <w:numId w:val="1011"/>
        </w:numPr>
        <w:pStyle w:val="Compact"/>
      </w:pPr>
      <w:r>
        <w:t xml:space="preserve"># collected</w:t>
      </w:r>
      <w:r>
        <w:t xml:space="preserve"> </w:t>
      </w:r>
      <w:r>
        <w:rPr>
          <w:iCs/>
          <w:i/>
          <w:bCs/>
          <w:b/>
        </w:rPr>
        <w:t xml:space="preserve">21</w:t>
      </w:r>
    </w:p>
    <w:p>
      <w:pPr>
        <w:numPr>
          <w:ilvl w:val="0"/>
          <w:numId w:val="1010"/>
        </w:numPr>
      </w:pPr>
      <w:r>
        <w:t xml:space="preserve">Trip blanks:</w:t>
      </w:r>
    </w:p>
    <w:p>
      <w:pPr>
        <w:numPr>
          <w:ilvl w:val="1"/>
          <w:numId w:val="1012"/>
        </w:numPr>
        <w:pStyle w:val="Compact"/>
      </w:pPr>
      <w:r>
        <w:t xml:space="preserve"># required:</w:t>
      </w:r>
      <w:r>
        <w:t xml:space="preserve"> </w:t>
      </w:r>
      <w:r>
        <w:rPr>
          <w:iCs/>
          <w:i/>
          <w:bCs/>
          <w:b/>
        </w:rPr>
        <w:t xml:space="preserve">4</w:t>
      </w:r>
    </w:p>
    <w:p>
      <w:pPr>
        <w:numPr>
          <w:ilvl w:val="1"/>
          <w:numId w:val="1012"/>
        </w:numPr>
        <w:pStyle w:val="Compact"/>
      </w:pPr>
      <w:r>
        <w:t xml:space="preserve"># collected:</w:t>
      </w:r>
      <w:r>
        <w:t xml:space="preserve"> </w:t>
      </w:r>
      <w:r>
        <w:rPr>
          <w:iCs/>
          <w:i/>
          <w:bCs/>
          <w:b/>
        </w:rPr>
        <w:t xml:space="preserve">4</w:t>
      </w:r>
    </w:p>
    <w:p>
      <w:pPr>
        <w:numPr>
          <w:ilvl w:val="0"/>
          <w:numId w:val="1010"/>
        </w:numPr>
      </w:pPr>
      <w:r>
        <w:t xml:space="preserve">Other:</w:t>
      </w:r>
    </w:p>
    <w:p>
      <w:pPr>
        <w:numPr>
          <w:ilvl w:val="1"/>
          <w:numId w:val="1013"/>
        </w:numPr>
        <w:pStyle w:val="Compact"/>
      </w:pPr>
      <w:r>
        <w:t xml:space="preserve"># required: NA</w:t>
      </w:r>
    </w:p>
    <w:p>
      <w:pPr>
        <w:numPr>
          <w:ilvl w:val="1"/>
          <w:numId w:val="1013"/>
        </w:numPr>
        <w:pStyle w:val="Compact"/>
      </w:pPr>
      <w:r>
        <w:t xml:space="preserve"># collected: NA</w:t>
      </w:r>
    </w:p>
    <w:p>
      <w:pPr>
        <w:pStyle w:val="FirstParagraph"/>
      </w:pPr>
    </w:p>
    <w:p>
      <w:pPr>
        <w:numPr>
          <w:ilvl w:val="0"/>
          <w:numId w:val="1014"/>
        </w:numPr>
        <w:pStyle w:val="Compact"/>
      </w:pPr>
      <w:r>
        <w:rPr>
          <w:bCs/>
          <w:b/>
          <w:u w:val="single"/>
        </w:rPr>
        <w:t xml:space="preserve">Are the duplicate sample(s) RPD within range described in QAPP?</w:t>
      </w:r>
      <w:r>
        <w:t xml:space="preserve"> </w:t>
      </w:r>
      <w:r>
        <w:rPr>
          <w:iCs/>
          <w:i/>
        </w:rPr>
        <w:t xml:space="preserve">Varies by Parameter, see downloadable summary table below</w:t>
      </w:r>
    </w:p>
    <w:p>
      <w:pPr>
        <w:numPr>
          <w:ilvl w:val="0"/>
          <w:numId w:val="1015"/>
        </w:numPr>
      </w:pPr>
      <w:r>
        <w:t xml:space="preserve">RPD (Relative Percent Difference) = ((A - B)*100) / ((A + B) / 2)</w:t>
      </w:r>
    </w:p>
    <w:p>
      <w:pPr>
        <w:numPr>
          <w:ilvl w:val="0"/>
          <w:numId w:val="1015"/>
        </w:numPr>
      </w:pPr>
      <w:r>
        <w:t xml:space="preserve">RPD goal from QAPP(%):</w:t>
      </w:r>
      <w:r>
        <w:t xml:space="preserve"> </w:t>
      </w:r>
      <w:r>
        <w:rPr>
          <w:iCs/>
          <w:i/>
          <w:bCs/>
          <w:b/>
        </w:rPr>
        <w:t xml:space="preserve">Varies by Parameter, See Current QAPP</w:t>
      </w:r>
    </w:p>
    <w:p>
      <w:pPr>
        <w:numPr>
          <w:ilvl w:val="0"/>
          <w:numId w:val="1015"/>
        </w:numPr>
      </w:pPr>
      <w:r>
        <w:t xml:space="preserve">View duplicate RPD calculations and a summary table in supporting excel file; including parameters, site names, dates, results, and RPD values:</w:t>
      </w:r>
      <w:r>
        <w:t xml:space="preserve"> </w:t>
      </w:r>
      <w:r>
        <w:rPr>
          <w:iCs/>
          <w:i/>
          <w:bCs/>
          <w:b/>
        </w:rPr>
        <w:t xml:space="preserve">Download Table Below</w:t>
      </w:r>
    </w:p>
    <w:p>
      <w:pPr>
        <w:numPr>
          <w:ilvl w:val="1"/>
          <w:numId w:val="1016"/>
        </w:numPr>
      </w:pPr>
      <w:r>
        <w:t xml:space="preserve">Note: we applied standards from ADEC to determine which observations may be evaluated in RPD calculations. From ADEC 2022,</w:t>
      </w:r>
      <w:r>
        <w:t xml:space="preserve"> </w:t>
      </w:r>
      <w:r>
        <w:rPr>
          <w:iCs/>
          <w:i/>
        </w:rPr>
        <w:t xml:space="preserve">“Estimated values (detected at levels lower than the practical quantitation limit (PQL)) were treated as non-detects for the purpose of this analysis. A set of paired samples was evaluated for RPD only if:</w:t>
      </w:r>
    </w:p>
    <w:p>
      <w:pPr>
        <w:numPr>
          <w:ilvl w:val="2"/>
          <w:numId w:val="1017"/>
        </w:numPr>
      </w:pPr>
      <w:r>
        <w:rPr>
          <w:iCs/>
          <w:i/>
        </w:rPr>
        <w:t xml:space="preserve">one or both of the samples were above the PQL;</w:t>
      </w:r>
    </w:p>
    <w:p>
      <w:pPr>
        <w:numPr>
          <w:ilvl w:val="2"/>
          <w:numId w:val="1017"/>
        </w:numPr>
      </w:pPr>
      <w:r>
        <w:rPr>
          <w:iCs/>
          <w:i/>
        </w:rPr>
        <w:t xml:space="preserve">one or both of the samples were at least two times the PQL.”</w:t>
      </w:r>
    </w:p>
    <w:p>
      <w:pPr>
        <w:pStyle w:val="FirstParagraph"/>
      </w:pPr>
      <w:r>
        <w:t xml:space="preserve">The above table indicates that</w:t>
      </w:r>
      <w:r>
        <w:t xml:space="preserve"> </w:t>
      </w:r>
      <w:r>
        <w:rPr>
          <w:bCs/>
          <w:b/>
        </w:rPr>
        <w:t xml:space="preserve">two</w:t>
      </w:r>
      <w:r>
        <w:t xml:space="preserve"> </w:t>
      </w:r>
      <w:r>
        <w:t xml:space="preserve">RPD values were outside of acceptable QA/QC ranges (&gt;20% RPD). An inquiry has been emailed to ADEC on 2023-01-12 on how best to apply this criteria, and how it will affect the extent of the finalized dataset.</w:t>
      </w:r>
    </w:p>
    <w:bookmarkEnd w:id="59"/>
    <w:bookmarkEnd w:id="60"/>
    <w:bookmarkStart w:id="62" w:name="in-situ-field-data-and-instruments"/>
    <w:p>
      <w:pPr>
        <w:pStyle w:val="Heading5"/>
      </w:pPr>
      <w:r>
        <w:t xml:space="preserve">A.1.3.1.2 In-situ Field Data and Instruments</w:t>
      </w:r>
    </w:p>
    <w:p>
      <w:pPr>
        <w:numPr>
          <w:ilvl w:val="0"/>
          <w:numId w:val="1018"/>
        </w:numPr>
      </w:pPr>
      <w:r>
        <w:t xml:space="preserve">Were there any issues with instrument calibration?</w:t>
      </w:r>
      <w:r>
        <w:t xml:space="preserve"> </w:t>
      </w:r>
      <w:r>
        <w:rPr>
          <w:iCs/>
          <w:i/>
          <w:bCs/>
          <w:b/>
        </w:rPr>
        <w:t xml:space="preserve">No</w:t>
      </w:r>
      <w:r>
        <w:t xml:space="preserve">. Did the instrument perform as expected?</w:t>
      </w:r>
      <w:r>
        <w:t xml:space="preserve"> </w:t>
      </w:r>
      <w:r>
        <w:rPr>
          <w:iCs/>
          <w:i/>
          <w:bCs/>
          <w:b/>
        </w:rPr>
        <w:t xml:space="preserve">Yes</w:t>
      </w:r>
      <w:r>
        <w:t xml:space="preserve">. Notes:</w:t>
      </w:r>
      <w:r>
        <w:t xml:space="preserve"> </w:t>
      </w:r>
      <w:r>
        <w:rPr>
          <w:iCs/>
          <w:i/>
          <w:bCs/>
          <w:b/>
        </w:rPr>
        <w:t xml:space="preserve">The sole in-situ field measurement type recorded in 2021 was for water temperature.</w:t>
      </w:r>
    </w:p>
    <w:p>
      <w:pPr>
        <w:numPr>
          <w:ilvl w:val="0"/>
          <w:numId w:val="1018"/>
        </w:numPr>
      </w:pPr>
      <w:r>
        <w:t xml:space="preserve">Was instrument calibration performed according to the QAPP and instrument recommendations?</w:t>
      </w:r>
      <w:r>
        <w:t xml:space="preserve"> </w:t>
      </w:r>
      <w:r>
        <w:rPr>
          <w:iCs/>
          <w:i/>
          <w:bCs/>
          <w:b/>
        </w:rPr>
        <w:t xml:space="preserve">Yes</w:t>
      </w:r>
      <w:r>
        <w:t xml:space="preserve">. Were calibration logs or records kept?</w:t>
      </w:r>
      <w:r>
        <w:t xml:space="preserve"> </w:t>
      </w:r>
      <w:r>
        <w:rPr>
          <w:iCs/>
          <w:i/>
          <w:bCs/>
          <w:b/>
        </w:rPr>
        <w:t xml:space="preserve">Yes</w:t>
      </w:r>
      <w:r>
        <w:t xml:space="preserve">. Notes:</w:t>
      </w:r>
      <w:r>
        <w:t xml:space="preserve"> </w:t>
      </w:r>
      <w:r>
        <w:rPr>
          <w:iCs/>
          <w:i/>
          <w:bCs/>
          <w:b/>
        </w:rPr>
        <w:t xml:space="preserve">Instrument calibration records are available upon request at</w:t>
      </w:r>
      <w:r>
        <w:rPr>
          <w:iCs/>
          <w:i/>
          <w:bCs/>
          <w:b/>
        </w:rPr>
        <w:t xml:space="preserve"> </w:t>
      </w:r>
      <w:hyperlink r:id="rId61">
        <w:r>
          <w:rPr>
            <w:rStyle w:val="Hyperlink"/>
            <w:iCs/>
            <w:i/>
            <w:bCs/>
            <w:b/>
          </w:rPr>
          <w:t xml:space="preserve">hydrology@kenaiwatershed.org</w:t>
        </w:r>
      </w:hyperlink>
      <w:r>
        <w:t xml:space="preserve">.</w:t>
      </w:r>
    </w:p>
    <w:p>
      <w:pPr>
        <w:numPr>
          <w:ilvl w:val="0"/>
          <w:numId w:val="1018"/>
        </w:numPr>
      </w:pPr>
      <w:r>
        <w:t xml:space="preserve">Was instrument verification during the field season performed according to the QAPP and instrument recommendations?</w:t>
      </w:r>
      <w:r>
        <w:t xml:space="preserve"> </w:t>
      </w:r>
      <w:r>
        <w:rPr>
          <w:iCs/>
          <w:i/>
          <w:bCs/>
          <w:b/>
        </w:rPr>
        <w:t xml:space="preserve">NA</w:t>
      </w:r>
      <w:r>
        <w:t xml:space="preserve"> </w:t>
      </w:r>
      <w:r>
        <w:t xml:space="preserve">. Were verification logs or records kept?</w:t>
      </w:r>
      <w:r>
        <w:t xml:space="preserve"> </w:t>
      </w:r>
      <w:r>
        <w:rPr>
          <w:iCs/>
          <w:i/>
          <w:bCs/>
          <w:b/>
        </w:rPr>
        <w:t xml:space="preserve">No logger instruments were deployed, thus no verification checks were performed.</w:t>
      </w:r>
      <w:r>
        <w:t xml:space="preserve">.</w:t>
      </w:r>
    </w:p>
    <w:p>
      <w:pPr>
        <w:numPr>
          <w:ilvl w:val="0"/>
          <w:numId w:val="1018"/>
        </w:numPr>
      </w:pPr>
      <w:r>
        <w:t xml:space="preserve">Do the instrument data files site IDs, time stamps and file names match?</w:t>
      </w:r>
      <w:r>
        <w:t xml:space="preserve"> </w:t>
      </w:r>
      <w:r>
        <w:rPr>
          <w:iCs/>
          <w:i/>
          <w:bCs/>
          <w:b/>
        </w:rPr>
        <w:t xml:space="preserve">No logger instruments were deployed, thus no instrument data files were generated.</w:t>
      </w:r>
      <w:r>
        <w:t xml:space="preserve">.</w:t>
      </w:r>
    </w:p>
    <w:p>
      <w:pPr>
        <w:numPr>
          <w:ilvl w:val="0"/>
          <w:numId w:val="1018"/>
        </w:numPr>
      </w:pPr>
      <w:r>
        <w:t xml:space="preserve">Is any field data rejected and why?</w:t>
      </w:r>
      <w:r>
        <w:t xml:space="preserve"> </w:t>
      </w:r>
      <w:r>
        <w:rPr>
          <w:iCs/>
          <w:i/>
          <w:bCs/>
          <w:b/>
        </w:rPr>
        <w:t xml:space="preserve">Yes. As of this raw data review last updated on 2023-01-12, the RPD value for Total Phosphorus on 5/11/2021 from the site</w:t>
      </w:r>
      <w:r>
        <w:rPr>
          <w:iCs/>
          <w:i/>
          <w:bCs/>
          <w:b/>
        </w:rPr>
        <w:t xml:space="preserve"> </w:t>
      </w:r>
      <w:r>
        <w:rPr>
          <w:iCs/>
          <w:i/>
          <w:bCs/>
          <w:b/>
        </w:rPr>
        <w:t xml:space="preserve">“</w:t>
      </w:r>
      <w:r>
        <w:rPr>
          <w:iCs/>
          <w:i/>
          <w:bCs/>
          <w:b/>
        </w:rPr>
        <w:t xml:space="preserve">KR RM 31</w:t>
      </w:r>
      <w:r>
        <w:rPr>
          <w:iCs/>
          <w:i/>
          <w:bCs/>
          <w:b/>
        </w:rPr>
        <w:t xml:space="preserve">”</w:t>
      </w:r>
      <w:r>
        <w:rPr>
          <w:iCs/>
          <w:i/>
          <w:bCs/>
          <w:b/>
        </w:rPr>
        <w:t xml:space="preserve"> </w:t>
      </w:r>
      <w:r>
        <w:rPr>
          <w:iCs/>
          <w:i/>
          <w:bCs/>
          <w:b/>
        </w:rPr>
        <w:t xml:space="preserve">is 77.03%, well above the project precision goal for this parameter of 20%. Additionally, the RPD value for fecal coliform on 5/11/2021 at the site</w:t>
      </w:r>
      <w:r>
        <w:rPr>
          <w:iCs/>
          <w:i/>
          <w:bCs/>
          <w:b/>
        </w:rPr>
        <w:t xml:space="preserve"> </w:t>
      </w:r>
      <w:r>
        <w:rPr>
          <w:iCs/>
          <w:i/>
          <w:bCs/>
          <w:b/>
        </w:rPr>
        <w:t xml:space="preserve">“</w:t>
      </w:r>
      <w:r>
        <w:rPr>
          <w:iCs/>
          <w:i/>
          <w:bCs/>
          <w:b/>
        </w:rPr>
        <w:t xml:space="preserve">KR RM 0 NNC</w:t>
      </w:r>
      <w:r>
        <w:rPr>
          <w:iCs/>
          <w:i/>
          <w:bCs/>
          <w:b/>
        </w:rPr>
        <w:t xml:space="preserve">”</w:t>
      </w:r>
      <w:r>
        <w:rPr>
          <w:iCs/>
          <w:i/>
          <w:bCs/>
          <w:b/>
        </w:rPr>
        <w:t xml:space="preserve"> </w:t>
      </w:r>
      <w:r>
        <w:rPr>
          <w:iCs/>
          <w:i/>
          <w:bCs/>
          <w:b/>
        </w:rPr>
        <w:t xml:space="preserve">is 51.4%, however this parameter doe snot have overall project accuracy or precision goals according to the current QAPP.</w:t>
      </w:r>
      <w:r>
        <w:t xml:space="preserve">.</w:t>
      </w:r>
    </w:p>
    <w:bookmarkEnd w:id="62"/>
    <w:bookmarkStart w:id="65" w:name="Xb4b43a83231154b4a3cca943e5fd3a10a0cc7f8"/>
    <w:p>
      <w:pPr>
        <w:pStyle w:val="Heading5"/>
      </w:pPr>
      <w:r>
        <w:t xml:space="preserve">A.1.3.1.3 Analytical Laboratory Reports and Results</w:t>
      </w:r>
    </w:p>
    <w:p>
      <w:pPr>
        <w:numPr>
          <w:ilvl w:val="0"/>
          <w:numId w:val="1019"/>
        </w:numPr>
      </w:pPr>
      <w:r>
        <w:t xml:space="preserve">Do the laboratory reports provide results for all sites and parameters?</w:t>
      </w:r>
      <w:r>
        <w:t xml:space="preserve"> </w:t>
      </w:r>
      <w:r>
        <w:rPr>
          <w:iCs/>
          <w:i/>
          <w:bCs/>
          <w:b/>
        </w:rPr>
        <w:t xml:space="preserve">Yes. The laboratory reports provide results for all sites and parameters specified in the Chains of Custody. However in one case, a transcription error on the chain of custody form for SGS labs in Spring 2021 resulted in missing result values for the method 200.7 analyses (Total Metals) from 2021-05-11 at RM 31 (Morgan’s Landing)</w:t>
      </w:r>
      <w:r>
        <w:t xml:space="preserve">.</w:t>
      </w:r>
    </w:p>
    <w:p>
      <w:pPr>
        <w:numPr>
          <w:ilvl w:val="0"/>
          <w:numId w:val="1019"/>
        </w:numPr>
      </w:pPr>
      <w:r>
        <w:t xml:space="preserve">Were the appropriate analytical methods used for all parameters?</w:t>
      </w:r>
      <w:r>
        <w:t xml:space="preserve"> </w:t>
      </w:r>
      <w:r>
        <w:rPr>
          <w:iCs/>
          <w:i/>
          <w:bCs/>
          <w:b/>
        </w:rPr>
        <w:t xml:space="preserve">Yes</w:t>
      </w:r>
      <w:r>
        <w:t xml:space="preserve">.</w:t>
      </w:r>
    </w:p>
    <w:p>
      <w:pPr>
        <w:numPr>
          <w:ilvl w:val="0"/>
          <w:numId w:val="1019"/>
        </w:numPr>
      </w:pPr>
      <w:r>
        <w:t xml:space="preserve">Do the laboratory reports match the COC and requested methods?</w:t>
      </w:r>
      <w:r>
        <w:t xml:space="preserve"> </w:t>
      </w:r>
      <w:r>
        <w:rPr>
          <w:iCs/>
          <w:i/>
          <w:bCs/>
          <w:b/>
        </w:rPr>
        <w:t xml:space="preserve">Yes</w:t>
      </w:r>
      <w:r>
        <w:t xml:space="preserve">. Are same methods used throughout?</w:t>
      </w:r>
      <w:r>
        <w:t xml:space="preserve"> </w:t>
      </w:r>
      <w:r>
        <w:rPr>
          <w:iCs/>
          <w:i/>
          <w:bCs/>
          <w:b/>
        </w:rPr>
        <w:t xml:space="preserve">Yes</w:t>
      </w:r>
      <w:r>
        <w:t xml:space="preserve">.</w:t>
      </w:r>
    </w:p>
    <w:p>
      <w:pPr>
        <w:numPr>
          <w:ilvl w:val="0"/>
          <w:numId w:val="1019"/>
        </w:numPr>
      </w:pPr>
      <w:r>
        <w:t xml:space="preserve">Are the number of samples on the laboratory reports the same as on the COC?</w:t>
      </w:r>
      <w:r>
        <w:t xml:space="preserve"> </w:t>
      </w:r>
      <w:r>
        <w:rPr>
          <w:iCs/>
          <w:i/>
          <w:bCs/>
          <w:b/>
        </w:rPr>
        <w:t xml:space="preserve">Yes</w:t>
      </w:r>
      <w:r>
        <w:t xml:space="preserve">.</w:t>
      </w:r>
    </w:p>
    <w:p>
      <w:pPr>
        <w:numPr>
          <w:ilvl w:val="0"/>
          <w:numId w:val="1019"/>
        </w:numPr>
      </w:pPr>
      <w:r>
        <w:t xml:space="preserve">Is a copy of the COC included with the laboratory reports?</w:t>
      </w:r>
      <w:r>
        <w:t xml:space="preserve"> </w:t>
      </w:r>
      <w:r>
        <w:rPr>
          <w:iCs/>
          <w:i/>
          <w:bCs/>
          <w:b/>
        </w:rPr>
        <w:t xml:space="preserve">Yes</w:t>
      </w:r>
      <w:r>
        <w:t xml:space="preserve">.</w:t>
      </w:r>
    </w:p>
    <w:p>
      <w:pPr>
        <w:numPr>
          <w:ilvl w:val="0"/>
          <w:numId w:val="1019"/>
        </w:numPr>
      </w:pPr>
      <w:r>
        <w:t xml:space="preserve">Were preservation, hold time and temperature requirements met?</w:t>
      </w:r>
      <w:r>
        <w:t xml:space="preserve"> </w:t>
      </w:r>
      <w:r>
        <w:rPr>
          <w:iCs/>
          <w:i/>
          <w:bCs/>
          <w:b/>
        </w:rPr>
        <w:t xml:space="preserve">Yes. Summer and Spring 2021 holding time requirements were met for all samples. See downloadable files below. Laboratory result documents indicated no compromises of preservation and temperature requirements.</w:t>
      </w:r>
    </w:p>
    <w:p>
      <w:pPr>
        <w:numPr>
          <w:ilvl w:val="0"/>
          <w:numId w:val="1020"/>
        </w:numPr>
      </w:pPr>
      <w:r>
        <w:t xml:space="preserve">Are there any project specific concerns (e.g. total v. dissolved, MST, etc)?</w:t>
      </w:r>
      <w:r>
        <w:t xml:space="preserve"> </w:t>
      </w:r>
      <w:r>
        <w:rPr>
          <w:iCs/>
          <w:i/>
          <w:bCs/>
          <w:b/>
        </w:rPr>
        <w:t xml:space="preserve">Yes. Communication with the ADEC office in Winter 2022 includes the recommendation to modify field practices with relation to dissolved metals sampling. These practices include a.) filtering samples in lab rather than in the field, and b.) incorporating a field blank for dissolved metals. These practices are integrated into the project as of summer 2022 and will be reflected in the QAPP, currently in the process of being updated</w:t>
      </w:r>
      <w:r>
        <w:t xml:space="preserve">.</w:t>
      </w:r>
    </w:p>
    <w:p>
      <w:pPr>
        <w:numPr>
          <w:ilvl w:val="0"/>
          <w:numId w:val="1020"/>
        </w:numPr>
      </w:pPr>
      <w:r>
        <w:t xml:space="preserve">Was all supporting info provided in the laboratory report, such as reporting limits for all analyses and definitions?</w:t>
      </w:r>
      <w:r>
        <w:t xml:space="preserve"> </w:t>
      </w:r>
      <w:r>
        <w:rPr>
          <w:iCs/>
          <w:i/>
          <w:bCs/>
          <w:b/>
        </w:rPr>
        <w:t xml:space="preserve">Yes, see raw results in previous section</w:t>
      </w:r>
      <w:r>
        <w:t xml:space="preserve">.</w:t>
      </w:r>
    </w:p>
    <w:p>
      <w:pPr>
        <w:numPr>
          <w:ilvl w:val="0"/>
          <w:numId w:val="1020"/>
        </w:numPr>
      </w:pPr>
      <w:r>
        <w:t xml:space="preserve">Were there any laboratory discrepancies, errors, data qualifiers, or QC failures (review laboratory duplicates, matrix spikes and blanks)?</w:t>
      </w:r>
      <w:r>
        <w:t xml:space="preserve"> </w:t>
      </w:r>
      <w:r>
        <w:rPr>
          <w:iCs/>
          <w:i/>
          <w:bCs/>
          <w:b/>
        </w:rPr>
        <w:t xml:space="preserve">Yes. These laboratory-identified discrepancies are outlined in detail below. As of 2023-01-12 we would like to consult with ADEC to determine if these laboratory-identified discrepancies are grounds for rejecting field observations</w:t>
      </w:r>
      <w:r>
        <w:t xml:space="preserve">.</w:t>
      </w:r>
    </w:p>
    <w:p>
      <w:pPr>
        <w:pStyle w:val="FirstParagraph"/>
      </w:pPr>
      <w:r>
        <w:rPr>
          <w:iCs/>
          <w:i/>
        </w:rPr>
        <w:t xml:space="preserve">Show/Hide Code used to Evaluate Lab Duplicates, Matrix Spikes, and Blanks</w:t>
      </w:r>
    </w:p>
    <w:p>
      <w:pPr>
        <w:pStyle w:val="BodyText"/>
      </w:pPr>
      <w:r>
        <w:t xml:space="preserve">The following discrepancies were identified in the results from SGS laboratories:</w:t>
      </w:r>
    </w:p>
    <w:bookmarkStart w:id="63" w:name="matrix-spike-recoveries"/>
    <w:p>
      <w:pPr>
        <w:pStyle w:val="Heading6"/>
      </w:pPr>
      <w:r>
        <w:t xml:space="preserve">A.1.3.1.3.1 Matrix Spike Recoveries</w:t>
      </w:r>
    </w:p>
    <w:p>
      <w:pPr>
        <w:pStyle w:val="FirstParagraph"/>
      </w:pPr>
      <w:r>
        <w:t xml:space="preserve">A total of 6 matrix spike or matrix spike duplicate samples are outside of QC criteria. The limit of recovery range for the analyte</w:t>
      </w:r>
      <w:r>
        <w:t xml:space="preserve"> </w:t>
      </w:r>
      <w:r>
        <w:t xml:space="preserve">“</w:t>
      </w:r>
      <w:r>
        <w:t xml:space="preserve">Total Nitrate/Nitrite-N</w:t>
      </w:r>
      <w:r>
        <w:t xml:space="preserve">”</w:t>
      </w:r>
      <w:r>
        <w:t xml:space="preserve"> </w:t>
      </w:r>
      <w:r>
        <w:t xml:space="preserve">is 90% - 110%. For these matrix spike measurements outside of the QC criteria, recovery levels range from 112% - 118%.</w:t>
      </w:r>
    </w:p>
    <w:p>
      <w:pPr>
        <w:pStyle w:val="BodyText"/>
      </w:pPr>
      <w:r>
        <w:t xml:space="preserve">No additional lab QA/QC anomalies for any other parameters were noted by any laboratories contracted in 2021, including lab duplicates and lab blanks. Additional details are available upon request at</w:t>
      </w:r>
      <w:r>
        <w:t xml:space="preserve"> </w:t>
      </w:r>
      <w:hyperlink r:id="rId61">
        <w:r>
          <w:rPr>
            <w:rStyle w:val="Hyperlink"/>
          </w:rPr>
          <w:t xml:space="preserve">hydrology@kenaiwatershed.org</w:t>
        </w:r>
      </w:hyperlink>
      <w:r>
        <w:t xml:space="preserve">.</w:t>
      </w:r>
    </w:p>
    <w:bookmarkEnd w:id="63"/>
    <w:bookmarkStart w:id="64" w:name="total-vs-dissolved-metals"/>
    <w:p>
      <w:pPr>
        <w:pStyle w:val="Heading6"/>
      </w:pPr>
      <w:r>
        <w:t xml:space="preserve">A.1.3.1.3.2 Total vs Dissolved Metals</w:t>
      </w:r>
    </w:p>
    <w:p>
      <w:pPr>
        <w:pStyle w:val="FirstParagraph"/>
      </w:pPr>
      <w:r>
        <w:t xml:space="preserve">We will verify that the quantity of total metals is less than that of dissolved metals… [in progress]</w:t>
      </w:r>
    </w:p>
    <w:p>
      <w:pPr>
        <w:pStyle w:val="SourceCode"/>
      </w:pPr>
      <w:r>
        <w:rPr>
          <w:rStyle w:val="VerbatimChar"/>
        </w:rPr>
        <w:t xml:space="preserve">Warning in `Result Analytical Method ID` == c("200.7", "200.8"): longer object</w:t>
      </w:r>
      <w:r>
        <w:br/>
      </w:r>
      <w:r>
        <w:rPr>
          <w:rStyle w:val="VerbatimChar"/>
        </w:rPr>
        <w:t xml:space="preserve">length is not a multiple of shorter object length</w:t>
      </w:r>
    </w:p>
    <w:p>
      <w:pPr>
        <w:pStyle w:val="SourceCode"/>
      </w:pPr>
      <w:r>
        <w:rPr>
          <w:rStyle w:val="VerbatimChar"/>
        </w:rPr>
        <w:t xml:space="preserve">`summarise()` has grouped output by 'Monitoring Location ID', 'Activity Start</w:t>
      </w:r>
      <w:r>
        <w:br/>
      </w:r>
      <w:r>
        <w:rPr>
          <w:rStyle w:val="VerbatimChar"/>
        </w:rPr>
        <w:t xml:space="preserve">Date', 'Result Unit'. You can override using the `.groups` argument.</w:t>
      </w:r>
    </w:p>
    <w:p>
      <w:pPr>
        <w:numPr>
          <w:ilvl w:val="0"/>
          <w:numId w:val="1021"/>
        </w:numPr>
      </w:pPr>
      <w:r>
        <w:t xml:space="preserve">Is any laboratory data rejected and why?</w:t>
      </w:r>
      <w:r>
        <w:t xml:space="preserve"> </w:t>
      </w:r>
      <w:r>
        <w:rPr>
          <w:iCs/>
          <w:i/>
          <w:bCs/>
          <w:b/>
        </w:rPr>
        <w:t xml:space="preserve">Yes, see question 6 on Relative Percent Difference values</w:t>
      </w:r>
      <w:r>
        <w:t xml:space="preserve">.</w:t>
      </w:r>
    </w:p>
    <w:p>
      <w:pPr>
        <w:numPr>
          <w:ilvl w:val="0"/>
          <w:numId w:val="1021"/>
        </w:numPr>
      </w:pPr>
      <w:r>
        <w:t xml:space="preserve">Was the QA Officer consulted for any data concerns?</w:t>
      </w:r>
      <w:r>
        <w:t xml:space="preserve"> </w:t>
      </w:r>
      <w:r>
        <w:rPr>
          <w:iCs/>
          <w:i/>
          <w:bCs/>
          <w:b/>
        </w:rPr>
        <w:t xml:space="preserve">We are communicating with the Soldotna ADEC office for this data submission. We will schedule a meeting with the QA office with their coordination when appropriate</w:t>
      </w:r>
      <w:r>
        <w:t xml:space="preserve">.</w:t>
      </w:r>
    </w:p>
    <w:p>
      <w:pPr>
        <w:pStyle w:val="FirstParagraph"/>
      </w:pPr>
    </w:p>
    <w:p>
      <w:pPr>
        <w:pStyle w:val="BodyText"/>
      </w:pPr>
      <w:r>
        <w:rPr>
          <w:iCs/>
          <w:i/>
        </w:rPr>
        <w:t xml:space="preserve">Subsequent steps in the</w:t>
      </w:r>
      <w:r>
        <w:rPr>
          <w:iCs/>
          <w:i/>
        </w:rPr>
        <w:t xml:space="preserve"> </w:t>
      </w:r>
      <w:r>
        <w:rPr>
          <w:iCs/>
          <w:i/>
        </w:rPr>
        <w:t xml:space="preserve">“</w:t>
      </w:r>
      <w:r>
        <w:rPr>
          <w:iCs/>
          <w:i/>
        </w:rPr>
        <w:t xml:space="preserve">Database Prep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Database Import</w:t>
      </w:r>
      <w:r>
        <w:rPr>
          <w:iCs/>
          <w:i/>
        </w:rPr>
        <w:t xml:space="preserve">”</w:t>
      </w:r>
      <w:r>
        <w:rPr>
          <w:iCs/>
          <w:i/>
        </w:rPr>
        <w:t xml:space="preserve"> </w:t>
      </w:r>
      <w:r>
        <w:rPr>
          <w:iCs/>
          <w:i/>
        </w:rPr>
        <w:t xml:space="preserve">phases are conducted by ADEC staff. See the above Data Evaluation Checklist Template for details.</w:t>
      </w:r>
    </w:p>
    <w:p>
      <w:pPr>
        <w:pStyle w:val="BodyText"/>
      </w:pPr>
    </w:p>
    <w:bookmarkEnd w:id="64"/>
    <w:bookmarkEnd w:id="65"/>
    <w:bookmarkEnd w:id="66"/>
    <w:bookmarkEnd w:id="67"/>
    <w:bookmarkEnd w:id="68"/>
    <w:bookmarkEnd w:id="69"/>
    <w:bookmarkStart w:id="87" w:name="appendix-sample-event-timing"/>
    <w:p>
      <w:pPr>
        <w:pStyle w:val="Heading1"/>
      </w:pPr>
      <w:r>
        <w:t xml:space="preserve">Appendix B — Appendix: Sample Event Timing</w:t>
      </w:r>
    </w:p>
    <w:bookmarkStart w:id="75"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73" w:name="notes-on-data-sourcing"/>
    <w:p>
      <w:pPr>
        <w:pStyle w:val="Heading5"/>
      </w:pPr>
      <w:r>
        <w:t xml:space="preserve">B.1.0.0.1 Notes on data sourcing</w:t>
      </w:r>
    </w:p>
    <w:p>
      <w:pPr>
        <w:pStyle w:val="FirstParagraph"/>
      </w:pPr>
      <w:r>
        <w:t xml:space="preserve">Data is sourced from the following queries at</w:t>
      </w:r>
      <w:r>
        <w:t xml:space="preserve"> </w:t>
      </w:r>
      <w:hyperlink r:id="rId70">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71">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72">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73"/>
    <w:bookmarkStart w:id="74"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74"/>
    <w:bookmarkEnd w:id="75"/>
    <w:bookmarkStart w:id="79"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appendix_b_files/figure-docx/unnamed-chunk-2-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79"/>
    <w:bookmarkStart w:id="86"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appendix_b_files/figure-docx/unnamed-chunk-3-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appendix_b_files/figure-docx/unnamed-chunk-3-2.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1"/>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23" Target="media/rId23.jpg" /><Relationship Type="http://schemas.openxmlformats.org/officeDocument/2006/relationships/image" Id="rId20" Target="media/rId20.jpg" /><Relationship Type="http://schemas.openxmlformats.org/officeDocument/2006/relationships/image" Id="rId36" Target="media/rId36.png" /><Relationship Type="http://schemas.openxmlformats.org/officeDocument/2006/relationships/image" Id="rId33" Target="media/rId33.jpg" /><Relationship Type="http://schemas.openxmlformats.org/officeDocument/2006/relationships/hyperlink" Id="rId52" Target="https://paperpile.com/app/p/7703451b-460d-00b4-82a0-1086ea2554c3" TargetMode="External" /><Relationship Type="http://schemas.openxmlformats.org/officeDocument/2006/relationships/hyperlink" Id="rId70" Target="https://waterqualitydata.us" TargetMode="External" /><Relationship Type="http://schemas.openxmlformats.org/officeDocument/2006/relationships/hyperlink" Id="rId71" Target="https://www.waterqualitydata.us/portal/#bBox=-151.322501%2C60.274310%2C-149.216144%2C60.738915&amp;mimeType=csv&amp;dataProfile=narrowResult" TargetMode="External" /><Relationship Type="http://schemas.openxmlformats.org/officeDocument/2006/relationships/hyperlink" Id="rId72" Target="https://www.waterqualitydata.us/portal/#countrycode=US&amp;statecode=US%3A02&amp;countycode=US%3A02%3A122&amp;bBox=-151.322501%2C60.274310%2C-149.216144%2C60.738915&amp;mimeType=csv" TargetMode="External" /><Relationship Type="http://schemas.openxmlformats.org/officeDocument/2006/relationships/hyperlink" Id="rId61" Target="mailto:hydrology@kenaiwatershed.org" TargetMode="External" /></Relationships>
</file>

<file path=word/_rels/footnotes.xml.rels><?xml version="1.0" encoding="UTF-8"?><Relationships xmlns="http://schemas.openxmlformats.org/package/2006/relationships"><Relationship Type="http://schemas.openxmlformats.org/officeDocument/2006/relationships/hyperlink" Id="rId52" Target="https://paperpile.com/app/p/7703451b-460d-00b4-82a0-1086ea2554c3" TargetMode="External" /><Relationship Type="http://schemas.openxmlformats.org/officeDocument/2006/relationships/hyperlink" Id="rId70" Target="https://waterqualitydata.us" TargetMode="External" /><Relationship Type="http://schemas.openxmlformats.org/officeDocument/2006/relationships/hyperlink" Id="rId71" Target="https://www.waterqualitydata.us/portal/#bBox=-151.322501%2C60.274310%2C-149.216144%2C60.738915&amp;mimeType=csv&amp;dataProfile=narrowResult" TargetMode="External" /><Relationship Type="http://schemas.openxmlformats.org/officeDocument/2006/relationships/hyperlink" Id="rId72" Target="https://www.waterqualitydata.us/portal/#countrycode=US&amp;statecode=US%3A02&amp;countycode=US%3A02%3A122&amp;bBox=-151.322501%2C60.274310%2C-149.216144%2C60.738915&amp;mimeType=csv" TargetMode="External" /><Relationship Type="http://schemas.openxmlformats.org/officeDocument/2006/relationships/hyperlink" Id="rId61" Target="mailto:hydrology@kenaiwatershe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2023-01-14T02:10:40Z</dcterms:created>
  <dcterms:modified xsi:type="dcterms:W3CDTF">2023-01-14T02:10:40Z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1/11/23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y fmtid="{D5CDD505-2E9C-101B-9397-08002B2CF9AE}" pid="15" name="website">
    <vt:lpwstr/>
  </property>
</Properties>
</file>