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116.jpg" ContentType="image/jpeg"/>
  <Override PartName="/word/media/rId20.jpg" ContentType="image/jpeg"/>
  <Override PartName="/word/media/rId90.png" ContentType="image/png"/>
  <Override PartName="/word/media/rId30.jpg" ContentType="image/jpeg"/>
  <Override PartName="/word/media/rId81.png" ContentType="image/png"/>
  <Override PartName="/word/media/rId85.png" ContentType="image/png"/>
  <Override PartName="/word/media/rId99.png" ContentType="image/png"/>
  <Override PartName="/word/media/rId106.png" ContentType="image/png"/>
  <Override PartName="/word/media/rId77.png" ContentType="image/png"/>
  <Override PartName="/word/media/rId73.png" ContentType="image/png"/>
  <Override PartName="/word/media/rId47.png" ContentType="image/png"/>
  <Override PartName="/word/media/rId51.png" ContentType="image/png"/>
  <Override PartName="/word/media/rId55.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11/18/2022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thsi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among others,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physiological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8"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6"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rPr>
          <w:bCs/>
          <w:b/>
        </w:rPr>
        <w:t xml:space="preserve">?@fig-parcel-plot</w:t>
      </w:r>
      <w:r>
        <w:t xml:space="preserve"> </w:t>
      </w:r>
      <w:r>
        <w:t xml:space="preserve">summarizes the ownership type of these parcels by general category of owner type.</w:t>
      </w:r>
    </w:p>
    <w:p>
      <w:pPr>
        <w:pStyle w:val="BodyText"/>
      </w:pPr>
      <w:r>
        <w:drawing>
          <wp:inline>
            <wp:extent cx="4572000" cy="3657600"/>
            <wp:effectExtent b="0" l="0" r="0" t="0"/>
            <wp:docPr descr="" title="" id="44" name="Picture"/>
            <a:graphic>
              <a:graphicData uri="http://schemas.openxmlformats.org/drawingml/2006/picture">
                <pic:pic>
                  <pic:nvPicPr>
                    <pic:cNvPr descr="./thermal_imagery_data_files/figure-docx/parcel-plot-1.png" id="45" name="Picture"/>
                    <pic:cNvPicPr>
                      <a:picLocks noChangeArrowheads="1" noChangeAspect="1"/>
                    </pic:cNvPicPr>
                  </pic:nvPicPr>
                  <pic:blipFill>
                    <a:blip r:embed="rId4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bookmarkEnd w:id="46"/>
    <w:bookmarkStart w:id="59"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0" w:name="fig-gt-tir-obs-beaver"/>
          <w:p>
            <w:pPr>
              <w:pStyle w:val="Figure"/>
              <w:jc w:val="center"/>
            </w:pPr>
            <w:r>
              <w:drawing>
                <wp:inline>
                  <wp:extent cx="5334000" cy="7112000"/>
                  <wp:effectExtent b="0" l="0" r="0" t="0"/>
                  <wp:docPr descr="" title="" id="48" name="Picture"/>
                  <a:graphic>
                    <a:graphicData uri="http://schemas.openxmlformats.org/drawingml/2006/picture">
                      <pic:pic>
                        <pic:nvPicPr>
                          <pic:cNvPr descr="./thermal_imagery_data_files/figure-docx/fig-gt-tir-obs-beaver-1.png" id="49" name="Picture"/>
                          <pic:cNvPicPr>
                            <a:picLocks noChangeArrowheads="1" noChangeAspect="1"/>
                          </pic:cNvPicPr>
                        </pic:nvPicPr>
                        <pic:blipFill>
                          <a:blip r:embed="rId47"/>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50"/>
        </w:tc>
      </w:tr>
    </w:tbl>
    <w:p>
      <w:pPr>
        <w:pStyle w:val="BodyText"/>
      </w:pPr>
    </w:p>
    <w:tbl>
      <w:tblPr>
        <w:tblStyle w:val="Table"/>
        <w:tblW w:type="pct" w:w="5000"/>
        <w:tblLook w:firstRow="0" w:lastRow="0" w:firstColumn="0" w:lastColumn="0" w:noHBand="0" w:noVBand="0" w:val="0000"/>
      </w:tblPr>
      <w:tblGrid>
        <w:gridCol w:w="7920"/>
      </w:tblGrid>
      <w:tr>
        <w:tc>
          <w:tcPr/>
          <w:bookmarkStart w:id="54" w:name="fig-gt-tir-obs-crooked"/>
          <w:p>
            <w:pPr>
              <w:pStyle w:val="Figure"/>
              <w:jc w:val="center"/>
            </w:pPr>
            <w:r>
              <w:drawing>
                <wp:inline>
                  <wp:extent cx="5334000" cy="7112000"/>
                  <wp:effectExtent b="0" l="0" r="0" t="0"/>
                  <wp:docPr descr="" title="" id="52" name="Picture"/>
                  <a:graphic>
                    <a:graphicData uri="http://schemas.openxmlformats.org/drawingml/2006/picture">
                      <pic:pic>
                        <pic:nvPicPr>
                          <pic:cNvPr descr="./thermal_imagery_data_files/figure-docx/fig-gt-tir-obs-crooked-1.png" id="53" name="Picture"/>
                          <pic:cNvPicPr>
                            <a:picLocks noChangeArrowheads="1" noChangeAspect="1"/>
                          </pic:cNvPicPr>
                        </pic:nvPicPr>
                        <pic:blipFill>
                          <a:blip r:embed="rId51"/>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4"/>
        </w:tc>
      </w:tr>
    </w:tbl>
    <w:p>
      <w:pPr>
        <w:pStyle w:val="BodyText"/>
      </w:pPr>
    </w:p>
    <w:tbl>
      <w:tblPr>
        <w:tblStyle w:val="Table"/>
        <w:tblW w:type="pct" w:w="5000"/>
        <w:tblLook w:firstRow="0" w:lastRow="0" w:firstColumn="0" w:lastColumn="0" w:noHBand="0" w:noVBand="0" w:val="0000"/>
      </w:tblPr>
      <w:tblGrid>
        <w:gridCol w:w="7920"/>
      </w:tblGrid>
      <w:tr>
        <w:tc>
          <w:tcPr/>
          <w:bookmarkStart w:id="58" w:name="fig-gt-tir-obs-funny"/>
          <w:p>
            <w:pPr>
              <w:pStyle w:val="Figure"/>
              <w:jc w:val="center"/>
            </w:pPr>
            <w:r>
              <w:drawing>
                <wp:inline>
                  <wp:extent cx="5334000" cy="7112000"/>
                  <wp:effectExtent b="0" l="0" r="0" t="0"/>
                  <wp:docPr descr="" title="" id="56" name="Picture"/>
                  <a:graphic>
                    <a:graphicData uri="http://schemas.openxmlformats.org/drawingml/2006/picture">
                      <pic:pic>
                        <pic:nvPicPr>
                          <pic:cNvPr descr="./thermal_imagery_data_files/figure-docx/fig-gt-tir-obs-funny-1.png" id="57" name="Picture"/>
                          <pic:cNvPicPr>
                            <a:picLocks noChangeArrowheads="1" noChangeAspect="1"/>
                          </pic:cNvPicPr>
                        </pic:nvPicPr>
                        <pic:blipFill>
                          <a:blip r:embed="rId55"/>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8"/>
        </w:tc>
      </w:tr>
    </w:tbl>
    <w:p>
      <w:pPr>
        <w:pStyle w:val="BodyText"/>
      </w:pPr>
    </w:p>
    <w:bookmarkEnd w:id="59"/>
    <w:bookmarkStart w:id="67"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60">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61">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62">
        <w:r>
          <w:rPr>
            <w:rStyle w:val="Hyperlink"/>
            <w:bCs/>
            <w:b/>
          </w:rPr>
          <w:t xml:space="preserve">Thermal Imagery Collaborative Assessment</w:t>
        </w:r>
      </w:hyperlink>
    </w:p>
    <w:p>
      <w:pPr>
        <w:pStyle w:val="BodyText"/>
      </w:pPr>
      <w:r>
        <w:t xml:space="preserve">An example map is shown in @fig-example-map.</w:t>
      </w:r>
    </w:p>
    <w:tbl>
      <w:tblPr>
        <w:tblStyle w:val="Table"/>
        <w:tblW w:type="pct" w:w="5000"/>
        <w:tblLook w:firstRow="0" w:lastRow="0" w:firstColumn="0" w:lastColumn="0" w:noHBand="0" w:noVBand="0" w:val="0000"/>
      </w:tblPr>
      <w:tblGrid>
        <w:gridCol w:w="7920"/>
      </w:tblGrid>
      <w:tr>
        <w:tc>
          <w:tcPr/>
          <w:bookmarkStart w:id="66" w:name="fig-example-map"/>
          <w:p>
            <w:pPr>
              <w:pStyle w:val="Figure"/>
              <w:jc w:val="center"/>
            </w:pPr>
            <w:r>
              <w:drawing>
                <wp:inline>
                  <wp:extent cx="3571875" cy="3095625"/>
                  <wp:effectExtent b="0" l="0" r="0" t="0"/>
                  <wp:docPr descr="" title="" id="64" name="Picture"/>
                  <a:graphic>
                    <a:graphicData uri="http://schemas.openxmlformats.org/drawingml/2006/picture">
                      <pic:pic>
                        <pic:nvPicPr>
                          <pic:cNvPr descr="./images/Beaver_Crk4.png" id="65" name="Picture"/>
                          <pic:cNvPicPr>
                            <a:picLocks noChangeArrowheads="1" noChangeAspect="1"/>
                          </pic:cNvPicPr>
                        </pic:nvPicPr>
                        <pic:blipFill>
                          <a:blip r:embed="rId63"/>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6"/>
        </w:tc>
      </w:tr>
    </w:tbl>
    <w:bookmarkEnd w:id="67"/>
    <w:bookmarkEnd w:id="68"/>
    <w:bookmarkStart w:id="112"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9">
        <w:r>
          <w:rPr>
            <w:rStyle w:val="Hyperlink"/>
          </w:rPr>
          <w:t xml:space="preserve">GitHub repository</w:t>
        </w:r>
      </w:hyperlink>
      <w:r>
        <w:t xml:space="preserve">.</w:t>
      </w:r>
    </w:p>
    <w:bookmarkStart w:id="72"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0">
        <w:r>
          <w:rPr>
            <w:rStyle w:val="Hyperlink"/>
          </w:rPr>
          <w:t xml:space="preserve">Alaska Online Aquatic Temperature Site</w:t>
        </w:r>
      </w:hyperlink>
      <w:r>
        <w:t xml:space="preserve">)</w:t>
      </w:r>
      <w:r>
        <w:rPr>
          <w:rStyle w:val="FootnoteReference"/>
        </w:rPr>
        <w:footnoteReference w:id="71"/>
      </w:r>
      <w:r>
        <w:t xml:space="preserve"> </w:t>
      </w:r>
      <w:r>
        <w:t xml:space="preserve">in Spring 2023.</w:t>
      </w:r>
    </w:p>
    <w:p>
      <w:pPr>
        <w:pStyle w:val="BodyText"/>
      </w:pPr>
    </w:p>
    <w:bookmarkEnd w:id="72"/>
    <w:bookmarkStart w:id="111" w:name="logger-data-qaqc"/>
    <w:p>
      <w:pPr>
        <w:pStyle w:val="Heading2"/>
      </w:pPr>
      <w:r>
        <w:t xml:space="preserve">4.2 Logger Data QA/QC</w:t>
      </w:r>
    </w:p>
    <w:p>
      <w:pPr>
        <w:pStyle w:val="FirstParagraph"/>
      </w:pPr>
      <w:r>
        <w:t xml:space="preserve">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4.1</w:t>
        </w:r>
      </w:hyperlink>
      <w:r>
        <w:t xml:space="preserve"> </w:t>
      </w:r>
      <w:r>
        <w:t xml:space="preserve">and</w:t>
      </w:r>
      <w:r>
        <w:t xml:space="preserve"> </w:t>
      </w:r>
      <w:hyperlink w:anchor="fig-postqa">
        <w:r>
          <w:rPr>
            <w:rStyle w:val="Hyperlink"/>
          </w:rPr>
          <w:t xml:space="preserve">Figure 4.2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76" w:name="fig-preqa"/>
          <w:p>
            <w:pPr>
              <w:pStyle w:val="Figure"/>
              <w:jc w:val="center"/>
            </w:pPr>
            <w:r>
              <w:drawing>
                <wp:inline>
                  <wp:extent cx="5334000" cy="3413760"/>
                  <wp:effectExtent b="0" l="0" r="0" t="0"/>
                  <wp:docPr descr="" title="" id="74" name="Picture"/>
                  <a:graphic>
                    <a:graphicData uri="http://schemas.openxmlformats.org/drawingml/2006/picture">
                      <pic:pic>
                        <pic:nvPicPr>
                          <pic:cNvPr descr="./temperature_loggers_files/figure-docx/fig-preqa-1.png" id="75" name="Picture"/>
                          <pic:cNvPicPr>
                            <a:picLocks noChangeArrowheads="1" noChangeAspect="1"/>
                          </pic:cNvPicPr>
                        </pic:nvPicPr>
                        <pic:blipFill>
                          <a:blip r:embed="rId73"/>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Example of water temperature time series prior to quality assurance process</w:t>
            </w:r>
          </w:p>
          <w:bookmarkEnd w:id="76"/>
        </w:tc>
      </w:tr>
    </w:tbl>
    <w:p>
      <w:pPr>
        <w:pStyle w:val="BodyText"/>
      </w:pPr>
    </w:p>
    <w:tbl>
      <w:tblPr>
        <w:tblStyle w:val="Table"/>
        <w:tblW w:type="pct" w:w="5000"/>
        <w:tblLook w:firstRow="0" w:lastRow="0" w:firstColumn="0" w:lastColumn="0" w:noHBand="0" w:noVBand="0" w:val="0000"/>
      </w:tblPr>
      <w:tblGrid>
        <w:gridCol w:w="7920"/>
      </w:tblGrid>
      <w:tr>
        <w:tc>
          <w:tcPr/>
          <w:bookmarkStart w:id="80" w:name="fig-postqa"/>
          <w:p>
            <w:pPr>
              <w:pStyle w:val="Figure"/>
              <w:jc w:val="center"/>
            </w:pPr>
            <w:r>
              <w:drawing>
                <wp:inline>
                  <wp:extent cx="5334000" cy="3413760"/>
                  <wp:effectExtent b="0" l="0" r="0" t="0"/>
                  <wp:docPr descr="" title="" id="78" name="Picture"/>
                  <a:graphic>
                    <a:graphicData uri="http://schemas.openxmlformats.org/drawingml/2006/picture">
                      <pic:pic>
                        <pic:nvPicPr>
                          <pic:cNvPr descr="./temperature_loggers_files/figure-docx/fig-postqa-1.png" id="79" name="Picture"/>
                          <pic:cNvPicPr>
                            <a:picLocks noChangeArrowheads="1" noChangeAspect="1"/>
                          </pic:cNvPicPr>
                        </pic:nvPicPr>
                        <pic:blipFill>
                          <a:blip r:embed="rId77"/>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of water temperature time series after quality assurance inspection</w:t>
            </w:r>
          </w:p>
          <w:bookmarkEnd w:id="80"/>
        </w:tc>
      </w:tr>
    </w:tbl>
    <w:p>
      <w:pPr>
        <w:pStyle w:val="BodyText"/>
      </w:pPr>
    </w:p>
    <w:bookmarkStart w:id="105" w:name="additional-data-preparation"/>
    <w:p>
      <w:pPr>
        <w:pStyle w:val="Heading3"/>
      </w:pPr>
      <w:r>
        <w:t xml:space="preserve">4.2.1 Additional data preparation</w:t>
      </w:r>
    </w:p>
    <w:p>
      <w:pPr>
        <w:pStyle w:val="FirstParagraph"/>
      </w:pPr>
      <w:r>
        <w:t xml:space="preserve">The following sections describe additional details on data preparation specific to each water temperature logger site.</w:t>
      </w:r>
    </w:p>
    <w:bookmarkStart w:id="89" w:name="beaver-creek"/>
    <w:p>
      <w:pPr>
        <w:pStyle w:val="Heading4"/>
      </w:pPr>
      <w:r>
        <w:t xml:space="preserve">4.2.1.1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4.3</w:t>
        </w:r>
      </w:hyperlink>
      <w:r>
        <w:t xml:space="preserve">, and simultaneous values from both sites are presented in figure</w:t>
      </w:r>
      <w:r>
        <w:t xml:space="preserve"> </w:t>
      </w:r>
      <w:hyperlink w:anchor="fig-bc-reg">
        <w:r>
          <w:rPr>
            <w:rStyle w:val="Hyperlink"/>
          </w:rPr>
          <w:t xml:space="preserve">Figure 4.4</w:t>
        </w:r>
      </w:hyperlink>
      <w:r>
        <w:t xml:space="preserve">.</w:t>
      </w:r>
    </w:p>
    <w:tbl>
      <w:tblPr>
        <w:tblStyle w:val="Table"/>
        <w:tblW w:type="pct" w:w="5000"/>
        <w:tblLook w:firstRow="0" w:lastRow="0" w:firstColumn="0" w:lastColumn="0" w:noHBand="0" w:noVBand="0" w:val="0000"/>
      </w:tblPr>
      <w:tblGrid>
        <w:gridCol w:w="7920"/>
      </w:tblGrid>
      <w:tr>
        <w:tc>
          <w:tcPr/>
          <w:bookmarkStart w:id="84" w:name="fig-bc-plots"/>
          <w:p>
            <w:pPr>
              <w:pStyle w:val="Figure"/>
              <w:jc w:val="center"/>
            </w:pPr>
            <w:r>
              <w:drawing>
                <wp:inline>
                  <wp:extent cx="4620126" cy="3696101"/>
                  <wp:effectExtent b="0" l="0" r="0" t="0"/>
                  <wp:docPr descr="" title="" id="82" name="Picture"/>
                  <a:graphic>
                    <a:graphicData uri="http://schemas.openxmlformats.org/drawingml/2006/picture">
                      <pic:pic>
                        <pic:nvPicPr>
                          <pic:cNvPr descr="./temperature_loggers_files/figure-docx/fig-bc-plots-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Water temperature time series from Lower Beaver Creek at two nearby sites.</w:t>
            </w:r>
          </w:p>
          <w:bookmarkEnd w:id="84"/>
        </w:tc>
      </w:tr>
    </w:tbl>
    <w:p>
      <w:pPr>
        <w:pStyle w:val="BodyText"/>
      </w:pPr>
    </w:p>
    <w:tbl>
      <w:tblPr>
        <w:tblStyle w:val="Table"/>
        <w:tblW w:type="pct" w:w="5000"/>
        <w:tblLook w:firstRow="0" w:lastRow="0" w:firstColumn="0" w:lastColumn="0" w:noHBand="0" w:noVBand="0" w:val="0000"/>
      </w:tblPr>
      <w:tblGrid>
        <w:gridCol w:w="7920"/>
      </w:tblGrid>
      <w:tr>
        <w:tc>
          <w:tcPr/>
          <w:bookmarkStart w:id="88" w:name="fig-bc-reg"/>
          <w:p>
            <w:pPr>
              <w:pStyle w:val="Figure"/>
              <w:jc w:val="center"/>
            </w:pPr>
            <w:r>
              <w:drawing>
                <wp:inline>
                  <wp:extent cx="4620126" cy="3696101"/>
                  <wp:effectExtent b="0" l="0" r="0" t="0"/>
                  <wp:docPr descr="" title="" id="86" name="Picture"/>
                  <a:graphic>
                    <a:graphicData uri="http://schemas.openxmlformats.org/drawingml/2006/picture">
                      <pic:pic>
                        <pic:nvPicPr>
                          <pic:cNvPr descr="./temperature_loggers_files/figure-docx/fig-bc-reg-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Regression of simultaneous water temperature observations from two nearby sites in Beaver Creek.</w:t>
            </w:r>
          </w:p>
          <w:bookmarkEnd w:id="88"/>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89"/>
    <w:bookmarkStart w:id="104" w:name="lower-crooked-creek"/>
    <w:p>
      <w:pPr>
        <w:pStyle w:val="Heading4"/>
      </w:pPr>
      <w:r>
        <w:t xml:space="preserve">4.2.1.2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93" w:name="fig-cc-map"/>
          <w:p>
            <w:pPr>
              <w:pStyle w:val="Figure"/>
              <w:jc w:val="center"/>
            </w:pPr>
            <w:r>
              <w:drawing>
                <wp:inline>
                  <wp:extent cx="4988137" cy="3810000"/>
                  <wp:effectExtent b="0" l="0" r="0" t="0"/>
                  <wp:docPr descr="" title="" id="91" name="Picture"/>
                  <a:graphic>
                    <a:graphicData uri="http://schemas.openxmlformats.org/drawingml/2006/picture">
                      <pic:pic>
                        <pic:nvPicPr>
                          <pic:cNvPr descr="./images/lower_crooked_creek_temp_logger_map.png" id="92" name="Picture"/>
                          <pic:cNvPicPr>
                            <a:picLocks noChangeArrowheads="1" noChangeAspect="1"/>
                          </pic:cNvPicPr>
                        </pic:nvPicPr>
                        <pic:blipFill>
                          <a:blip r:embed="rId90"/>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Lower Crooked Creek temperature monitoring sites</w:t>
            </w:r>
          </w:p>
          <w:bookmarkEnd w:id="93"/>
        </w:tc>
      </w:tr>
    </w:tbl>
    <w:bookmarkStart w:id="97" w:name="Xfb7b5bcd2b82132f05f117e6482dbe1f3623c11"/>
    <w:p>
      <w:pPr>
        <w:pStyle w:val="Heading5"/>
      </w:pPr>
      <w:r>
        <w:t xml:space="preserve">4.2.1.2.1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94">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2022-12-14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95">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96">
        <w:r>
          <w:rPr>
            <w:rStyle w:val="Hyperlink"/>
            <w:bCs/>
            <w:b/>
          </w:rPr>
          <w:t xml:space="preserve">Download Lower Crooked Creek Realtime Temperature Data</w:t>
        </w:r>
      </w:hyperlink>
      <w:r>
        <w:t xml:space="preserve">.</w:t>
      </w:r>
    </w:p>
    <w:bookmarkEnd w:id="97"/>
    <w:bookmarkStart w:id="103" w:name="Xe3635ce71da99cbb32783311e8ac77420f11698"/>
    <w:p>
      <w:pPr>
        <w:pStyle w:val="Heading5"/>
      </w:pPr>
      <w:r>
        <w:t xml:space="preserve">4.2.1.2.2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1"/>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1"/>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98">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4.6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02" w:name="fig-cc-plots"/>
          <w:p>
            <w:pPr>
              <w:pStyle w:val="Figure"/>
              <w:jc w:val="center"/>
            </w:pPr>
            <w:r>
              <w:drawing>
                <wp:inline>
                  <wp:extent cx="4620126" cy="3696101"/>
                  <wp:effectExtent b="0" l="0" r="0" t="0"/>
                  <wp:docPr descr="" title="" id="100" name="Picture"/>
                  <a:graphic>
                    <a:graphicData uri="http://schemas.openxmlformats.org/drawingml/2006/picture">
                      <pic:pic>
                        <pic:nvPicPr>
                          <pic:cNvPr descr="./temperature_loggers_files/figure-docx/fig-cc-plots-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Water temperature time series from Lower Crooked Creek at two nearby loggers (~5 m apart). a.) Upstream of a small coldwater tributary, b.) downstream of small coldwater tributary, c.) difference values between the loggers. Note different y-axis ranges.</w:t>
            </w:r>
          </w:p>
          <w:bookmarkEnd w:id="102"/>
        </w:tc>
      </w:tr>
    </w:tbl>
    <w:p>
      <w:pPr>
        <w:pStyle w:val="BodyText"/>
      </w:pPr>
    </w:p>
    <w:bookmarkEnd w:id="103"/>
    <w:bookmarkEnd w:id="104"/>
    <w:bookmarkEnd w:id="105"/>
    <w:bookmarkStart w:id="110" w:name="extent-of-water-temperature-time-series"/>
    <w:p>
      <w:pPr>
        <w:pStyle w:val="Heading3"/>
      </w:pPr>
      <w:r>
        <w:t xml:space="preserve">4.2.2 Extent of water temperature time series</w:t>
      </w:r>
    </w:p>
    <w:p>
      <w:pPr>
        <w:pStyle w:val="FirstParagraph"/>
      </w:pPr>
      <w:r>
        <w:t xml:space="preserve">Figure</w:t>
      </w:r>
      <w:r>
        <w:t xml:space="preserve"> </w:t>
      </w:r>
      <w:hyperlink w:anchor="fig-extent-fig">
        <w:r>
          <w:rPr>
            <w:rStyle w:val="Hyperlink"/>
          </w:rPr>
          <w:t xml:space="preserve">Figure 4.7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09" w:name="fig-extent-fig"/>
          <w:p>
            <w:pPr>
              <w:pStyle w:val="Figure"/>
              <w:jc w:val="center"/>
            </w:pPr>
            <w:r>
              <w:drawing>
                <wp:inline>
                  <wp:extent cx="4620126" cy="3696101"/>
                  <wp:effectExtent b="0" l="0" r="0" t="0"/>
                  <wp:docPr descr="" title="" id="107" name="Picture"/>
                  <a:graphic>
                    <a:graphicData uri="http://schemas.openxmlformats.org/drawingml/2006/picture">
                      <pic:pic>
                        <pic:nvPicPr>
                          <pic:cNvPr descr="./temperature_loggers_files/figure-docx/fig-extent-fig-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Temporal extent of water temperature logger data</w:t>
            </w:r>
          </w:p>
          <w:bookmarkEnd w:id="109"/>
        </w:tc>
      </w:tr>
    </w:tbl>
    <w:bookmarkEnd w:id="110"/>
    <w:bookmarkEnd w:id="111"/>
    <w:bookmarkEnd w:id="112"/>
    <w:bookmarkStart w:id="124"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113">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114">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115">
        <w:r>
          <w:rPr>
            <w:rStyle w:val="Hyperlink"/>
          </w:rPr>
          <w:t xml:space="preserve">https://arcg.is/1Oq9Kq</w:t>
        </w:r>
      </w:hyperlink>
      <w:r>
        <w:t xml:space="preserve">.</w:t>
      </w:r>
    </w:p>
    <w:p>
      <w:pPr>
        <w:pStyle w:val="BodyText"/>
      </w:pPr>
      <w:r>
        <w:t xml:space="preserve">Access PDFs of submitted Public Comments below:</w:t>
      </w:r>
    </w:p>
    <w:p>
      <w:pPr>
        <w:pStyle w:val="BodyText"/>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119" w:name="fig-sgc-map"/>
          <w:p>
            <w:pPr>
              <w:pStyle w:val="Figure"/>
              <w:jc w:val="center"/>
            </w:pPr>
            <w:r>
              <w:drawing>
                <wp:inline>
                  <wp:extent cx="5334000" cy="3000375"/>
                  <wp:effectExtent b="0" l="0" r="0" t="0"/>
                  <wp:docPr descr="" title="" id="117" name="Picture"/>
                  <a:graphic>
                    <a:graphicData uri="http://schemas.openxmlformats.org/drawingml/2006/picture">
                      <pic:pic>
                        <pic:nvPicPr>
                          <pic:cNvPr descr="./images/Snowshoe_Gun_Club_Thermal_Imagery_map.jpg" id="118"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119"/>
        </w:tc>
      </w:tr>
    </w:tbl>
    <w:bookmarkStart w:id="123" w:name="landowner-outreach"/>
    <w:p>
      <w:pPr>
        <w:pStyle w:val="Heading2"/>
      </w:pPr>
      <w:r>
        <w:t xml:space="preserve">5.1 Landowner Outreach</w:t>
      </w:r>
    </w:p>
    <w:bookmarkStart w:id="120"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120"/>
    <w:bookmarkStart w:id="121"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121"/>
    <w:bookmarkStart w:id="122"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2"/>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2"/>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(Morton et al. 2015)</w:t>
      </w:r>
    </w:p>
    <w:bookmarkEnd w:id="122"/>
    <w:bookmarkEnd w:id="123"/>
    <w:bookmarkEnd w:id="124"/>
    <w:bookmarkStart w:id="130" w:name="summary"/>
    <w:p>
      <w:pPr>
        <w:pStyle w:val="Heading1"/>
      </w:pPr>
      <w:r>
        <w:t xml:space="preserve">6. Summary</w:t>
      </w:r>
    </w:p>
    <w:p>
      <w:pPr>
        <w:pStyle w:val="FirstParagraph"/>
      </w:pPr>
      <w:r>
        <w:t xml:space="preserve">Overall summary statement/discussion paragraph here …</w:t>
      </w:r>
      <w:r>
        <w:t xml:space="preserve"> </w:t>
      </w:r>
      <w:r>
        <w:t xml:space="preserve">See Mountains to Sea</w:t>
      </w:r>
    </w:p>
    <w:bookmarkStart w:id="129" w:name="X2cefd38b336a0826fd1e0cc672bd5ecbb265aed"/>
    <w:p>
      <w:pPr>
        <w:pStyle w:val="Heading2"/>
      </w:pPr>
      <w:r>
        <w:t xml:space="preserve">6.1 General Recommendations by Stream Corridor</w:t>
      </w:r>
    </w:p>
    <w:p>
      <w:pPr>
        <w:pStyle w:val="FirstParagraph"/>
      </w:pPr>
      <w:r>
        <w:t xml:space="preserve">The following are general observations regarding conservation potential for each of the stream corridors in this study. For more details on land ownership and watershed-specific conservation opportunities, see the Mountains to Sea report</w:t>
      </w:r>
    </w:p>
    <w:p>
      <w:pPr>
        <w:pStyle w:val="SourceCode"/>
      </w:pPr>
      <w:r>
        <w:rPr>
          <w:rStyle w:val="VerbatimChar"/>
        </w:rPr>
        <w:t xml:space="preserve">── Attaching packages ─────────────────────────────────────── tidyverse 1.3.2 ──</w:t>
      </w:r>
      <w:r>
        <w:br/>
      </w:r>
      <w:r>
        <w:rPr>
          <w:rStyle w:val="VerbatimChar"/>
        </w:rPr>
        <w:t xml:space="preserve">✔ ggplot2 3.4.0      ✔ purrr   0.3.5 </w:t>
      </w:r>
      <w:r>
        <w:br/>
      </w:r>
      <w:r>
        <w:rPr>
          <w:rStyle w:val="VerbatimChar"/>
        </w:rPr>
        <w:t xml:space="preserve">✔ tibble  3.1.8      ✔ dplyr   1.0.10</w:t>
      </w:r>
      <w:r>
        <w:br/>
      </w:r>
      <w:r>
        <w:rPr>
          <w:rStyle w:val="VerbatimChar"/>
        </w:rPr>
        <w:t xml:space="preserve">✔ tidyr   1.2.1      ✔ stringr 1.5.0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bookmarkStart w:id="125" w:name="beaver-creek-1"/>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bookmarkEnd w:id="125"/>
    <w:bookmarkStart w:id="126" w:name="funny-river"/>
    <w:p>
      <w:pPr>
        <w:pStyle w:val="Heading3"/>
      </w:pPr>
      <w:r>
        <w:t xml:space="preserve">6.1.2 Funny River</w:t>
      </w:r>
    </w:p>
    <w:p>
      <w:pPr>
        <w:pStyle w:val="FirstParagraph"/>
      </w:pPr>
      <w:r>
        <w:t xml:space="preserve">“</w:t>
      </w:r>
      <w:r>
        <w:t xml:space="preserve">Lots of state ownership, only 7 private parcels</w:t>
      </w:r>
      <w:r>
        <w:t xml:space="preserve">”</w:t>
      </w:r>
    </w:p>
    <w:bookmarkEnd w:id="126"/>
    <w:bookmarkStart w:id="127" w:name="moose-river"/>
    <w:p>
      <w:pPr>
        <w:pStyle w:val="Heading3"/>
      </w:pPr>
      <w:r>
        <w:t xml:space="preserve">6.1.3 Moose River</w:t>
      </w:r>
    </w:p>
    <w:p>
      <w:pPr>
        <w:pStyle w:val="FirstParagraph"/>
      </w:pPr>
      <w:r>
        <w:t xml:space="preserve">“Too parcelized for meaningful land acquisition?</w:t>
      </w:r>
    </w:p>
    <w:bookmarkEnd w:id="127"/>
    <w:bookmarkStart w:id="128" w:name="crooked-creek"/>
    <w:p>
      <w:pPr>
        <w:pStyle w:val="Heading3"/>
      </w:pPr>
      <w:r>
        <w:t xml:space="preserve">6.1.4 Crooked Creek</w:t>
      </w:r>
    </w:p>
    <w:p>
      <w:pPr>
        <w:pStyle w:val="FirstParagraph"/>
      </w:pPr>
      <w:r>
        <w:t xml:space="preserve">“</w:t>
      </w:r>
      <w:r>
        <w:t xml:space="preserve">very parcelized</w:t>
      </w:r>
      <w:r>
        <w:t xml:space="preserve">”</w:t>
      </w:r>
    </w:p>
    <w:p>
      <w:pPr>
        <w:pStyle w:val="BodyText"/>
      </w:pPr>
      <w:r>
        <w:t xml:space="preserve">muhlfield 2021 https://www.nature.com/articles/s41558-021-01013-w</w:t>
      </w:r>
    </w:p>
    <w:p>
      <w:pPr>
        <w:pStyle w:val="BodyText"/>
      </w:pPr>
      <w:r>
        <w:t xml:space="preserve">armstrong 2021 https://www.nature.com/articles/s41558-021-00994-y</w:t>
      </w:r>
    </w:p>
    <w:p>
      <w:pPr>
        <w:pStyle w:val="BodyText"/>
      </w:pPr>
      <w:r>
        <w:t xml:space="preserve">lessons from kenai decision support tool</w:t>
      </w:r>
    </w:p>
    <w:p>
      <w:pPr>
        <w:pStyle w:val="BodyText"/>
      </w:pPr>
      <w:r>
        <w:t xml:space="preserve">link to google doc for future collab</w:t>
      </w:r>
    </w:p>
    <w:p>
      <w:pPr>
        <w:pStyle w:val="BodyText"/>
      </w:pPr>
      <w:r>
        <w:t xml:space="preserve">https://gis.audubon.org/kenai/</w:t>
      </w:r>
    </w:p>
    <w:p>
      <w:pPr>
        <w:pStyle w:val="BodyText"/>
      </w:pPr>
      <w:r>
        <w:t xml:space="preserve">https://gis.audubon.org/kenai/documentation/KenaiDecisionSupportTool_UsersManual_9Jan2014.pdf</w:t>
      </w:r>
    </w:p>
    <w:p>
      <w:pPr>
        <w:numPr>
          <w:ilvl w:val="0"/>
          <w:numId w:val="1013"/>
        </w:numPr>
        <w:pStyle w:val="Compact"/>
      </w:pPr>
      <w:r>
        <w:t xml:space="preserve">Objectives</w:t>
      </w:r>
      <w:r>
        <w:t xml:space="preserve"> </w:t>
      </w:r>
      <w:r>
        <w:t xml:space="preserve">• Identify areas of cold water refugia within four streams on the Kenai Peninsula using TIR imagery</w:t>
      </w:r>
      <w:r>
        <w:t xml:space="preserve"> </w:t>
      </w:r>
      <w:r>
        <w:t xml:space="preserve">• Initiate discussion with landowners about potential land conservation efforts</w:t>
      </w:r>
    </w:p>
    <w:p>
      <w:pPr>
        <w:pStyle w:val="FirstParagraph"/>
      </w:pPr>
      <w:r>
        <w:t xml:space="preserve">spreadsheet of thermal features available to project managers only at the moment to presver landowner privacy</w:t>
      </w:r>
    </w:p>
    <w:p>
      <w:pPr>
        <w:pStyle w:val="BodyText"/>
      </w:pPr>
      <w:r>
        <w:t xml:space="preserve">example of initiating conversaion: sgc</w:t>
      </w:r>
    </w:p>
    <w:bookmarkEnd w:id="128"/>
    <w:bookmarkEnd w:id="129"/>
    <w:bookmarkEnd w:id="130"/>
    <w:bookmarkStart w:id="148" w:name="references"/>
    <w:p>
      <w:pPr>
        <w:pStyle w:val="Heading1"/>
      </w:pPr>
      <w:r>
        <w:t xml:space="preserve">References</w:t>
      </w:r>
    </w:p>
    <w:bookmarkStart w:id="147" w:name="refs"/>
    <w:bookmarkStart w:id="132"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131">
        <w:r>
          <w:rPr>
            <w:rStyle w:val="Hyperlink"/>
          </w:rPr>
          <w:t xml:space="preserve">https://doi.org/10.1890/12-1200.1</w:t>
        </w:r>
      </w:hyperlink>
      <w:r>
        <w:t xml:space="preserve">.</w:t>
      </w:r>
    </w:p>
    <w:bookmarkEnd w:id="132"/>
    <w:bookmarkStart w:id="134"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133">
        <w:r>
          <w:rPr>
            <w:rStyle w:val="Hyperlink"/>
          </w:rPr>
          <w:t xml:space="preserve">https://doi.org/10.3390/rs14010063</w:t>
        </w:r>
      </w:hyperlink>
      <w:r>
        <w:t xml:space="preserve">.</w:t>
      </w:r>
    </w:p>
    <w:bookmarkEnd w:id="134"/>
    <w:bookmarkStart w:id="136"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135">
        <w:r>
          <w:rPr>
            <w:rStyle w:val="Hyperlink"/>
          </w:rPr>
          <w:t xml:space="preserve">https://inletkeeper.org/wp-content/uploads/2017/10/Science-based-Land-Conservation-report.pdf</w:t>
        </w:r>
      </w:hyperlink>
      <w:r>
        <w:t xml:space="preserve">.</w:t>
      </w:r>
    </w:p>
    <w:bookmarkEnd w:id="136"/>
    <w:bookmarkStart w:id="138"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7">
        <w:r>
          <w:rPr>
            <w:rStyle w:val="Hyperlink"/>
          </w:rPr>
          <w:t xml:space="preserve">https://doi.org/10.1016/j.ejrh.2015.07.008</w:t>
        </w:r>
      </w:hyperlink>
      <w:r>
        <w:t xml:space="preserve">.</w:t>
      </w:r>
    </w:p>
    <w:bookmarkEnd w:id="138"/>
    <w:bookmarkStart w:id="139"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7">
        <w:r>
          <w:rPr>
            <w:rStyle w:val="Hyperlink"/>
          </w:rPr>
          <w:t xml:space="preserve">https://doi.org/10.1016/j.ejrh.2015.07.008</w:t>
        </w:r>
      </w:hyperlink>
      <w:r>
        <w:t xml:space="preserve">.</w:t>
      </w:r>
    </w:p>
    <w:bookmarkEnd w:id="139"/>
    <w:bookmarkStart w:id="141"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40">
        <w:r>
          <w:rPr>
            <w:rStyle w:val="Hyperlink"/>
          </w:rPr>
          <w:t xml:space="preserve">https://kenaiwatershed.org/wp-content/uploads/2019/03/Kenai-Mountains-to-Sea-Strategic-Plan_5nov2016_compressed.pdf</w:t>
        </w:r>
      </w:hyperlink>
      <w:r>
        <w:t xml:space="preserve">.</w:t>
      </w:r>
    </w:p>
    <w:bookmarkEnd w:id="141"/>
    <w:bookmarkStart w:id="142"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42"/>
    <w:bookmarkStart w:id="144"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43">
        <w:r>
          <w:rPr>
            <w:rStyle w:val="Hyperlink"/>
          </w:rPr>
          <w:t xml:space="preserve">https://doi.org/10.1002/ecs2.4265</w:t>
        </w:r>
      </w:hyperlink>
      <w:r>
        <w:t xml:space="preserve">.</w:t>
      </w:r>
    </w:p>
    <w:bookmarkEnd w:id="144"/>
    <w:bookmarkStart w:id="146"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45">
        <w:r>
          <w:rPr>
            <w:rStyle w:val="Hyperlink"/>
          </w:rPr>
          <w:t xml:space="preserve">https://inletkeeper.org/wp-content/uploads/2017/10/Airborne-Thermal-Infrared-Remote-Sensing-Anchor-River-Basin-Alaska.pdf</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71">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617">
    <w:nsid w:val="A99617"/>
    <w:multiLevelType w:val="multilevel"/>
    <w:lvl w:ilvl="0">
      <w:start w:val="7"/>
      <w:numFmt w:val="upperRoman"/>
      <w:lvlText w:val="%1."/>
      <w:lvlJc w:val="left"/>
      <w:pPr>
        <w:ind w:left="720" w:hanging="480"/>
      </w:pPr>
    </w:lvl>
    <w:lvl w:ilvl="1">
      <w:start w:val="7"/>
      <w:numFmt w:val="upperRoman"/>
      <w:lvlText w:val="%2."/>
      <w:lvlJc w:val="left"/>
      <w:pPr>
        <w:ind w:left="1440" w:hanging="480"/>
      </w:pPr>
    </w:lvl>
    <w:lvl w:ilvl="2">
      <w:start w:val="7"/>
      <w:numFmt w:val="upperRoman"/>
      <w:lvlText w:val="%3."/>
      <w:lvlJc w:val="left"/>
      <w:pPr>
        <w:ind w:left="2160" w:hanging="480"/>
      </w:pPr>
    </w:lvl>
    <w:lvl w:ilvl="3">
      <w:start w:val="7"/>
      <w:numFmt w:val="upperRoman"/>
      <w:lvlText w:val="%4."/>
      <w:lvlJc w:val="left"/>
      <w:pPr>
        <w:ind w:left="2880" w:hanging="480"/>
      </w:pPr>
    </w:lvl>
    <w:lvl w:ilvl="4">
      <w:start w:val="7"/>
      <w:numFmt w:val="upperRoman"/>
      <w:lvlText w:val="%5."/>
      <w:lvlJc w:val="left"/>
      <w:pPr>
        <w:ind w:left="3600" w:hanging="480"/>
      </w:pPr>
    </w:lvl>
    <w:lvl w:ilvl="5">
      <w:start w:val="7"/>
      <w:numFmt w:val="upperRoman"/>
      <w:lvlText w:val="%6."/>
      <w:lvlJc w:val="left"/>
      <w:pPr>
        <w:ind w:left="4320" w:hanging="480"/>
      </w:pPr>
    </w:lvl>
    <w:lvl w:ilvl="6">
      <w:start w:val="7"/>
      <w:numFmt w:val="upperRoman"/>
      <w:lvlText w:val="%7."/>
      <w:lvlJc w:val="left"/>
      <w:pPr>
        <w:ind w:left="5040" w:hanging="480"/>
      </w:pPr>
    </w:lvl>
    <w:lvl w:ilvl="7">
      <w:start w:val="7"/>
      <w:numFmt w:val="upperRoman"/>
      <w:lvlText w:val="%8."/>
      <w:lvlJc w:val="left"/>
      <w:pPr>
        <w:ind w:left="5760" w:hanging="480"/>
      </w:pPr>
    </w:lvl>
    <w:lvl w:ilvl="8">
      <w:start w:val="7"/>
      <w:numFmt w:val="upp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6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116" Target="media/rId116.jpg" /><Relationship Type="http://schemas.openxmlformats.org/officeDocument/2006/relationships/image" Id="rId20" Target="media/rId20.jpg" /><Relationship Type="http://schemas.openxmlformats.org/officeDocument/2006/relationships/image" Id="rId90" Target="media/rId90.png" /><Relationship Type="http://schemas.openxmlformats.org/officeDocument/2006/relationships/image" Id="rId30" Target="media/rId30.jp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hyperlink" Id="rId95"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115"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98" Target="https://docs.google.com/spreadsheets/d/1jfe6u_xr8-abv8HMxyOm88xEsR4ahYTLGPtztjxSivQ/edit?usp=sharing" TargetMode="External" /><Relationship Type="http://schemas.openxmlformats.org/officeDocument/2006/relationships/hyperlink" Id="rId143" Target="https://doi.org/10.1002/ecs2.4265" TargetMode="External" /><Relationship Type="http://schemas.openxmlformats.org/officeDocument/2006/relationships/hyperlink" Id="rId137" Target="https://doi.org/10.1016/j.ejrh.2015.07.008" TargetMode="External" /><Relationship Type="http://schemas.openxmlformats.org/officeDocument/2006/relationships/hyperlink" Id="rId131" Target="https://doi.org/10.1890/12-1200.1" TargetMode="External" /><Relationship Type="http://schemas.openxmlformats.org/officeDocument/2006/relationships/hyperlink" Id="rId133"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9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94" Target="https://inletkeeper.org/our-work/healthy-habitat/real-time-temperature-sites/crooked-creek/" TargetMode="External" /><Relationship Type="http://schemas.openxmlformats.org/officeDocument/2006/relationships/hyperlink" Id="rId145" Target="https://inletkeeper.org/wp-content/uploads/2017/10/Airborne-Thermal-Infrared-Remote-Sensing-Anchor-River-Basin-Alaska.pdf" TargetMode="External" /><Relationship Type="http://schemas.openxmlformats.org/officeDocument/2006/relationships/hyperlink" Id="rId135" Target="https://inletkeeper.org/wp-content/uploads/2017/10/Science-based-Land-Conservation-report.pdf" TargetMode="External" /><Relationship Type="http://schemas.openxmlformats.org/officeDocument/2006/relationships/hyperlink" Id="rId14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114" Target="https://rpubs.com/kwf/867931" TargetMode="External" /><Relationship Type="http://schemas.openxmlformats.org/officeDocument/2006/relationships/hyperlink" Id="rId113"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95"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115"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98" Target="https://docs.google.com/spreadsheets/d/1jfe6u_xr8-abv8HMxyOm88xEsR4ahYTLGPtztjxSivQ/edit?usp=sharing" TargetMode="External" /><Relationship Type="http://schemas.openxmlformats.org/officeDocument/2006/relationships/hyperlink" Id="rId143" Target="https://doi.org/10.1002/ecs2.4265" TargetMode="External" /><Relationship Type="http://schemas.openxmlformats.org/officeDocument/2006/relationships/hyperlink" Id="rId137" Target="https://doi.org/10.1016/j.ejrh.2015.07.008" TargetMode="External" /><Relationship Type="http://schemas.openxmlformats.org/officeDocument/2006/relationships/hyperlink" Id="rId131" Target="https://doi.org/10.1890/12-1200.1" TargetMode="External" /><Relationship Type="http://schemas.openxmlformats.org/officeDocument/2006/relationships/hyperlink" Id="rId133"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9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94" Target="https://inletkeeper.org/our-work/healthy-habitat/real-time-temperature-sites/crooked-creek/" TargetMode="External" /><Relationship Type="http://schemas.openxmlformats.org/officeDocument/2006/relationships/hyperlink" Id="rId145" Target="https://inletkeeper.org/wp-content/uploads/2017/10/Airborne-Thermal-Infrared-Remote-Sensing-Anchor-River-Basin-Alaska.pdf" TargetMode="External" /><Relationship Type="http://schemas.openxmlformats.org/officeDocument/2006/relationships/hyperlink" Id="rId135" Target="https://inletkeeper.org/wp-content/uploads/2017/10/Science-based-Land-Conservation-report.pdf" TargetMode="External" /><Relationship Type="http://schemas.openxmlformats.org/officeDocument/2006/relationships/hyperlink" Id="rId14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114" Target="https://rpubs.com/kwf/867931" TargetMode="External" /><Relationship Type="http://schemas.openxmlformats.org/officeDocument/2006/relationships/hyperlink" Id="rId113"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2022-12-14T20:24:21Z</dcterms:created>
  <dcterms:modified xsi:type="dcterms:W3CDTF">2022-12-14T20:24:21Z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