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B6AB8"/>
          <w:sz w:val="30"/>
          <w:szCs w:val="30"/>
        </w:rPr>
        <w:t xml:space="preserve">SOFTWARE REQUIREMENTS SPECIFICATION</w:t>
      </w:r>
    </w:p>
    <w:p>
      <w:pPr>
        <w:spacing w:after="160"/>
        <w:jc w:val="center"/>
      </w:pPr>
      <w:r>
        <w:rPr>
          <w:b/>
          <w:bCs/>
          <w:sz w:val="64"/>
          <w:szCs w:val="64"/>
        </w:rPr>
        <w:t xml:space="preserve">Provenance</w:t>
      </w:r>
    </w:p>
    <w:p>
      <w:pPr>
        <w:spacing w:after="100"/>
        <w:jc w:val="center"/>
      </w:pPr>
      <w:r>
        <w:rPr>
          <w:i/>
          <w:iCs/>
          <w:color w:val="4A5568"/>
          <w:sz w:val="28"/>
          <w:szCs w:val="28"/>
        </w:rPr>
        <w:t xml:space="preserve">AI Trust Layer for Environmental Data</w:t>
      </w:r>
    </w:p>
    <w:p>
      <w:pPr>
        <w:spacing w:after="800"/>
        <w:jc w:val="center"/>
      </w:pPr>
      <w:r>
        <w:rPr>
          <w:color w:val="4A5568"/>
          <w:sz w:val="20"/>
          <w:szCs w:val="20"/>
        </w:rPr>
        <w:t xml:space="preserve">An AI trust layer for environmental sensor networks — DEIK.AI Challenge 2026, Track 2B, University of Debrecen</w:t>
      </w:r>
    </w:p>
    <w:p>
      <w:pPr>
        <w:pBdr>
          <w:bottom w:val="single" w:color="1B6AB8" w:sz="12" w:space="1"/>
        </w:pBdr>
        <w:spacing w:after="800"/>
      </w:pPr>
    </w:p>
    <w:p>
      <w:pPr>
        <w:spacing w:after="80"/>
        <w:jc w:val="center"/>
      </w:pPr>
      <w:r>
        <w:rPr>
          <w:b/>
          <w:bCs/>
        </w:rPr>
        <w:t xml:space="preserve">Document Version: </w:t>
      </w:r>
      <w:r>
        <w:t xml:space="preserve">1.0</w:t>
      </w:r>
    </w:p>
    <w:p>
      <w:pPr>
        <w:spacing w:after="80"/>
        <w:jc w:val="center"/>
      </w:pPr>
      <w:r>
        <w:rPr>
          <w:b/>
          <w:bCs/>
        </w:rPr>
        <w:t xml:space="preserve">Date: </w:t>
      </w:r>
      <w:r>
        <w:t xml:space="preserve">24 August 2026</w:t>
      </w:r>
    </w:p>
    <w:p>
      <w:pPr>
        <w:spacing w:after="80"/>
        <w:jc w:val="center"/>
      </w:pPr>
      <w:r>
        <w:rPr>
          <w:b/>
          <w:bCs/>
        </w:rPr>
        <w:t xml:space="preserve">Status: </w:t>
      </w:r>
      <w:r>
        <w:t xml:space="preserve">Draft for review — Idea-stage entry deadline 4 September 2026; Demo-stage entry deadline 25 September 2026</w:t>
      </w:r>
    </w:p>
    <w:p>
      <w:pPr>
        <w:spacing w:after="80"/>
        <w:jc w:val="center"/>
      </w:pPr>
      <w:r>
        <w:rPr>
          <w:b/>
          <w:bCs/>
        </w:rPr>
        <w:t xml:space="preserve">Source Repository: </w:t>
      </w:r>
      <w:r>
        <w:t xml:space="preserve">github.com/Kenastark/Provenance (public)</w:t>
      </w:r>
    </w:p>
    <w:p>
      <w:pPr>
        <w:spacing w:after="80"/>
        <w:jc w:val="center"/>
      </w:pPr>
      <w:r>
        <w:rPr>
          <w:b/>
          <w:bCs/>
        </w:rPr>
        <w:t xml:space="preserve">Prepared for: </w:t>
      </w:r>
      <w:r>
        <w:t xml:space="preserve">Ikenna — MSc Data Science, Department of Data Science and Visualization, University of Debrecen</w:t>
      </w:r>
    </w:p>
    <w:p>
      <w:pPr>
        <w:spacing w:before="800"/>
        <w:jc w:val="center"/>
      </w:pPr>
      <w:r>
        <w:rPr>
          <w:i/>
          <w:iCs/>
          <w:color w:val="4A5568"/>
          <w:sz w:val="18"/>
          <w:szCs w:val="18"/>
        </w:rPr>
        <w:t xml:space="preserve">This document is derived from a structured review of the Provenance source repository. Every substantive technical claim is annotated with the evidence that supports it. Where evidence was insufficient to confirm a capability, this is stated explicitly rather than assumed.</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60" w:line="276"/>
      </w:pPr>
      <w:r>
        <w:t xml:space="preserve">This Software Requirements Specification (SRS) documents the requirements, architecture, and current implementation state of Provenance, an AI trust layer for the Debrecen Green Sentinel environmental sensor network, built as an entry to the DEIK.AI Challenge 2026 (Track 2B — Urban Environmental Monitoring) at the University of Debrecen. The purpose of this document is to give developers, architects, QA engineers, product managers, technical reviewers, academic evaluators, investors, potential customers, and future contributors a single, evidence-based reference for what the system does, how it is built, and where it currently stands relative to its stated product direction.</w:t>
      </w:r>
    </w:p>
    <w:p>
      <w:pPr>
        <w:spacing w:after="160" w:line="276"/>
      </w:pPr>
      <w:r>
        <w:t xml:space="preserve">This SRS is derived primarily from a structured review of the project's public source repository (github.com/Kenastark/Provenance): source code, configuration, database models, API route definitions, tests, CI configuration, architecture decision records, model cards, and methodology documents. It reflects the state of the repository as reviewed on 24 August 2026 and does not assume capabilities beyond what that review could establish.</w:t>
      </w:r>
    </w:p>
    <w:p>
      <w:pPr>
        <w:pStyle w:val="Heading2"/>
        <w:spacing w:after="150" w:before="300"/>
      </w:pPr>
      <w:r>
        <w:t xml:space="preserve">1.2 Scope</w:t>
      </w:r>
    </w:p>
    <w:p>
      <w:pPr>
        <w:spacing w:after="160" w:line="276"/>
      </w:pPr>
      <w:r>
        <w:t xml:space="preserve">Provenance scores the genuineness of environmental sensor readings from an 18-station network (16 land stations plus 2 surface-water points) and explains every score in terms an operator could defend to a regulator. The system's scope, as implemented, covers:</w:t>
      </w:r>
    </w:p>
    <w:p>
      <w:pPr>
        <w:pStyle w:val="ListParagraph"/>
        <w:numPr>
          <w:ilvl w:val="0"/>
          <w:numId w:val="1"/>
        </w:numPr>
        <w:spacing w:after="80" w:line="264"/>
      </w:pPr>
      <w:r>
        <w:t xml:space="preserve">Ingesting and schema-validating raw environmental, traffic, weather, and transit data drops.</w:t>
      </w:r>
    </w:p>
    <w:p>
      <w:pPr>
        <w:pStyle w:val="ListParagraph"/>
        <w:numPr>
          <w:ilvl w:val="0"/>
          <w:numId w:val="1"/>
        </w:numPr>
        <w:spacing w:after="80" w:line="264"/>
      </w:pPr>
      <w:r>
        <w:t xml:space="preserve">Auditing the reading corpus for silent data-quality defects that conventional completeness metrics do not surface.</w:t>
      </w:r>
    </w:p>
    <w:p>
      <w:pPr>
        <w:pStyle w:val="ListParagraph"/>
        <w:numPr>
          <w:ilvl w:val="0"/>
          <w:numId w:val="1"/>
        </w:numPr>
        <w:spacing w:after="80" w:line="264"/>
      </w:pPr>
      <w:r>
        <w:t xml:space="preserve">Computing a component-explained Trust Score per station and time, combining deterministic health, imputation uncertainty, cross-sensor consistency, and physical plausibility.</w:t>
      </w:r>
    </w:p>
    <w:p>
      <w:pPr>
        <w:pStyle w:val="ListParagraph"/>
        <w:numPr>
          <w:ilvl w:val="0"/>
          <w:numId w:val="1"/>
        </w:numPr>
        <w:spacing w:after="80" w:line="264"/>
      </w:pPr>
      <w:r>
        <w:t xml:space="preserve">Adjudicating large events as real pollutant propagation versus sensor fault, using a wind-conditioned graph model and an optional learned (HST-GAT) alternative with calibrated conformal intervals.</w:t>
      </w:r>
    </w:p>
    <w:p>
      <w:pPr>
        <w:pStyle w:val="ListParagraph"/>
        <w:numPr>
          <w:ilvl w:val="0"/>
          <w:numId w:val="1"/>
        </w:numPr>
        <w:spacing w:after="80" w:line="264"/>
      </w:pPr>
      <w:r>
        <w:t xml:space="preserve">Deweathering pollutant series and classifying probable sensor faults with machine learning, with SHAP-based explanation.</w:t>
      </w:r>
    </w:p>
    <w:p>
      <w:pPr>
        <w:pStyle w:val="ListParagraph"/>
        <w:numPr>
          <w:ilvl w:val="0"/>
          <w:numId w:val="1"/>
        </w:numPr>
        <w:spacing w:after="80" w:line="264"/>
      </w:pPr>
      <w:r>
        <w:t xml:space="preserve">Operating a maintenance queue, a risk-ranked Alert Centre, and a human sign-off gate that every public-facing dispatch must pass through.</w:t>
      </w:r>
    </w:p>
    <w:p>
      <w:pPr>
        <w:pStyle w:val="ListParagraph"/>
        <w:numPr>
          <w:ilvl w:val="0"/>
          <w:numId w:val="1"/>
        </w:numPr>
        <w:spacing w:after="80" w:line="264"/>
      </w:pPr>
      <w:r>
        <w:t xml:space="preserve">Presenting findings through a role-gated FastAPI backend and a React/TypeScript operator dashboard.</w:t>
      </w:r>
    </w:p>
    <w:p>
      <w:pPr>
        <w:spacing w:after="160" w:line="276"/>
      </w:pPr>
      <w:r>
        <w:t xml:space="preserve">Out of scope for the current system, as established by this review: mobile applications, a public self-service dataset upload workflow for third parties, multi-tenant/multi-network deployment, and a production Kubernetes deployment (a stated but unbuilt future direction). Section 32 (Gap Analysis) and Section 33 (Future Requirements) detail these boundaries.</w:t>
      </w:r>
    </w:p>
    <w:p>
      <w:pPr>
        <w:pStyle w:val="Heading2"/>
        <w:spacing w:after="150" w:before="300"/>
      </w:pPr>
      <w:r>
        <w:t xml:space="preserve">1.3 Product Vision</w:t>
      </w:r>
    </w:p>
    <w:p>
      <w:pPr>
        <w:spacing w:after="160" w:line="276"/>
      </w:pPr>
      <w:r>
        <w:t xml:space="preserve">The product's own framing, taken from its README, is direct: '149,683 readings over 30 days. Roughly 99.95% complete. By every conventional measure — uptime, gap counts, last-seen timestamps — Debrecen's Green Sentinel network is perfectly healthy. It isn't.' Provenance exists because a number on a screen looks the same whether it is true or broken, and its vision is to be the layer that tells the difference — scoring every reading for genuineness and explaining the reason in language an operator could defend in a council meeting. The system deliberately never auto-publishes a public alert; every public-facing action passes through a human sign-off step by design.</w:t>
      </w:r>
    </w:p>
    <w:p>
      <w:pPr>
        <w:pStyle w:val="Heading2"/>
        <w:spacing w:after="150" w:before="300"/>
      </w:pPr>
      <w:r>
        <w:t xml:space="preserve">1.4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6AB8" w:val="clear"/>
            <w:tcMar>
              <w:top w:type="dxa" w:w="80"/>
              <w:left w:type="dxa" w:w="100"/>
              <w:bottom w:type="dxa" w:w="80"/>
              <w:right w:type="dxa" w:w="100"/>
            </w:tcMar>
            <w:vAlign w:val="top"/>
          </w:tcPr>
          <w:p>
            <w:pPr>
              <w:spacing w:after="0"/>
            </w:pPr>
            <w:r>
              <w:rPr>
                <w:b/>
                <w:bCs/>
                <w:color w:val="FFFFFF"/>
                <w:sz w:val="19"/>
                <w:szCs w:val="19"/>
              </w:rPr>
              <w:t xml:space="preserve">Audience</w:t>
            </w:r>
          </w:p>
        </w:tc>
        <w:tc>
          <w:tcPr>
            <w:tcW w:type="dxa" w:w="6360"/>
            <w:shd w:fill="1B6AB8" w:val="clear"/>
            <w:tcMar>
              <w:top w:type="dxa" w:w="80"/>
              <w:left w:type="dxa" w:w="100"/>
              <w:bottom w:type="dxa" w:w="80"/>
              <w:right w:type="dxa" w:w="100"/>
            </w:tcMar>
            <w:vAlign w:val="top"/>
          </w:tcPr>
          <w:p>
            <w:pPr>
              <w:spacing w:after="0"/>
            </w:pPr>
            <w:r>
              <w:rPr>
                <w:b/>
                <w:bCs/>
                <w:color w:val="FFFFFF"/>
                <w:sz w:val="19"/>
                <w:szCs w:val="19"/>
              </w:rPr>
              <w:t xml:space="preserve">Primary Use of This Document</w:t>
            </w:r>
          </w:p>
        </w:tc>
      </w:tr>
      <w:tr>
        <w:tc>
          <w:tcPr>
            <w:tcW w:type="dxa" w:w="3000"/>
            <w:tcMar>
              <w:top w:type="dxa" w:w="80"/>
              <w:left w:type="dxa" w:w="100"/>
              <w:bottom w:type="dxa" w:w="80"/>
              <w:right w:type="dxa" w:w="100"/>
            </w:tcMar>
            <w:vAlign w:val="top"/>
          </w:tcPr>
          <w:p>
            <w:pPr>
              <w:spacing w:after="0"/>
            </w:pPr>
            <w:r>
              <w:rPr>
                <w:sz w:val="19"/>
                <w:szCs w:val="19"/>
              </w:rPr>
              <w:t xml:space="preserve">Software developers</w:t>
            </w:r>
          </w:p>
        </w:tc>
        <w:tc>
          <w:tcPr>
            <w:tcW w:type="dxa" w:w="6360"/>
            <w:tcMar>
              <w:top w:type="dxa" w:w="80"/>
              <w:left w:type="dxa" w:w="100"/>
              <w:bottom w:type="dxa" w:w="80"/>
              <w:right w:type="dxa" w:w="100"/>
            </w:tcMar>
            <w:vAlign w:val="top"/>
          </w:tcPr>
          <w:p>
            <w:pPr>
              <w:spacing w:after="0"/>
            </w:pPr>
            <w:r>
              <w:rPr>
                <w:sz w:val="19"/>
                <w:szCs w:val="19"/>
              </w:rPr>
              <w:t xml:space="preserve">Understand module boundaries, data models, and API contracts before extending the codebase.</w:t>
            </w:r>
          </w:p>
        </w:tc>
      </w:tr>
      <w:tr>
        <w:tc>
          <w:tcPr>
            <w:tcW w:type="dxa" w:w="3000"/>
            <w:shd w:fill="F5F8FC" w:val="clear"/>
            <w:tcMar>
              <w:top w:type="dxa" w:w="80"/>
              <w:left w:type="dxa" w:w="100"/>
              <w:bottom w:type="dxa" w:w="80"/>
              <w:right w:type="dxa" w:w="100"/>
            </w:tcMar>
            <w:vAlign w:val="top"/>
          </w:tcPr>
          <w:p>
            <w:pPr>
              <w:spacing w:after="0"/>
            </w:pPr>
            <w:r>
              <w:rPr>
                <w:sz w:val="19"/>
                <w:szCs w:val="19"/>
              </w:rPr>
              <w:t xml:space="preserve">Software architects</w:t>
            </w:r>
          </w:p>
        </w:tc>
        <w:tc>
          <w:tcPr>
            <w:tcW w:type="dxa" w:w="6360"/>
            <w:shd w:fill="F5F8FC" w:val="clear"/>
            <w:tcMar>
              <w:top w:type="dxa" w:w="80"/>
              <w:left w:type="dxa" w:w="100"/>
              <w:bottom w:type="dxa" w:w="80"/>
              <w:right w:type="dxa" w:w="100"/>
            </w:tcMar>
            <w:vAlign w:val="top"/>
          </w:tcPr>
          <w:p>
            <w:pPr>
              <w:spacing w:after="0"/>
            </w:pPr>
            <w:r>
              <w:rPr>
                <w:sz w:val="19"/>
                <w:szCs w:val="19"/>
              </w:rPr>
              <w:t xml:space="preserve">Evaluate the pipeline architecture, layering rules, and technology choices.</w:t>
            </w:r>
          </w:p>
        </w:tc>
      </w:tr>
      <w:tr>
        <w:tc>
          <w:tcPr>
            <w:tcW w:type="dxa" w:w="3000"/>
            <w:tcMar>
              <w:top w:type="dxa" w:w="80"/>
              <w:left w:type="dxa" w:w="100"/>
              <w:bottom w:type="dxa" w:w="80"/>
              <w:right w:type="dxa" w:w="100"/>
            </w:tcMar>
            <w:vAlign w:val="top"/>
          </w:tcPr>
          <w:p>
            <w:pPr>
              <w:spacing w:after="0"/>
            </w:pPr>
            <w:r>
              <w:rPr>
                <w:sz w:val="19"/>
                <w:szCs w:val="19"/>
              </w:rPr>
              <w:t xml:space="preserve">QA engineers</w:t>
            </w:r>
          </w:p>
        </w:tc>
        <w:tc>
          <w:tcPr>
            <w:tcW w:type="dxa" w:w="6360"/>
            <w:tcMar>
              <w:top w:type="dxa" w:w="80"/>
              <w:left w:type="dxa" w:w="100"/>
              <w:bottom w:type="dxa" w:w="80"/>
              <w:right w:type="dxa" w:w="100"/>
            </w:tcMar>
            <w:vAlign w:val="top"/>
          </w:tcPr>
          <w:p>
            <w:pPr>
              <w:spacing w:after="0"/>
            </w:pPr>
            <w:r>
              <w:rPr>
                <w:sz w:val="19"/>
                <w:szCs w:val="19"/>
              </w:rPr>
              <w:t xml:space="preserve">Derive test cases from functional/non-functional requirements and acceptance criteria.</w:t>
            </w:r>
          </w:p>
        </w:tc>
      </w:tr>
      <w:tr>
        <w:tc>
          <w:tcPr>
            <w:tcW w:type="dxa" w:w="3000"/>
            <w:shd w:fill="F5F8FC" w:val="clear"/>
            <w:tcMar>
              <w:top w:type="dxa" w:w="80"/>
              <w:left w:type="dxa" w:w="100"/>
              <w:bottom w:type="dxa" w:w="80"/>
              <w:right w:type="dxa" w:w="100"/>
            </w:tcMar>
            <w:vAlign w:val="top"/>
          </w:tcPr>
          <w:p>
            <w:pPr>
              <w:spacing w:after="0"/>
            </w:pPr>
            <w:r>
              <w:rPr>
                <w:sz w:val="19"/>
                <w:szCs w:val="19"/>
              </w:rPr>
              <w:t xml:space="preserve">Product managers</w:t>
            </w:r>
          </w:p>
        </w:tc>
        <w:tc>
          <w:tcPr>
            <w:tcW w:type="dxa" w:w="6360"/>
            <w:shd w:fill="F5F8FC" w:val="clear"/>
            <w:tcMar>
              <w:top w:type="dxa" w:w="80"/>
              <w:left w:type="dxa" w:w="100"/>
              <w:bottom w:type="dxa" w:w="80"/>
              <w:right w:type="dxa" w:w="100"/>
            </w:tcMar>
            <w:vAlign w:val="top"/>
          </w:tcPr>
          <w:p>
            <w:pPr>
              <w:spacing w:after="0"/>
            </w:pPr>
            <w:r>
              <w:rPr>
                <w:sz w:val="19"/>
                <w:szCs w:val="19"/>
              </w:rPr>
              <w:t xml:space="preserve">Track implementation status against the product roadmap and prioritise future work.</w:t>
            </w:r>
          </w:p>
        </w:tc>
      </w:tr>
      <w:tr>
        <w:tc>
          <w:tcPr>
            <w:tcW w:type="dxa" w:w="3000"/>
            <w:tcMar>
              <w:top w:type="dxa" w:w="80"/>
              <w:left w:type="dxa" w:w="100"/>
              <w:bottom w:type="dxa" w:w="80"/>
              <w:right w:type="dxa" w:w="100"/>
            </w:tcMar>
            <w:vAlign w:val="top"/>
          </w:tcPr>
          <w:p>
            <w:pPr>
              <w:spacing w:after="0"/>
            </w:pPr>
            <w:r>
              <w:rPr>
                <w:sz w:val="19"/>
                <w:szCs w:val="19"/>
              </w:rPr>
              <w:t xml:space="preserve">Technical reviewers / academic evaluators</w:t>
            </w:r>
          </w:p>
        </w:tc>
        <w:tc>
          <w:tcPr>
            <w:tcW w:type="dxa" w:w="6360"/>
            <w:tcMar>
              <w:top w:type="dxa" w:w="80"/>
              <w:left w:type="dxa" w:w="100"/>
              <w:bottom w:type="dxa" w:w="80"/>
              <w:right w:type="dxa" w:w="100"/>
            </w:tcMar>
            <w:vAlign w:val="top"/>
          </w:tcPr>
          <w:p>
            <w:pPr>
              <w:spacing w:after="0"/>
            </w:pPr>
            <w:r>
              <w:rPr>
                <w:sz w:val="19"/>
                <w:szCs w:val="19"/>
              </w:rPr>
              <w:t xml:space="preserve">Assess engineering rigor, evidence quality, and the honesty of implementation-status claims.</w:t>
            </w:r>
          </w:p>
        </w:tc>
      </w:tr>
      <w:tr>
        <w:tc>
          <w:tcPr>
            <w:tcW w:type="dxa" w:w="3000"/>
            <w:shd w:fill="F5F8FC" w:val="clear"/>
            <w:tcMar>
              <w:top w:type="dxa" w:w="80"/>
              <w:left w:type="dxa" w:w="100"/>
              <w:bottom w:type="dxa" w:w="80"/>
              <w:right w:type="dxa" w:w="100"/>
            </w:tcMar>
            <w:vAlign w:val="top"/>
          </w:tcPr>
          <w:p>
            <w:pPr>
              <w:spacing w:after="0"/>
            </w:pPr>
            <w:r>
              <w:rPr>
                <w:sz w:val="19"/>
                <w:szCs w:val="19"/>
              </w:rPr>
              <w:t xml:space="preserve">Investors / potential customers</w:t>
            </w:r>
          </w:p>
        </w:tc>
        <w:tc>
          <w:tcPr>
            <w:tcW w:type="dxa" w:w="6360"/>
            <w:shd w:fill="F5F8FC" w:val="clear"/>
            <w:tcMar>
              <w:top w:type="dxa" w:w="80"/>
              <w:left w:type="dxa" w:w="100"/>
              <w:bottom w:type="dxa" w:w="80"/>
              <w:right w:type="dxa" w:w="100"/>
            </w:tcMar>
            <w:vAlign w:val="top"/>
          </w:tcPr>
          <w:p>
            <w:pPr>
              <w:spacing w:after="0"/>
            </w:pPr>
            <w:r>
              <w:rPr>
                <w:sz w:val="19"/>
                <w:szCs w:val="19"/>
              </w:rPr>
              <w:t xml:space="preserve">Understand current capability, technical maturity, and identified risk.</w:t>
            </w:r>
          </w:p>
        </w:tc>
      </w:tr>
      <w:tr>
        <w:tc>
          <w:tcPr>
            <w:tcW w:type="dxa" w:w="3000"/>
            <w:tcMar>
              <w:top w:type="dxa" w:w="80"/>
              <w:left w:type="dxa" w:w="100"/>
              <w:bottom w:type="dxa" w:w="80"/>
              <w:right w:type="dxa" w:w="100"/>
            </w:tcMar>
            <w:vAlign w:val="top"/>
          </w:tcPr>
          <w:p>
            <w:pPr>
              <w:spacing w:after="0"/>
            </w:pPr>
            <w:r>
              <w:rPr>
                <w:sz w:val="19"/>
                <w:szCs w:val="19"/>
              </w:rPr>
              <w:t xml:space="preserve">Future contributors</w:t>
            </w:r>
          </w:p>
        </w:tc>
        <w:tc>
          <w:tcPr>
            <w:tcW w:type="dxa" w:w="6360"/>
            <w:tcMar>
              <w:top w:type="dxa" w:w="80"/>
              <w:left w:type="dxa" w:w="100"/>
              <w:bottom w:type="dxa" w:w="80"/>
              <w:right w:type="dxa" w:w="100"/>
            </w:tcMar>
            <w:vAlign w:val="top"/>
          </w:tcPr>
          <w:p>
            <w:pPr>
              <w:spacing w:after="0"/>
            </w:pPr>
            <w:r>
              <w:rPr>
                <w:sz w:val="19"/>
                <w:szCs w:val="19"/>
              </w:rPr>
              <w:t xml:space="preserve">Onboard quickly with a single source of truth for what exists versus what is proposed.</w:t>
            </w:r>
          </w:p>
        </w:tc>
      </w:tr>
    </w:tbl>
    <w:p>
      <w:pPr>
        <w:pStyle w:val="Heading2"/>
        <w:spacing w:after="150" w:before="300"/>
      </w:pPr>
      <w:r>
        <w:t xml:space="preserve">1.5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6AB8" w:val="clear"/>
            <w:tcMar>
              <w:top w:type="dxa" w:w="80"/>
              <w:left w:type="dxa" w:w="100"/>
              <w:bottom w:type="dxa" w:w="80"/>
              <w:right w:type="dxa" w:w="100"/>
            </w:tcMar>
            <w:vAlign w:val="top"/>
          </w:tcPr>
          <w:p>
            <w:pPr>
              <w:spacing w:after="0"/>
            </w:pPr>
            <w:r>
              <w:rPr>
                <w:b/>
                <w:bCs/>
                <w:color w:val="FFFFFF"/>
                <w:sz w:val="19"/>
                <w:szCs w:val="19"/>
              </w:rPr>
              <w:t xml:space="preserve">Term</w:t>
            </w:r>
          </w:p>
        </w:tc>
        <w:tc>
          <w:tcPr>
            <w:tcW w:type="dxa" w:w="6760"/>
            <w:shd w:fill="1B6AB8" w:val="clear"/>
            <w:tcMar>
              <w:top w:type="dxa" w:w="80"/>
              <w:left w:type="dxa" w:w="100"/>
              <w:bottom w:type="dxa" w:w="80"/>
              <w:right w:type="dxa" w:w="100"/>
            </w:tcMar>
            <w:vAlign w:val="top"/>
          </w:tcPr>
          <w:p>
            <w:pPr>
              <w:spacing w:after="0"/>
            </w:pPr>
            <w:r>
              <w:rPr>
                <w:b/>
                <w:bCs/>
                <w:color w:val="FFFFFF"/>
                <w:sz w:val="19"/>
                <w:szCs w:val="19"/>
              </w:rPr>
              <w:t xml:space="preserve">Definition</w:t>
            </w:r>
          </w:p>
        </w:tc>
      </w:tr>
      <w:tr>
        <w:tc>
          <w:tcPr>
            <w:tcW w:type="dxa" w:w="2600"/>
            <w:tcMar>
              <w:top w:type="dxa" w:w="80"/>
              <w:left w:type="dxa" w:w="100"/>
              <w:bottom w:type="dxa" w:w="80"/>
              <w:right w:type="dxa" w:w="100"/>
            </w:tcMar>
            <w:vAlign w:val="top"/>
          </w:tcPr>
          <w:p>
            <w:pPr>
              <w:spacing w:after="0"/>
            </w:pPr>
            <w:r>
              <w:rPr>
                <w:sz w:val="19"/>
                <w:szCs w:val="19"/>
              </w:rPr>
              <w:t xml:space="preserve">Trust Score</w:t>
            </w:r>
          </w:p>
        </w:tc>
        <w:tc>
          <w:tcPr>
            <w:tcW w:type="dxa" w:w="6760"/>
            <w:tcMar>
              <w:top w:type="dxa" w:w="80"/>
              <w:left w:type="dxa" w:w="100"/>
              <w:bottom w:type="dxa" w:w="80"/>
              <w:right w:type="dxa" w:w="100"/>
            </w:tcMar>
            <w:vAlign w:val="top"/>
          </w:tcPr>
          <w:p>
            <w:pPr>
              <w:spacing w:after="0"/>
            </w:pPr>
            <w:r>
              <w:rPr>
                <w:sz w:val="19"/>
                <w:szCs w:val="19"/>
              </w:rPr>
              <w:t xml:space="preserve">A per-(station, timestamp) score combining HealthConf, ImputationUncertainty, CrossSensorConsistency, and PhysicalPlausibility, always returned with its component breakdown and reason code(s).</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Defect rate</w:t>
            </w:r>
          </w:p>
        </w:tc>
        <w:tc>
          <w:tcPr>
            <w:tcW w:type="dxa" w:w="6760"/>
            <w:shd w:fill="F5F8FC" w:val="clear"/>
            <w:tcMar>
              <w:top w:type="dxa" w:w="80"/>
              <w:left w:type="dxa" w:w="100"/>
              <w:bottom w:type="dxa" w:w="80"/>
              <w:right w:type="dxa" w:w="100"/>
            </w:tcMar>
            <w:vAlign w:val="top"/>
          </w:tcPr>
          <w:p>
            <w:pPr>
              <w:spacing w:after="0"/>
            </w:pPr>
            <w:r>
              <w:rPr>
                <w:sz w:val="19"/>
                <w:szCs w:val="19"/>
              </w:rPr>
              <w:t xml:space="preserve">defective covered cells / covered cells, where a covered cell is one (station, parameter, tick) the station actually measures; excludes structural absences.</w:t>
            </w:r>
          </w:p>
        </w:tc>
      </w:tr>
      <w:tr>
        <w:tc>
          <w:tcPr>
            <w:tcW w:type="dxa" w:w="2600"/>
            <w:tcMar>
              <w:top w:type="dxa" w:w="80"/>
              <w:left w:type="dxa" w:w="100"/>
              <w:bottom w:type="dxa" w:w="80"/>
              <w:right w:type="dxa" w:w="100"/>
            </w:tcMar>
            <w:vAlign w:val="top"/>
          </w:tcPr>
          <w:p>
            <w:pPr>
              <w:spacing w:after="0"/>
            </w:pPr>
            <w:r>
              <w:rPr>
                <w:sz w:val="19"/>
                <w:szCs w:val="19"/>
              </w:rPr>
              <w:t xml:space="preserve">Reason code</w:t>
            </w:r>
          </w:p>
        </w:tc>
        <w:tc>
          <w:tcPr>
            <w:tcW w:type="dxa" w:w="6760"/>
            <w:tcMar>
              <w:top w:type="dxa" w:w="80"/>
              <w:left w:type="dxa" w:w="100"/>
              <w:bottom w:type="dxa" w:w="80"/>
              <w:right w:type="dxa" w:w="100"/>
            </w:tcMar>
            <w:vAlign w:val="top"/>
          </w:tcPr>
          <w:p>
            <w:pPr>
              <w:spacing w:after="0"/>
            </w:pPr>
            <w:r>
              <w:rPr>
                <w:sz w:val="19"/>
                <w:szCs w:val="19"/>
              </w:rPr>
              <w:t xml:space="preserve">A registered identifier (R01–R23 audit findings; T00–T06 adjudication/trust findings) with a documented meaning and a flag for whether it counts toward the headline defect rate.</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HST-GAT</w:t>
            </w:r>
          </w:p>
        </w:tc>
        <w:tc>
          <w:tcPr>
            <w:tcW w:type="dxa" w:w="6760"/>
            <w:shd w:fill="F5F8FC" w:val="clear"/>
            <w:tcMar>
              <w:top w:type="dxa" w:w="80"/>
              <w:left w:type="dxa" w:w="100"/>
              <w:bottom w:type="dxa" w:w="80"/>
              <w:right w:type="dxa" w:w="100"/>
            </w:tcMar>
            <w:vAlign w:val="top"/>
          </w:tcPr>
          <w:p>
            <w:pPr>
              <w:spacing w:after="0"/>
            </w:pPr>
            <w:r>
              <w:rPr>
                <w:sz w:val="19"/>
                <w:szCs w:val="19"/>
              </w:rPr>
              <w:t xml:space="preserve">Heterogeneous Spatio-Temporal Graph Attention Network — the learned adjudication/imputation model, trained as a masked autoencoder.</w:t>
            </w:r>
          </w:p>
        </w:tc>
      </w:tr>
      <w:tr>
        <w:tc>
          <w:tcPr>
            <w:tcW w:type="dxa" w:w="2600"/>
            <w:tcMar>
              <w:top w:type="dxa" w:w="80"/>
              <w:left w:type="dxa" w:w="100"/>
              <w:bottom w:type="dxa" w:w="80"/>
              <w:right w:type="dxa" w:w="100"/>
            </w:tcMar>
            <w:vAlign w:val="top"/>
          </w:tcPr>
          <w:p>
            <w:pPr>
              <w:spacing w:after="0"/>
            </w:pPr>
            <w:r>
              <w:rPr>
                <w:sz w:val="19"/>
                <w:szCs w:val="19"/>
              </w:rPr>
              <w:t xml:space="preserve">Adjudication verdict</w:t>
            </w:r>
          </w:p>
        </w:tc>
        <w:tc>
          <w:tcPr>
            <w:tcW w:type="dxa" w:w="6760"/>
            <w:tcMar>
              <w:top w:type="dxa" w:w="80"/>
              <w:left w:type="dxa" w:w="100"/>
              <w:bottom w:type="dxa" w:w="80"/>
              <w:right w:type="dxa" w:w="100"/>
            </w:tcMar>
            <w:vAlign w:val="top"/>
          </w:tcPr>
          <w:p>
            <w:pPr>
              <w:spacing w:after="0"/>
            </w:pPr>
            <w:r>
              <w:rPr>
                <w:sz w:val="19"/>
                <w:szCs w:val="19"/>
              </w:rPr>
              <w:t xml:space="preserve">One of LIKELY_REAL, LIKELY_FAULT, AMBIGUOUS, or a documented NOT_APPLICABLE reason, assigned to a candidate event.</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Sign-off gate</w:t>
            </w:r>
          </w:p>
        </w:tc>
        <w:tc>
          <w:tcPr>
            <w:tcW w:type="dxa" w:w="6760"/>
            <w:shd w:fill="F5F8FC" w:val="clear"/>
            <w:tcMar>
              <w:top w:type="dxa" w:w="80"/>
              <w:left w:type="dxa" w:w="100"/>
              <w:bottom w:type="dxa" w:w="80"/>
              <w:right w:type="dxa" w:w="100"/>
            </w:tcMar>
            <w:vAlign w:val="top"/>
          </w:tcPr>
          <w:p>
            <w:pPr>
              <w:spacing w:after="0"/>
            </w:pPr>
            <w:r>
              <w:rPr>
                <w:sz w:val="19"/>
                <w:szCs w:val="19"/>
              </w:rPr>
              <w:t xml:space="preserve">The single choke point (api/decision/) through which every public-facing alert dispatch must pass, requiring a valid, non-expired, non-revoked operator sign-off.</w:t>
            </w:r>
          </w:p>
        </w:tc>
      </w:tr>
      <w:tr>
        <w:tc>
          <w:tcPr>
            <w:tcW w:type="dxa" w:w="2600"/>
            <w:tcMar>
              <w:top w:type="dxa" w:w="80"/>
              <w:left w:type="dxa" w:w="100"/>
              <w:bottom w:type="dxa" w:w="80"/>
              <w:right w:type="dxa" w:w="100"/>
            </w:tcMar>
            <w:vAlign w:val="top"/>
          </w:tcPr>
          <w:p>
            <w:pPr>
              <w:spacing w:after="0"/>
            </w:pPr>
            <w:r>
              <w:rPr>
                <w:sz w:val="19"/>
                <w:szCs w:val="19"/>
              </w:rPr>
              <w:t xml:space="preserve">Coverage fact</w:t>
            </w:r>
          </w:p>
        </w:tc>
        <w:tc>
          <w:tcPr>
            <w:tcW w:type="dxa" w:w="6760"/>
            <w:tcMar>
              <w:top w:type="dxa" w:w="80"/>
              <w:left w:type="dxa" w:w="100"/>
              <w:bottom w:type="dxa" w:w="80"/>
              <w:right w:type="dxa" w:w="100"/>
            </w:tcMar>
            <w:vAlign w:val="top"/>
          </w:tcPr>
          <w:p>
            <w:pPr>
              <w:spacing w:after="0"/>
            </w:pPr>
            <w:r>
              <w:rPr>
                <w:sz w:val="19"/>
                <w:szCs w:val="19"/>
              </w:rPr>
              <w:t xml:space="preserve">A record that a station structurally never carries a given parameter — excluded from both the numerator and denominator of the defect rate.</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RBAC</w:t>
            </w:r>
          </w:p>
        </w:tc>
        <w:tc>
          <w:tcPr>
            <w:tcW w:type="dxa" w:w="6760"/>
            <w:shd w:fill="F5F8FC" w:val="clear"/>
            <w:tcMar>
              <w:top w:type="dxa" w:w="80"/>
              <w:left w:type="dxa" w:w="100"/>
              <w:bottom w:type="dxa" w:w="80"/>
              <w:right w:type="dxa" w:w="100"/>
            </w:tcMar>
            <w:vAlign w:val="top"/>
          </w:tcPr>
          <w:p>
            <w:pPr>
              <w:spacing w:after="0"/>
            </w:pPr>
            <w:r>
              <w:rPr>
                <w:sz w:val="19"/>
                <w:szCs w:val="19"/>
              </w:rPr>
              <w:t xml:space="preserve">Role-Based Access Control. Provenance defines four roles: public_read, researcher, operator, admin.</w:t>
            </w:r>
          </w:p>
        </w:tc>
      </w:tr>
      <w:tr>
        <w:tc>
          <w:tcPr>
            <w:tcW w:type="dxa" w:w="2600"/>
            <w:tcMar>
              <w:top w:type="dxa" w:w="80"/>
              <w:left w:type="dxa" w:w="100"/>
              <w:bottom w:type="dxa" w:w="80"/>
              <w:right w:type="dxa" w:w="100"/>
            </w:tcMar>
            <w:vAlign w:val="top"/>
          </w:tcPr>
          <w:p>
            <w:pPr>
              <w:spacing w:after="0"/>
            </w:pPr>
            <w:r>
              <w:rPr>
                <w:sz w:val="19"/>
                <w:szCs w:val="19"/>
              </w:rPr>
              <w:t xml:space="preserve">Conformal prediction</w:t>
            </w:r>
          </w:p>
        </w:tc>
        <w:tc>
          <w:tcPr>
            <w:tcW w:type="dxa" w:w="6760"/>
            <w:tcMar>
              <w:top w:type="dxa" w:w="80"/>
              <w:left w:type="dxa" w:w="100"/>
              <w:bottom w:type="dxa" w:w="80"/>
              <w:right w:type="dxa" w:w="100"/>
            </w:tcMar>
            <w:vAlign w:val="top"/>
          </w:tcPr>
          <w:p>
            <w:pPr>
              <w:spacing w:after="0"/>
            </w:pPr>
            <w:r>
              <w:rPr>
                <w:sz w:val="19"/>
                <w:szCs w:val="19"/>
              </w:rPr>
              <w:t xml:space="preserve">A calibration technique producing a coverage-guaranteed prediction interval, applied to the HST-GAT output.</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Green Sentinel</w:t>
            </w:r>
          </w:p>
        </w:tc>
        <w:tc>
          <w:tcPr>
            <w:tcW w:type="dxa" w:w="6760"/>
            <w:shd w:fill="F5F8FC" w:val="clear"/>
            <w:tcMar>
              <w:top w:type="dxa" w:w="80"/>
              <w:left w:type="dxa" w:w="100"/>
              <w:bottom w:type="dxa" w:w="80"/>
              <w:right w:type="dxa" w:w="100"/>
            </w:tcMar>
            <w:vAlign w:val="top"/>
          </w:tcPr>
          <w:p>
            <w:pPr>
              <w:spacing w:after="0"/>
            </w:pPr>
            <w:r>
              <w:rPr>
                <w:sz w:val="19"/>
                <w:szCs w:val="19"/>
              </w:rPr>
              <w:t xml:space="preserve">The city of Debrecen's environmental sensor network that is the subject of the audit.</w:t>
            </w:r>
          </w:p>
        </w:tc>
      </w:tr>
      <w:tr>
        <w:tc>
          <w:tcPr>
            <w:tcW w:type="dxa" w:w="2600"/>
            <w:tcMar>
              <w:top w:type="dxa" w:w="80"/>
              <w:left w:type="dxa" w:w="100"/>
              <w:bottom w:type="dxa" w:w="80"/>
              <w:right w:type="dxa" w:w="100"/>
            </w:tcMar>
            <w:vAlign w:val="top"/>
          </w:tcPr>
          <w:p>
            <w:pPr>
              <w:spacing w:after="0"/>
            </w:pPr>
            <w:r>
              <w:rPr>
                <w:sz w:val="19"/>
                <w:szCs w:val="19"/>
              </w:rPr>
              <w:t xml:space="preserve">Enclod</w:t>
            </w:r>
          </w:p>
        </w:tc>
        <w:tc>
          <w:tcPr>
            <w:tcW w:type="dxa" w:w="6760"/>
            <w:tcMar>
              <w:top w:type="dxa" w:w="80"/>
              <w:left w:type="dxa" w:w="100"/>
              <w:bottom w:type="dxa" w:w="80"/>
              <w:right w:type="dxa" w:w="100"/>
            </w:tcMar>
            <w:vAlign w:val="top"/>
          </w:tcPr>
          <w:p>
            <w:pPr>
              <w:spacing w:after="0"/>
            </w:pPr>
            <w:r>
              <w:rPr>
                <w:sz w:val="19"/>
                <w:szCs w:val="19"/>
              </w:rPr>
              <w:t xml:space="preserve">The vendor of the roadside traffic-counter hardware whose exports feed the traffic pipeline.</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DEIK.AI Challenge</w:t>
            </w:r>
          </w:p>
        </w:tc>
        <w:tc>
          <w:tcPr>
            <w:tcW w:type="dxa" w:w="6760"/>
            <w:shd w:fill="F5F8FC" w:val="clear"/>
            <w:tcMar>
              <w:top w:type="dxa" w:w="80"/>
              <w:left w:type="dxa" w:w="100"/>
              <w:bottom w:type="dxa" w:w="80"/>
              <w:right w:type="dxa" w:w="100"/>
            </w:tcMar>
            <w:vAlign w:val="top"/>
          </w:tcPr>
          <w:p>
            <w:pPr>
              <w:spacing w:after="0"/>
            </w:pPr>
            <w:r>
              <w:rPr>
                <w:sz w:val="19"/>
                <w:szCs w:val="19"/>
              </w:rPr>
              <w:t xml:space="preserve">The University of Debrecen competition (Track 2B: Urban Environmental Monitoring) this project is an entry for.</w:t>
            </w:r>
          </w:p>
        </w:tc>
      </w:tr>
    </w:tbl>
    <w:p>
      <w:pPr>
        <w:pStyle w:val="Heading2"/>
        <w:spacing w:after="150" w:before="300"/>
      </w:pPr>
      <w:r>
        <w:t xml:space="preserve">1.6 References</w:t>
      </w:r>
    </w:p>
    <w:p>
      <w:pPr>
        <w:pStyle w:val="ListParagraph"/>
        <w:numPr>
          <w:ilvl w:val="0"/>
          <w:numId w:val="1"/>
        </w:numPr>
        <w:spacing w:after="80" w:line="264"/>
      </w:pPr>
      <w:r>
        <w:t xml:space="preserve">Source repository: github.com/Kenastark/Provenance</w:t>
      </w:r>
    </w:p>
    <w:p>
      <w:pPr>
        <w:pStyle w:val="ListParagraph"/>
        <w:numPr>
          <w:ilvl w:val="0"/>
          <w:numId w:val="1"/>
        </w:numPr>
        <w:spacing w:after="80" w:line="264"/>
      </w:pPr>
      <w:r>
        <w:t xml:space="preserve">README.md — product summary, quick start, build-phase table</w:t>
      </w:r>
    </w:p>
    <w:p>
      <w:pPr>
        <w:pStyle w:val="ListParagraph"/>
        <w:numPr>
          <w:ilvl w:val="0"/>
          <w:numId w:val="1"/>
        </w:numPr>
        <w:spacing w:after="80" w:line="264"/>
      </w:pPr>
      <w:r>
        <w:t xml:space="preserve">CLAUDE.md — standing engineering rules governing the build</w:t>
      </w:r>
    </w:p>
    <w:p>
      <w:pPr>
        <w:pStyle w:val="ListParagraph"/>
        <w:numPr>
          <w:ilvl w:val="0"/>
          <w:numId w:val="1"/>
        </w:numPr>
        <w:spacing w:after="80" w:line="264"/>
      </w:pPr>
      <w:r>
        <w:t xml:space="preserve">docs/trust-score-methodology-v1.0.md, v1.1 (two revisions), v1.2-endorsement.md — the Trust Score specification and governance history</w:t>
      </w:r>
    </w:p>
    <w:p>
      <w:pPr>
        <w:pStyle w:val="ListParagraph"/>
        <w:numPr>
          <w:ilvl w:val="0"/>
          <w:numId w:val="1"/>
        </w:numPr>
        <w:spacing w:after="80" w:line="264"/>
      </w:pPr>
      <w:r>
        <w:t xml:space="preserve">docs/audit-methodology-v1.0.md, v1.1-step-change-localisation.md</w:t>
      </w:r>
    </w:p>
    <w:p>
      <w:pPr>
        <w:pStyle w:val="ListParagraph"/>
        <w:numPr>
          <w:ilvl w:val="0"/>
          <w:numId w:val="1"/>
        </w:numPr>
        <w:spacing w:after="80" w:line="264"/>
      </w:pPr>
      <w:r>
        <w:t xml:space="preserve">docs/model-cards/hst-gat-v1.md, propagation-adjudicator-v1.md</w:t>
      </w:r>
    </w:p>
    <w:p>
      <w:pPr>
        <w:pStyle w:val="ListParagraph"/>
        <w:numPr>
          <w:ilvl w:val="0"/>
          <w:numId w:val="1"/>
        </w:numPr>
        <w:spacing w:after="80" w:line="264"/>
      </w:pPr>
      <w:r>
        <w:t xml:space="preserve">docs/decisions/0001–0011 — Architecture Decision Records</w:t>
      </w:r>
    </w:p>
    <w:p>
      <w:pPr>
        <w:pStyle w:val="ListParagraph"/>
        <w:numPr>
          <w:ilvl w:val="0"/>
          <w:numId w:val="1"/>
        </w:numPr>
        <w:spacing w:after="80" w:line="264"/>
      </w:pPr>
      <w:r>
        <w:t xml:space="preserve">docs/adjudications/ker11-4100-evidence-v1.0.md, v1.1.md — the KER11 case study</w:t>
      </w:r>
    </w:p>
    <w:p>
      <w:pPr>
        <w:pStyle w:val="ListParagraph"/>
        <w:numPr>
          <w:ilvl w:val="0"/>
          <w:numId w:val="1"/>
        </w:numPr>
        <w:spacing w:after="80" w:line="264"/>
      </w:pPr>
      <w:r>
        <w:t xml:space="preserve">docs/phase-reports/phase-1-audit.md through phase-7-ops.md</w:t>
      </w:r>
    </w:p>
    <w:p>
      <w:pPr>
        <w:pStyle w:val="ListParagraph"/>
        <w:numPr>
          <w:ilvl w:val="0"/>
          <w:numId w:val="1"/>
        </w:numPr>
        <w:spacing w:after="80" w:line="264"/>
      </w:pPr>
      <w:r>
        <w:t xml:space="preserve">docs/demo/ — demo script, judge questions, one-page description, video storyboard (v1.0 and v1.1-real-data revisions)</w:t>
      </w:r>
    </w:p>
    <w:p>
      <w:pPr>
        <w:pStyle w:val="ListParagraph"/>
        <w:numPr>
          <w:ilvl w:val="0"/>
          <w:numId w:val="1"/>
        </w:numPr>
        <w:spacing w:after="80" w:line="264"/>
      </w:pPr>
      <w:r>
        <w:t xml:space="preserve">docs/monitoring-v1.0-two-planes.md</w:t>
      </w:r>
    </w:p>
    <w:p>
      <w:pPr>
        <w:pStyle w:val="ListParagraph"/>
        <w:numPr>
          <w:ilvl w:val="0"/>
          <w:numId w:val="1"/>
        </w:numPr>
        <w:spacing w:after="80" w:line="264"/>
      </w:pPr>
      <w:r>
        <w:t xml:space="preserve">CHANGELOG.md</w:t>
      </w:r>
    </w:p>
    <w:p>
      <w:pPr>
        <w:pStyle w:val="ListParagraph"/>
        <w:numPr>
          <w:ilvl w:val="0"/>
          <w:numId w:val="1"/>
        </w:numPr>
        <w:spacing w:after="80" w:line="264"/>
      </w:pPr>
      <w:r>
        <w:t xml:space="preserve">data/README.md</w:t>
      </w:r>
    </w:p>
    <w:p>
      <w:pPr>
        <w:pStyle w:val="ListParagraph"/>
        <w:numPr>
          <w:ilvl w:val="0"/>
          <w:numId w:val="1"/>
        </w:numPr>
        <w:spacing w:after="80" w:line="264"/>
      </w:pPr>
      <w:r>
        <w:t xml:space="preserve">pyproject.toml, apps/web/package.json, Makefile, .github/workflows/</w:t>
      </w:r>
    </w:p>
    <w:p>
      <w:r>
        <w:br w:type="page"/>
      </w:r>
    </w:p>
    <w:p>
      <w:pPr>
        <w:pStyle w:val="Heading1"/>
        <w:spacing w:after="200" w:before="400"/>
      </w:pPr>
      <w:r>
        <w:t xml:space="preserve">2. Product Overview</w:t>
      </w:r>
    </w:p>
    <w:p>
      <w:pPr>
        <w:pStyle w:val="Heading2"/>
        <w:spacing w:after="150" w:before="300"/>
      </w:pPr>
      <w:r>
        <w:t xml:space="preserve">2.1 Product Description</w:t>
      </w:r>
    </w:p>
    <w:p>
      <w:pPr>
        <w:spacing w:after="160" w:line="276"/>
      </w:pPr>
      <w:r>
        <w:t xml:space="preserve">Provenance is a backend-and-dashboard system that sits between a raw environmental sensor export and the people who must act on it. In technical terms it is a Python 3.12 / FastAPI service backed by TimescaleDB (PostgreSQL with time-series and PostGIS extensions), fronted by a React 18 / TypeScript operator dashboard, implementing a nine-stage internal pipeline (io -&gt; schema -&gt; grid -&gt; detectors -&gt; audit -&gt; trust -&gt; graph -&gt; models -&gt; explain). In business terms it is a decision-support layer for a municipal environmental-monitoring programme: it does not replace the sensor network, it tells the city which of the network's numbers can be trusted, why, and what evidence backs that judgement.</w:t>
      </w:r>
    </w:p>
    <w:p>
      <w:pPr>
        <w:pStyle w:val="Heading2"/>
        <w:spacing w:after="150" w:before="300"/>
      </w:pPr>
      <w:r>
        <w:t xml:space="preserve">2.2 Problem Statement</w:t>
      </w:r>
    </w:p>
    <w:p>
      <w:pPr>
        <w:spacing w:after="160" w:line="276"/>
      </w:pPr>
      <w:r>
        <w:t xml:space="preserve">Conventional sensor-network monitoring measures presence — uptime, gap counts, last-seen timestamps — and, by that measure, the Green Sentinel network looks close to perfectly healthy (approximately 99.95% conventional completeness on the profiled export). Presence is not correctness. The repository's own measured defect rate on the real 30-day export is 29.1225% (50,843 defective covered cells out of 174,583 covered cells), driven by defects that are invisible to a completeness metric: absent rows hidden behind reindexing, frozen sensors, physically impossible cross-parameter relationships, mislabelled units, and readings censored at a detection limit. A reading of 180 microg/m3 could be a genuine pollution event or a fouled sensor sitting in direct sun, and nothing in a conventional pipeline distinguishes the two.</w:t>
      </w:r>
    </w:p>
    <w:p>
      <w:pPr>
        <w:pStyle w:val="Heading2"/>
        <w:spacing w:after="150" w:before="300"/>
      </w:pPr>
      <w:r>
        <w:t xml:space="preserve">2.3 Objectives</w:t>
      </w:r>
    </w:p>
    <w:p>
      <w:pPr>
        <w:pStyle w:val="ListParagraph"/>
        <w:numPr>
          <w:ilvl w:val="0"/>
          <w:numId w:val="1"/>
        </w:numPr>
        <w:spacing w:after="80" w:line="264"/>
      </w:pPr>
      <w:r>
        <w:t xml:space="preserve">Make silent, conventionally-invisible data defects visible and quantifiable, with a defensible, reproducible defect-rate definition.</w:t>
      </w:r>
    </w:p>
    <w:p>
      <w:pPr>
        <w:pStyle w:val="ListParagraph"/>
        <w:numPr>
          <w:ilvl w:val="0"/>
          <w:numId w:val="1"/>
        </w:numPr>
        <w:spacing w:after="80" w:line="264"/>
      </w:pPr>
      <w:r>
        <w:t xml:space="preserve">Score every reading and station for trustworthiness, always with an explained, reason-coded, component-level breakdown — never a bare number.</w:t>
      </w:r>
    </w:p>
    <w:p>
      <w:pPr>
        <w:pStyle w:val="ListParagraph"/>
        <w:numPr>
          <w:ilvl w:val="0"/>
          <w:numId w:val="1"/>
        </w:numPr>
        <w:spacing w:after="80" w:line="264"/>
      </w:pPr>
      <w:r>
        <w:t xml:space="preserve">Distinguish a genuine pollution event from a sensor fault using physically-grounded (wind-conditioned) graph reasoning, with a learned model as a calibrated alternative.</w:t>
      </w:r>
    </w:p>
    <w:p>
      <w:pPr>
        <w:pStyle w:val="ListParagraph"/>
        <w:numPr>
          <w:ilvl w:val="0"/>
          <w:numId w:val="1"/>
        </w:numPr>
        <w:spacing w:after="80" w:line="264"/>
      </w:pPr>
      <w:r>
        <w:t xml:space="preserve">Prioritise operator and public-safety attention by risk (severity x population exposure), not by model confidence alone.</w:t>
      </w:r>
    </w:p>
    <w:p>
      <w:pPr>
        <w:pStyle w:val="ListParagraph"/>
        <w:numPr>
          <w:ilvl w:val="0"/>
          <w:numId w:val="1"/>
        </w:numPr>
        <w:spacing w:after="80" w:line="264"/>
      </w:pPr>
      <w:r>
        <w:t xml:space="preserve">Guarantee that no public-facing alert is ever sent without a recorded, auditable human sign-off.</w:t>
      </w:r>
    </w:p>
    <w:p>
      <w:pPr>
        <w:pStyle w:val="ListParagraph"/>
        <w:numPr>
          <w:ilvl w:val="0"/>
          <w:numId w:val="1"/>
        </w:numPr>
        <w:spacing w:after="80" w:line="264"/>
      </w:pPr>
      <w:r>
        <w:t xml:space="preserve">Produce a reproducible, checkable regulatory export suitable for external review.</w:t>
      </w:r>
    </w:p>
    <w:p>
      <w:pPr>
        <w:pStyle w:val="Heading2"/>
        <w:spacing w:after="150" w:before="300"/>
      </w:pPr>
      <w:r>
        <w:t xml:space="preserve">2.4 Target Users</w:t>
      </w:r>
    </w:p>
    <w:p>
      <w:pPr>
        <w:spacing w:after="160" w:line="276"/>
      </w:pPr>
      <w:r>
        <w:t xml:space="preserve">The RBAC model in the codebase (four roles forming a strict hierarchy) is the clearest evidence of the intended user population:</w:t>
      </w:r>
    </w:p>
    <w:p>
      <w:pPr>
        <w:pStyle w:val="ListParagraph"/>
        <w:numPr>
          <w:ilvl w:val="0"/>
          <w:numId w:val="1"/>
        </w:numPr>
        <w:spacing w:after="80" w:line="264"/>
      </w:pPr>
      <w:r>
        <w:t xml:space="preserve">Public Reader (public_read) — the public trust product: station list, trust scores, quality summary, events, meta endpoints.</w:t>
      </w:r>
    </w:p>
    <w:p>
      <w:pPr>
        <w:pStyle w:val="ListParagraph"/>
        <w:numPr>
          <w:ilvl w:val="0"/>
          <w:numId w:val="1"/>
        </w:numPr>
        <w:spacing w:after="80" w:line="264"/>
      </w:pPr>
      <w:r>
        <w:t xml:space="preserve">Researcher / Data Analyst (researcher) — everything public, plus raw and quality-flagged readings, the defect ledger, audit runs, and the regulatory export.</w:t>
      </w:r>
    </w:p>
    <w:p>
      <w:pPr>
        <w:pStyle w:val="ListParagraph"/>
        <w:numPr>
          <w:ilvl w:val="0"/>
          <w:numId w:val="1"/>
        </w:numPr>
        <w:spacing w:after="80" w:line="264"/>
      </w:pPr>
      <w:r>
        <w:t xml:space="preserve">Field/Operations Operator (operator) — everything a researcher can see, plus the maintenance queue, the Alert Centre, and sign-off/dispatch actions.</w:t>
      </w:r>
    </w:p>
    <w:p>
      <w:pPr>
        <w:pStyle w:val="ListParagraph"/>
        <w:numPr>
          <w:ilvl w:val="0"/>
          <w:numId w:val="1"/>
        </w:numPr>
        <w:spacing w:after="80" w:line="264"/>
      </w:pPr>
      <w:r>
        <w:t xml:space="preserve">Administrator (admin) — everything an operator can do, plus model versions, retraining triggers, configuration hashes, and export history.</w:t>
      </w:r>
    </w:p>
    <w:p>
      <w:pPr>
        <w:spacing w:after="160" w:line="276"/>
      </w:pPr>
      <w:r>
        <w:rPr>
          <w:i w:val="false"/>
          <w:iCs w:val="false"/>
        </w:rPr>
        <w:t xml:space="preserve">A fifth implicit audience — competition judges and academic evaluators — is directly served by the demo tooling (deterministic offline demo mode, one-page description, judge-question preparation) found in docs/demo/.</w:t>
      </w:r>
    </w:p>
    <w:p>
      <w:pPr>
        <w:pStyle w:val="Heading2"/>
        <w:spacing w:after="150" w:before="300"/>
      </w:pPr>
      <w:r>
        <w:t xml:space="preserve">2.5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00"/>
        <w:gridCol w:w="2860"/>
      </w:tblGrid>
      <w:tr>
        <w:trPr>
          <w:tblHeader/>
        </w:trPr>
        <w:tc>
          <w:tcPr>
            <w:tcW w:type="dxa" w:w="2200"/>
            <w:shd w:fill="1B6AB8" w:val="clear"/>
            <w:tcMar>
              <w:top w:type="dxa" w:w="80"/>
              <w:left w:type="dxa" w:w="100"/>
              <w:bottom w:type="dxa" w:w="80"/>
              <w:right w:type="dxa" w:w="100"/>
            </w:tcMar>
            <w:vAlign w:val="top"/>
          </w:tcPr>
          <w:p>
            <w:pPr>
              <w:spacing w:after="0"/>
            </w:pPr>
            <w:r>
              <w:rPr>
                <w:b/>
                <w:bCs/>
                <w:color w:val="FFFFFF"/>
                <w:sz w:val="19"/>
                <w:szCs w:val="19"/>
              </w:rPr>
              <w:t xml:space="preserve">Persona</w:t>
            </w:r>
          </w:p>
        </w:tc>
        <w:tc>
          <w:tcPr>
            <w:tcW w:type="dxa" w:w="1300"/>
            <w:shd w:fill="1B6AB8" w:val="clear"/>
            <w:tcMar>
              <w:top w:type="dxa" w:w="80"/>
              <w:left w:type="dxa" w:w="100"/>
              <w:bottom w:type="dxa" w:w="80"/>
              <w:right w:type="dxa" w:w="100"/>
            </w:tcMar>
            <w:vAlign w:val="top"/>
          </w:tcPr>
          <w:p>
            <w:pPr>
              <w:spacing w:after="0"/>
            </w:pPr>
            <w:r>
              <w:rPr>
                <w:b/>
                <w:bCs/>
                <w:color w:val="FFFFFF"/>
                <w:sz w:val="19"/>
                <w:szCs w:val="19"/>
              </w:rPr>
              <w:t xml:space="preserve">Role</w:t>
            </w:r>
          </w:p>
        </w:tc>
        <w:tc>
          <w:tcPr>
            <w:tcW w:type="dxa" w:w="3000"/>
            <w:shd w:fill="1B6AB8" w:val="clear"/>
            <w:tcMar>
              <w:top w:type="dxa" w:w="80"/>
              <w:left w:type="dxa" w:w="100"/>
              <w:bottom w:type="dxa" w:w="80"/>
              <w:right w:type="dxa" w:w="100"/>
            </w:tcMar>
            <w:vAlign w:val="top"/>
          </w:tcPr>
          <w:p>
            <w:pPr>
              <w:spacing w:after="0"/>
            </w:pPr>
            <w:r>
              <w:rPr>
                <w:b/>
                <w:bCs/>
                <w:color w:val="FFFFFF"/>
                <w:sz w:val="19"/>
                <w:szCs w:val="19"/>
              </w:rPr>
              <w:t xml:space="preserve">Goals</w:t>
            </w:r>
          </w:p>
        </w:tc>
        <w:tc>
          <w:tcPr>
            <w:tcW w:type="dxa" w:w="2860"/>
            <w:shd w:fill="1B6AB8" w:val="clear"/>
            <w:tcMar>
              <w:top w:type="dxa" w:w="80"/>
              <w:left w:type="dxa" w:w="100"/>
              <w:bottom w:type="dxa" w:w="80"/>
              <w:right w:type="dxa" w:w="100"/>
            </w:tcMar>
            <w:vAlign w:val="top"/>
          </w:tcPr>
          <w:p>
            <w:pPr>
              <w:spacing w:after="0"/>
            </w:pPr>
            <w:r>
              <w:rPr>
                <w:b/>
                <w:bCs/>
                <w:color w:val="FFFFFF"/>
                <w:sz w:val="19"/>
                <w:szCs w:val="19"/>
              </w:rPr>
              <w:t xml:space="preserve">Pain point Provenance addresses</w:t>
            </w:r>
          </w:p>
        </w:tc>
      </w:tr>
      <w:tr>
        <w:tc>
          <w:tcPr>
            <w:tcW w:type="dxa" w:w="2200"/>
            <w:tcMar>
              <w:top w:type="dxa" w:w="80"/>
              <w:left w:type="dxa" w:w="100"/>
              <w:bottom w:type="dxa" w:w="80"/>
              <w:right w:type="dxa" w:w="100"/>
            </w:tcMar>
            <w:vAlign w:val="top"/>
          </w:tcPr>
          <w:p>
            <w:pPr>
              <w:spacing w:after="0"/>
            </w:pPr>
            <w:r>
              <w:rPr>
                <w:sz w:val="19"/>
                <w:szCs w:val="19"/>
              </w:rPr>
              <w:t xml:space="preserve">Aniko, City Environmental Officer</w:t>
            </w:r>
          </w:p>
        </w:tc>
        <w:tc>
          <w:tcPr>
            <w:tcW w:type="dxa" w:w="1300"/>
            <w:tcMar>
              <w:top w:type="dxa" w:w="80"/>
              <w:left w:type="dxa" w:w="100"/>
              <w:bottom w:type="dxa" w:w="80"/>
              <w:right w:type="dxa" w:w="100"/>
            </w:tcMar>
            <w:vAlign w:val="top"/>
          </w:tcPr>
          <w:p>
            <w:pPr>
              <w:spacing w:after="0"/>
            </w:pPr>
            <w:r>
              <w:rPr>
                <w:sz w:val="19"/>
                <w:szCs w:val="19"/>
              </w:rPr>
              <w:t xml:space="preserve">public_read / researcher</w:t>
            </w:r>
          </w:p>
        </w:tc>
        <w:tc>
          <w:tcPr>
            <w:tcW w:type="dxa" w:w="3000"/>
            <w:tcMar>
              <w:top w:type="dxa" w:w="80"/>
              <w:left w:type="dxa" w:w="100"/>
              <w:bottom w:type="dxa" w:w="80"/>
              <w:right w:type="dxa" w:w="100"/>
            </w:tcMar>
            <w:vAlign w:val="top"/>
          </w:tcPr>
          <w:p>
            <w:pPr>
              <w:spacing w:after="0"/>
            </w:pPr>
            <w:r>
              <w:rPr>
                <w:sz w:val="19"/>
                <w:szCs w:val="19"/>
              </w:rPr>
              <w:t xml:space="preserve">Confirm whether a reported pollution spike is real before it reaches the press.</w:t>
            </w:r>
          </w:p>
        </w:tc>
        <w:tc>
          <w:tcPr>
            <w:tcW w:type="dxa" w:w="2860"/>
            <w:tcMar>
              <w:top w:type="dxa" w:w="80"/>
              <w:left w:type="dxa" w:w="100"/>
              <w:bottom w:type="dxa" w:w="80"/>
              <w:right w:type="dxa" w:w="100"/>
            </w:tcMar>
            <w:vAlign w:val="top"/>
          </w:tcPr>
          <w:p>
            <w:pPr>
              <w:spacing w:after="0"/>
            </w:pPr>
            <w:r>
              <w:rPr>
                <w:sz w:val="19"/>
                <w:szCs w:val="19"/>
              </w:rPr>
              <w:t xml:space="preserve">Cannot currently tell a real event from a broken sensor from the raw dashboard the sensor vendor provides.</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Bela, Field Maintenance Operator</w:t>
            </w:r>
          </w:p>
        </w:tc>
        <w:tc>
          <w:tcPr>
            <w:tcW w:type="dxa" w:w="13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3000"/>
            <w:shd w:fill="F5F8FC" w:val="clear"/>
            <w:tcMar>
              <w:top w:type="dxa" w:w="80"/>
              <w:left w:type="dxa" w:w="100"/>
              <w:bottom w:type="dxa" w:w="80"/>
              <w:right w:type="dxa" w:w="100"/>
            </w:tcMar>
            <w:vAlign w:val="top"/>
          </w:tcPr>
          <w:p>
            <w:pPr>
              <w:spacing w:after="0"/>
            </w:pPr>
            <w:r>
              <w:rPr>
                <w:sz w:val="19"/>
                <w:szCs w:val="19"/>
              </w:rPr>
              <w:t xml:space="preserve">Know which of dozens of flagged sensors to physically visit first.</w:t>
            </w:r>
          </w:p>
        </w:tc>
        <w:tc>
          <w:tcPr>
            <w:tcW w:type="dxa" w:w="2860"/>
            <w:shd w:fill="F5F8FC" w:val="clear"/>
            <w:tcMar>
              <w:top w:type="dxa" w:w="80"/>
              <w:left w:type="dxa" w:w="100"/>
              <w:bottom w:type="dxa" w:w="80"/>
              <w:right w:type="dxa" w:w="100"/>
            </w:tcMar>
            <w:vAlign w:val="top"/>
          </w:tcPr>
          <w:p>
            <w:pPr>
              <w:spacing w:after="0"/>
            </w:pPr>
            <w:r>
              <w:rPr>
                <w:sz w:val="19"/>
                <w:szCs w:val="19"/>
              </w:rPr>
              <w:t xml:space="preserve">No prioritised, evidence-backed queue; everything looks equally urgent.</w:t>
            </w:r>
          </w:p>
        </w:tc>
      </w:tr>
      <w:tr>
        <w:tc>
          <w:tcPr>
            <w:tcW w:type="dxa" w:w="2200"/>
            <w:tcMar>
              <w:top w:type="dxa" w:w="80"/>
              <w:left w:type="dxa" w:w="100"/>
              <w:bottom w:type="dxa" w:w="80"/>
              <w:right w:type="dxa" w:w="100"/>
            </w:tcMar>
            <w:vAlign w:val="top"/>
          </w:tcPr>
          <w:p>
            <w:pPr>
              <w:spacing w:after="0"/>
            </w:pPr>
            <w:r>
              <w:rPr>
                <w:sz w:val="19"/>
                <w:szCs w:val="19"/>
              </w:rPr>
              <w:t xml:space="preserve">Csilla, Data Analyst / Regulator Liaison</w:t>
            </w:r>
          </w:p>
        </w:tc>
        <w:tc>
          <w:tcPr>
            <w:tcW w:type="dxa" w:w="1300"/>
            <w:tcMar>
              <w:top w:type="dxa" w:w="80"/>
              <w:left w:type="dxa" w:w="100"/>
              <w:bottom w:type="dxa" w:w="80"/>
              <w:right w:type="dxa" w:w="100"/>
            </w:tcMar>
            <w:vAlign w:val="top"/>
          </w:tcPr>
          <w:p>
            <w:pPr>
              <w:spacing w:after="0"/>
            </w:pPr>
            <w:r>
              <w:rPr>
                <w:sz w:val="19"/>
                <w:szCs w:val="19"/>
              </w:rPr>
              <w:t xml:space="preserve">researcher</w:t>
            </w:r>
          </w:p>
        </w:tc>
        <w:tc>
          <w:tcPr>
            <w:tcW w:type="dxa" w:w="3000"/>
            <w:tcMar>
              <w:top w:type="dxa" w:w="80"/>
              <w:left w:type="dxa" w:w="100"/>
              <w:bottom w:type="dxa" w:w="80"/>
              <w:right w:type="dxa" w:w="100"/>
            </w:tcMar>
            <w:vAlign w:val="top"/>
          </w:tcPr>
          <w:p>
            <w:pPr>
              <w:spacing w:after="0"/>
            </w:pPr>
            <w:r>
              <w:rPr>
                <w:sz w:val="19"/>
                <w:szCs w:val="19"/>
              </w:rPr>
              <w:t xml:space="preserve">Produce a defensible audit trail for a council or regulatory review.</w:t>
            </w:r>
          </w:p>
        </w:tc>
        <w:tc>
          <w:tcPr>
            <w:tcW w:type="dxa" w:w="2860"/>
            <w:tcMar>
              <w:top w:type="dxa" w:w="80"/>
              <w:left w:type="dxa" w:w="100"/>
              <w:bottom w:type="dxa" w:w="80"/>
              <w:right w:type="dxa" w:w="100"/>
            </w:tcMar>
            <w:vAlign w:val="top"/>
          </w:tcPr>
          <w:p>
            <w:pPr>
              <w:spacing w:after="0"/>
            </w:pPr>
            <w:r>
              <w:rPr>
                <w:sz w:val="19"/>
                <w:szCs w:val="19"/>
              </w:rPr>
              <w:t xml:space="preserve">No reproducible, hash-verifiable export exists in the vendor tooling.</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Denes, Platform Administrator</w:t>
            </w:r>
          </w:p>
        </w:tc>
        <w:tc>
          <w:tcPr>
            <w:tcW w:type="dxa" w:w="1300"/>
            <w:shd w:fill="F5F8FC" w:val="clear"/>
            <w:tcMar>
              <w:top w:type="dxa" w:w="80"/>
              <w:left w:type="dxa" w:w="100"/>
              <w:bottom w:type="dxa" w:w="80"/>
              <w:right w:type="dxa" w:w="100"/>
            </w:tcMar>
            <w:vAlign w:val="top"/>
          </w:tcPr>
          <w:p>
            <w:pPr>
              <w:spacing w:after="0"/>
            </w:pPr>
            <w:r>
              <w:rPr>
                <w:sz w:val="19"/>
                <w:szCs w:val="19"/>
              </w:rPr>
              <w:t xml:space="preserve">admin</w:t>
            </w:r>
          </w:p>
        </w:tc>
        <w:tc>
          <w:tcPr>
            <w:tcW w:type="dxa" w:w="3000"/>
            <w:shd w:fill="F5F8FC" w:val="clear"/>
            <w:tcMar>
              <w:top w:type="dxa" w:w="80"/>
              <w:left w:type="dxa" w:w="100"/>
              <w:bottom w:type="dxa" w:w="80"/>
              <w:right w:type="dxa" w:w="100"/>
            </w:tcMar>
            <w:vAlign w:val="top"/>
          </w:tcPr>
          <w:p>
            <w:pPr>
              <w:spacing w:after="0"/>
            </w:pPr>
            <w:r>
              <w:rPr>
                <w:sz w:val="19"/>
                <w:szCs w:val="19"/>
              </w:rPr>
              <w:t xml:space="preserve">Confirm the deployed models are still performing and retrain when they drift.</w:t>
            </w:r>
          </w:p>
        </w:tc>
        <w:tc>
          <w:tcPr>
            <w:tcW w:type="dxa" w:w="2860"/>
            <w:shd w:fill="F5F8FC" w:val="clear"/>
            <w:tcMar>
              <w:top w:type="dxa" w:w="80"/>
              <w:left w:type="dxa" w:w="100"/>
              <w:bottom w:type="dxa" w:w="80"/>
              <w:right w:type="dxa" w:w="100"/>
            </w:tcMar>
            <w:vAlign w:val="top"/>
          </w:tcPr>
          <w:p>
            <w:pPr>
              <w:spacing w:after="0"/>
            </w:pPr>
            <w:r>
              <w:rPr>
                <w:sz w:val="19"/>
                <w:szCs w:val="19"/>
              </w:rPr>
              <w:t xml:space="preserve">No visibility into model health separate from infrastructure health.</w:t>
            </w:r>
          </w:p>
        </w:tc>
      </w:tr>
    </w:tbl>
    <w:p>
      <w:pPr>
        <w:pStyle w:val="Heading2"/>
        <w:spacing w:after="150" w:before="300"/>
      </w:pPr>
      <w:r>
        <w:t xml:space="preserve">2.6 Key Use Cases</w:t>
      </w:r>
    </w:p>
    <w:p>
      <w:pPr>
        <w:spacing w:after="160" w:line="276"/>
      </w:pPr>
      <w:r>
        <w:t xml:space="preserve">The nine principal use cases documented in Section 15 span the full lifecycle: running an audit, investigating a flagged defect, adjudicating a candidate event, viewing a station's trust score, triaging a maintenance item, signing off and dispatching a public alert, exporting a regulatory audit trail, monitoring model drift, and running the deterministic offline demo.</w:t>
      </w:r>
    </w:p>
    <w:p>
      <w:pPr>
        <w:pStyle w:val="Heading2"/>
        <w:spacing w:after="150" w:before="300"/>
      </w:pPr>
      <w:r>
        <w:t xml:space="preserve">2.7 Value Proposition</w:t>
      </w:r>
    </w:p>
    <w:p>
      <w:pPr>
        <w:spacing w:after="160" w:line="276"/>
      </w:pPr>
      <w:r>
        <w:t xml:space="preserve">Provenance's differentiated value, as evidenced by the implementation, is not another dashboard on top of the same numbers — it is a second, independent judgement layer that (a) recomputes and explains data quality the vendor pipeline does not surface, (b) makes a physically-grounded call on real-vs-fault for large events rather than leaving that call to human intuition, and (c) structurally guarantees that no automated system can publish a public alert without a human in the loop. Every one of these three claims is backed by a specific, tested mechanism in the codebase (the detector registry, the wind-conditioned graph adjudicator, and the sign-off gate's static call-graph test), not only by product copy.</w:t>
      </w:r>
    </w:p>
    <w:p>
      <w:r>
        <w:br w:type="page"/>
      </w:r>
    </w:p>
    <w:p>
      <w:pPr>
        <w:pStyle w:val="Heading1"/>
        <w:spacing w:after="200" w:before="400"/>
      </w:pPr>
      <w:r>
        <w:t xml:space="preserve">3. System Context</w:t>
      </w:r>
    </w:p>
    <w:p>
      <w:pPr>
        <w:spacing w:after="160" w:line="276"/>
      </w:pPr>
      <w:r>
        <w:t xml:space="preserve">Provenance sits between four external data sources, a persistence/monitoring infrastructure layer, and four classes of human actor distinguished by role. Figure 1 shows these relationships as established from the API's authentication model, the docker-compose service topology, and the data-source layout documented in data/README.md.</w:t>
      </w:r>
    </w:p>
    <w:p>
      <w:pPr>
        <w:spacing w:after="60" w:before="12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pPr>
        <w:spacing w:after="240" w:before="80"/>
        <w:jc w:val="center"/>
      </w:pPr>
      <w:r>
        <w:rPr>
          <w:i/>
          <w:iCs/>
          <w:color w:val="4A5568"/>
          <w:sz w:val="18"/>
          <w:szCs w:val="18"/>
        </w:rPr>
        <w:t xml:space="preserve">Figure 1. System Context Diagram — actors, external data sources, and infrastructure dependencies.</w:t>
      </w:r>
    </w:p>
    <w:p>
      <w:pPr>
        <w:pStyle w:val="Heading2"/>
        <w:spacing w:after="150" w:before="300"/>
      </w:pPr>
      <w: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B6AB8" w:val="clear"/>
            <w:tcMar>
              <w:top w:type="dxa" w:w="80"/>
              <w:left w:type="dxa" w:w="100"/>
              <w:bottom w:type="dxa" w:w="80"/>
              <w:right w:type="dxa" w:w="100"/>
            </w:tcMar>
            <w:vAlign w:val="top"/>
          </w:tcPr>
          <w:p>
            <w:pPr>
              <w:spacing w:after="0"/>
            </w:pPr>
            <w:r>
              <w:rPr>
                <w:b/>
                <w:bCs/>
                <w:color w:val="FFFFFF"/>
                <w:sz w:val="19"/>
                <w:szCs w:val="19"/>
              </w:rPr>
              <w:t xml:space="preserve">Actor</w:t>
            </w:r>
          </w:p>
        </w:tc>
        <w:tc>
          <w:tcPr>
            <w:tcW w:type="dxa" w:w="7360"/>
            <w:shd w:fill="1B6AB8" w:val="clear"/>
            <w:tcMar>
              <w:top w:type="dxa" w:w="80"/>
              <w:left w:type="dxa" w:w="100"/>
              <w:bottom w:type="dxa" w:w="80"/>
              <w:right w:type="dxa" w:w="100"/>
            </w:tcMar>
            <w:vAlign w:val="top"/>
          </w:tcPr>
          <w:p>
            <w:pPr>
              <w:spacing w:after="0"/>
            </w:pPr>
            <w:r>
              <w:rPr>
                <w:b/>
                <w:bCs/>
                <w:color w:val="FFFFFF"/>
                <w:sz w:val="19"/>
                <w:szCs w:val="19"/>
              </w:rPr>
              <w:t xml:space="preserve">Relationship to the System</w:t>
            </w:r>
          </w:p>
        </w:tc>
      </w:tr>
      <w:tr>
        <w:tc>
          <w:tcPr>
            <w:tcW w:type="dxa" w:w="2000"/>
            <w:tcMar>
              <w:top w:type="dxa" w:w="80"/>
              <w:left w:type="dxa" w:w="100"/>
              <w:bottom w:type="dxa" w:w="80"/>
              <w:right w:type="dxa" w:w="100"/>
            </w:tcMar>
            <w:vAlign w:val="top"/>
          </w:tcPr>
          <w:p>
            <w:pPr>
              <w:spacing w:after="0"/>
            </w:pPr>
            <w:r>
              <w:rPr>
                <w:sz w:val="19"/>
                <w:szCs w:val="19"/>
              </w:rPr>
              <w:t xml:space="preserve">Public Reader</w:t>
            </w:r>
          </w:p>
        </w:tc>
        <w:tc>
          <w:tcPr>
            <w:tcW w:type="dxa" w:w="7360"/>
            <w:tcMar>
              <w:top w:type="dxa" w:w="80"/>
              <w:left w:type="dxa" w:w="100"/>
              <w:bottom w:type="dxa" w:w="80"/>
              <w:right w:type="dxa" w:w="100"/>
            </w:tcMar>
            <w:vAlign w:val="top"/>
          </w:tcPr>
          <w:p>
            <w:pPr>
              <w:spacing w:after="0"/>
            </w:pPr>
            <w:r>
              <w:rPr>
                <w:sz w:val="19"/>
                <w:szCs w:val="19"/>
              </w:rPr>
              <w:t xml:space="preserve">Consumes public_read-gated endpoints: stations, trust scores, quality summary, events, meta probes. No authentication beyond a public-tier API key.</w:t>
            </w:r>
          </w:p>
        </w:tc>
      </w:tr>
      <w:tr>
        <w:tc>
          <w:tcPr>
            <w:tcW w:type="dxa" w:w="20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7360"/>
            <w:shd w:fill="F5F8FC" w:val="clear"/>
            <w:tcMar>
              <w:top w:type="dxa" w:w="80"/>
              <w:left w:type="dxa" w:w="100"/>
              <w:bottom w:type="dxa" w:w="80"/>
              <w:right w:type="dxa" w:w="100"/>
            </w:tcMar>
            <w:vAlign w:val="top"/>
          </w:tcPr>
          <w:p>
            <w:pPr>
              <w:spacing w:after="0"/>
            </w:pPr>
            <w:r>
              <w:rPr>
                <w:sz w:val="19"/>
                <w:szCs w:val="19"/>
              </w:rPr>
              <w:t xml:space="preserve">Consumes researcher-gated endpoints in addition to public: raw/flagged readings, defect ledger, audit runs, regulatory export, explanations, deweather series, attention overlay.</w:t>
            </w:r>
          </w:p>
        </w:tc>
      </w:tr>
      <w:tr>
        <w:tc>
          <w:tcPr>
            <w:tcW w:type="dxa" w:w="2000"/>
            <w:tcMar>
              <w:top w:type="dxa" w:w="80"/>
              <w:left w:type="dxa" w:w="100"/>
              <w:bottom w:type="dxa" w:w="80"/>
              <w:right w:type="dxa" w:w="100"/>
            </w:tcMar>
            <w:vAlign w:val="top"/>
          </w:tcPr>
          <w:p>
            <w:pPr>
              <w:spacing w:after="0"/>
            </w:pPr>
            <w:r>
              <w:rPr>
                <w:sz w:val="19"/>
                <w:szCs w:val="19"/>
              </w:rPr>
              <w:t xml:space="preserve">Operator</w:t>
            </w:r>
          </w:p>
        </w:tc>
        <w:tc>
          <w:tcPr>
            <w:tcW w:type="dxa" w:w="7360"/>
            <w:tcMar>
              <w:top w:type="dxa" w:w="80"/>
              <w:left w:type="dxa" w:w="100"/>
              <w:bottom w:type="dxa" w:w="80"/>
              <w:right w:type="dxa" w:w="100"/>
            </w:tcMar>
            <w:vAlign w:val="top"/>
          </w:tcPr>
          <w:p>
            <w:pPr>
              <w:spacing w:after="0"/>
            </w:pPr>
            <w:r>
              <w:rPr>
                <w:sz w:val="19"/>
                <w:szCs w:val="19"/>
              </w:rPr>
              <w:t xml:space="preserve">Consumes operator-gated endpoints: maintenance queue, Alert Centre, sign-off, dispatch.</w:t>
            </w:r>
          </w:p>
        </w:tc>
      </w:tr>
      <w:tr>
        <w:tc>
          <w:tcPr>
            <w:tcW w:type="dxa" w:w="2000"/>
            <w:shd w:fill="F5F8FC" w:val="clear"/>
            <w:tcMar>
              <w:top w:type="dxa" w:w="80"/>
              <w:left w:type="dxa" w:w="100"/>
              <w:bottom w:type="dxa" w:w="80"/>
              <w:right w:type="dxa" w:w="100"/>
            </w:tcMar>
            <w:vAlign w:val="top"/>
          </w:tcPr>
          <w:p>
            <w:pPr>
              <w:spacing w:after="0"/>
            </w:pPr>
            <w:r>
              <w:rPr>
                <w:sz w:val="19"/>
                <w:szCs w:val="19"/>
              </w:rPr>
              <w:t xml:space="preserve">Administrator</w:t>
            </w:r>
          </w:p>
        </w:tc>
        <w:tc>
          <w:tcPr>
            <w:tcW w:type="dxa" w:w="7360"/>
            <w:shd w:fill="F5F8FC" w:val="clear"/>
            <w:tcMar>
              <w:top w:type="dxa" w:w="80"/>
              <w:left w:type="dxa" w:w="100"/>
              <w:bottom w:type="dxa" w:w="80"/>
              <w:right w:type="dxa" w:w="100"/>
            </w:tcMar>
            <w:vAlign w:val="top"/>
          </w:tcPr>
          <w:p>
            <w:pPr>
              <w:spacing w:after="0"/>
            </w:pPr>
            <w:r>
              <w:rPr>
                <w:sz w:val="19"/>
                <w:szCs w:val="19"/>
              </w:rPr>
              <w:t xml:space="preserve">Consumes admin-gated endpoints: system status, model drift, retraining trigger.</w:t>
            </w:r>
          </w:p>
        </w:tc>
      </w:tr>
    </w:tbl>
    <w:p>
      <w:pPr>
        <w:pStyle w:val="Heading2"/>
        <w:spacing w:after="150" w:before="300"/>
      </w:pPr>
      <w:r>
        <w:t xml:space="preserve">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Source</w:t>
            </w:r>
          </w:p>
        </w:tc>
        <w:tc>
          <w:tcPr>
            <w:tcW w:type="dxa" w:w="4200"/>
            <w:shd w:fill="1B6AB8" w:val="clear"/>
            <w:tcMar>
              <w:top w:type="dxa" w:w="80"/>
              <w:left w:type="dxa" w:w="100"/>
              <w:bottom w:type="dxa" w:w="80"/>
              <w:right w:type="dxa" w:w="100"/>
            </w:tcMar>
            <w:vAlign w:val="top"/>
          </w:tcPr>
          <w:p>
            <w:pPr>
              <w:spacing w:after="0"/>
            </w:pPr>
            <w:r>
              <w:rPr>
                <w:b/>
                <w:bCs/>
                <w:color w:val="FFFFFF"/>
                <w:sz w:val="19"/>
                <w:szCs w:val="19"/>
              </w:rPr>
              <w:t xml:space="preserve">Content</w:t>
            </w:r>
          </w:p>
        </w:tc>
        <w:tc>
          <w:tcPr>
            <w:tcW w:type="dxa" w:w="2760"/>
            <w:shd w:fill="1B6AB8" w:val="clear"/>
            <w:tcMar>
              <w:top w:type="dxa" w:w="80"/>
              <w:left w:type="dxa" w:w="100"/>
              <w:bottom w:type="dxa" w:w="80"/>
              <w:right w:type="dxa" w:w="100"/>
            </w:tcMar>
            <w:vAlign w:val="top"/>
          </w:tcPr>
          <w:p>
            <w:pPr>
              <w:spacing w:after="0"/>
            </w:pPr>
            <w:r>
              <w:rPr>
                <w:b/>
                <w:bCs/>
                <w:color w:val="FFFFFF"/>
                <w:sz w:val="19"/>
                <w:szCs w:val="19"/>
              </w:rPr>
              <w:t xml:space="preserve">Ingestion Path</w:t>
            </w:r>
          </w:p>
        </w:tc>
      </w:tr>
      <w:tr>
        <w:tc>
          <w:tcPr>
            <w:tcW w:type="dxa" w:w="2400"/>
            <w:tcMar>
              <w:top w:type="dxa" w:w="80"/>
              <w:left w:type="dxa" w:w="100"/>
              <w:bottom w:type="dxa" w:w="80"/>
              <w:right w:type="dxa" w:w="100"/>
            </w:tcMar>
            <w:vAlign w:val="top"/>
          </w:tcPr>
          <w:p>
            <w:pPr>
              <w:spacing w:after="0"/>
            </w:pPr>
            <w:r>
              <w:rPr>
                <w:sz w:val="19"/>
                <w:szCs w:val="19"/>
              </w:rPr>
              <w:t xml:space="preserve">Green Sentinel network</w:t>
            </w:r>
          </w:p>
        </w:tc>
        <w:tc>
          <w:tcPr>
            <w:tcW w:type="dxa" w:w="4200"/>
            <w:tcMar>
              <w:top w:type="dxa" w:w="80"/>
              <w:left w:type="dxa" w:w="100"/>
              <w:bottom w:type="dxa" w:w="80"/>
              <w:right w:type="dxa" w:w="100"/>
            </w:tcMar>
            <w:vAlign w:val="top"/>
          </w:tcPr>
          <w:p>
            <w:pPr>
              <w:spacing w:after="0"/>
            </w:pPr>
            <w:r>
              <w:rPr>
                <w:sz w:val="19"/>
                <w:szCs w:val="19"/>
              </w:rPr>
              <w:t xml:space="preserve">149,683 hourly/daily readings, 16 land stations + 2 surface-water points, ~13 parameters/station, 30-day export.</w:t>
            </w:r>
          </w:p>
        </w:tc>
        <w:tc>
          <w:tcPr>
            <w:tcW w:type="dxa" w:w="2760"/>
            <w:tcMar>
              <w:top w:type="dxa" w:w="80"/>
              <w:left w:type="dxa" w:w="100"/>
              <w:bottom w:type="dxa" w:w="80"/>
              <w:right w:type="dxa" w:w="100"/>
            </w:tcMar>
            <w:vAlign w:val="top"/>
          </w:tcPr>
          <w:p>
            <w:pPr>
              <w:spacing w:after="0"/>
            </w:pPr>
            <w:r>
              <w:rPr>
                <w:sz w:val="19"/>
                <w:szCs w:val="19"/>
              </w:rPr>
              <w:t xml:space="preserve">File-drop under data/raw/green_sentinel/, loaded via prov db load / the ingest pipeline.</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Enclod traffic counters</w:t>
            </w:r>
          </w:p>
        </w:tc>
        <w:tc>
          <w:tcPr>
            <w:tcW w:type="dxa" w:w="4200"/>
            <w:shd w:fill="F5F8FC" w:val="clear"/>
            <w:tcMar>
              <w:top w:type="dxa" w:w="80"/>
              <w:left w:type="dxa" w:w="100"/>
              <w:bottom w:type="dxa" w:w="80"/>
              <w:right w:type="dxa" w:w="100"/>
            </w:tcMar>
            <w:vAlign w:val="top"/>
          </w:tcPr>
          <w:p>
            <w:pPr>
              <w:spacing w:after="0"/>
            </w:pPr>
            <w:r>
              <w:rPr>
                <w:sz w:val="19"/>
                <w:szCs w:val="19"/>
              </w:rPr>
              <w:t xml:space="preserve">42 directional roadside counters, 15-minute resolution, ~16 months.</w:t>
            </w:r>
          </w:p>
        </w:tc>
        <w:tc>
          <w:tcPr>
            <w:tcW w:type="dxa" w:w="2760"/>
            <w:shd w:fill="F5F8FC" w:val="clear"/>
            <w:tcMar>
              <w:top w:type="dxa" w:w="80"/>
              <w:left w:type="dxa" w:w="100"/>
              <w:bottom w:type="dxa" w:w="80"/>
              <w:right w:type="dxa" w:w="100"/>
            </w:tcMar>
            <w:vAlign w:val="top"/>
          </w:tcPr>
          <w:p>
            <w:pPr>
              <w:spacing w:after="0"/>
            </w:pPr>
            <w:r>
              <w:rPr>
                <w:sz w:val="19"/>
                <w:szCs w:val="19"/>
              </w:rPr>
              <w:t xml:space="preserve">File-drop under data/raw/enclod_traffic/, repaired via io/counter_repair.py.</w:t>
            </w:r>
          </w:p>
        </w:tc>
      </w:tr>
      <w:tr>
        <w:tc>
          <w:tcPr>
            <w:tcW w:type="dxa" w:w="2400"/>
            <w:tcMar>
              <w:top w:type="dxa" w:w="80"/>
              <w:left w:type="dxa" w:w="100"/>
              <w:bottom w:type="dxa" w:w="80"/>
              <w:right w:type="dxa" w:w="100"/>
            </w:tcMar>
            <w:vAlign w:val="top"/>
          </w:tcPr>
          <w:p>
            <w:pPr>
              <w:spacing w:after="0"/>
            </w:pPr>
            <w:r>
              <w:rPr>
                <w:sz w:val="19"/>
                <w:szCs w:val="19"/>
              </w:rPr>
              <w:t xml:space="preserve">HungaroMet weather</w:t>
            </w:r>
          </w:p>
        </w:tc>
        <w:tc>
          <w:tcPr>
            <w:tcW w:type="dxa" w:w="4200"/>
            <w:tcMar>
              <w:top w:type="dxa" w:w="80"/>
              <w:left w:type="dxa" w:w="100"/>
              <w:bottom w:type="dxa" w:w="80"/>
              <w:right w:type="dxa" w:w="100"/>
            </w:tcMar>
            <w:vAlign w:val="top"/>
          </w:tcPr>
          <w:p>
            <w:pPr>
              <w:spacing w:after="0"/>
            </w:pPr>
            <w:r>
              <w:rPr>
                <w:sz w:val="19"/>
                <w:szCs w:val="19"/>
              </w:rPr>
              <w:t xml:space="preserve">Meteorological series used for wind-conditioning and deweathering.</w:t>
            </w:r>
          </w:p>
        </w:tc>
        <w:tc>
          <w:tcPr>
            <w:tcW w:type="dxa" w:w="2760"/>
            <w:tcMar>
              <w:top w:type="dxa" w:w="80"/>
              <w:left w:type="dxa" w:w="100"/>
              <w:bottom w:type="dxa" w:w="80"/>
              <w:right w:type="dxa" w:w="100"/>
            </w:tcMar>
            <w:vAlign w:val="top"/>
          </w:tcPr>
          <w:p>
            <w:pPr>
              <w:spacing w:after="0"/>
            </w:pPr>
            <w:r>
              <w:rPr>
                <w:sz w:val="19"/>
                <w:szCs w:val="19"/>
              </w:rPr>
              <w:t xml:space="preserve">File-drop under data/raw/weather/.</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DKV GTFS transit feed (Volan Egyesules)</w:t>
            </w:r>
          </w:p>
        </w:tc>
        <w:tc>
          <w:tcPr>
            <w:tcW w:type="dxa" w:w="4200"/>
            <w:shd w:fill="F5F8FC" w:val="clear"/>
            <w:tcMar>
              <w:top w:type="dxa" w:w="80"/>
              <w:left w:type="dxa" w:w="100"/>
              <w:bottom w:type="dxa" w:w="80"/>
              <w:right w:type="dxa" w:w="100"/>
            </w:tcMar>
            <w:vAlign w:val="top"/>
          </w:tcPr>
          <w:p>
            <w:pPr>
              <w:spacing w:after="0"/>
            </w:pPr>
            <w:r>
              <w:rPr>
                <w:sz w:val="19"/>
                <w:szCs w:val="19"/>
              </w:rPr>
              <w:t xml:space="preserve">Static transit-corridor layer used to compute PopulationExposure.</w:t>
            </w:r>
          </w:p>
        </w:tc>
        <w:tc>
          <w:tcPr>
            <w:tcW w:type="dxa" w:w="2760"/>
            <w:shd w:fill="F5F8FC" w:val="clear"/>
            <w:tcMar>
              <w:top w:type="dxa" w:w="80"/>
              <w:left w:type="dxa" w:w="100"/>
              <w:bottom w:type="dxa" w:w="80"/>
              <w:right w:type="dxa" w:w="100"/>
            </w:tcMar>
            <w:vAlign w:val="top"/>
          </w:tcPr>
          <w:p>
            <w:pPr>
              <w:spacing w:after="0"/>
            </w:pPr>
            <w:r>
              <w:rPr>
                <w:sz w:val="19"/>
                <w:szCs w:val="19"/>
              </w:rPr>
              <w:t xml:space="preserve">File-drop under data/raw/gtfs/, consumed by grid/exposure.py.</w:t>
            </w:r>
          </w:p>
        </w:tc>
      </w:tr>
    </w:tbl>
    <w:p>
      <w:pPr>
        <w:spacing w:after="200" w:before="80"/>
      </w:pPr>
      <w:r>
        <w:rPr>
          <w:b/>
          <w:bCs/>
          <w:i/>
          <w:iCs/>
          <w:sz w:val="20"/>
          <w:szCs w:val="20"/>
        </w:rPr>
        <w:t xml:space="preserve">Note: </w:t>
      </w:r>
      <w:r>
        <w:rPr>
          <w:i/>
          <w:iCs/>
          <w:color w:val="4A5568"/>
          <w:sz w:val="20"/>
          <w:szCs w:val="20"/>
        </w:rPr>
        <w:t xml:space="preserve">None of these datasets are committed to the repository; only checksums, manifests, and the profiling/loading code are. This is enforced by .gitignore and a CI check (data/README.md).</w:t>
      </w:r>
    </w:p>
    <w:p>
      <w:pPr>
        <w:pStyle w:val="Heading2"/>
        <w:spacing w:after="150" w:before="300"/>
      </w:pPr>
      <w:r>
        <w:t xml:space="preserve">Infrastructure Dependencies</w:t>
      </w:r>
    </w:p>
    <w:p>
      <w:pPr>
        <w:pStyle w:val="ListParagraph"/>
        <w:numPr>
          <w:ilvl w:val="0"/>
          <w:numId w:val="1"/>
        </w:numPr>
        <w:spacing w:after="80" w:line="264"/>
      </w:pPr>
      <w:r>
        <w:t xml:space="preserve">TimescaleDB (PostgreSQL + PostGIS + Timescale hypertables) — the system of record for stations, readings, defects, events, trust scores, and the operational tables.</w:t>
      </w:r>
    </w:p>
    <w:p>
      <w:pPr>
        <w:pStyle w:val="ListParagraph"/>
        <w:numPr>
          <w:ilvl w:val="0"/>
          <w:numId w:val="1"/>
        </w:numPr>
        <w:spacing w:after="80" w:line="264"/>
      </w:pPr>
      <w:r>
        <w:t xml:space="preserve">Redis — caching layer provisioned in docker-compose.yml (service `cache`).</w:t>
      </w:r>
    </w:p>
    <w:p>
      <w:pPr>
        <w:pStyle w:val="ListParagraph"/>
        <w:numPr>
          <w:ilvl w:val="0"/>
          <w:numId w:val="1"/>
        </w:numPr>
        <w:spacing w:after="80" w:line="264"/>
      </w:pPr>
      <w:r>
        <w:t xml:space="preserve">Prometheus / Grafana — infra-plane request monitoring (`/metrics`) and a separate model-plane drift dashboard, per docs/monitoring-v1.0-two-planes.md.</w:t>
      </w:r>
    </w:p>
    <w:p>
      <w:r>
        <w:br w:type="page"/>
      </w:r>
    </w:p>
    <w:p>
      <w:pPr>
        <w:pStyle w:val="Heading1"/>
        <w:spacing w:after="200" w:before="400"/>
      </w:pPr>
      <w:r>
        <w:t xml:space="preserve">4. System Architecture</w:t>
      </w:r>
    </w:p>
    <w:p>
      <w:pPr>
        <w:pStyle w:val="Heading2"/>
        <w:spacing w:after="150" w:before="300"/>
      </w:pPr>
      <w:r>
        <w:t xml:space="preserve">4.1 High-Level Architecture</w:t>
      </w:r>
    </w:p>
    <w:p>
      <w:pPr>
        <w:spacing w:after="160" w:line="276"/>
      </w:pPr>
      <w:r>
        <w:t xml:space="preserve">Provenance is a monorepo with a clear separation between a Python backend pipeline (src/provenance), a FastAPI HTTP layer (provenance.api), and a React/TypeScript frontend (apps/web). The backend pipeline is organised as nine ordered stages, and a dedicated architecture test suite (tests/architecture) enforces the dependency direction between them, e.g. io may not import graph or models directly.</w:t>
      </w:r>
    </w:p>
    <w:p>
      <w:pPr>
        <w:spacing w:after="60" w:before="12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57625"/>
                    </a:xfrm>
                    <a:prstGeom prst="rect">
                      <a:avLst/>
                    </a:prstGeom>
                  </pic:spPr>
                </pic:pic>
              </a:graphicData>
            </a:graphic>
          </wp:inline>
        </w:drawing>
      </w:r>
    </w:p>
    <w:p>
      <w:pPr>
        <w:spacing w:after="240" w:before="80"/>
        <w:jc w:val="center"/>
      </w:pPr>
      <w:r>
        <w:rPr>
          <w:i/>
          <w:iCs/>
          <w:color w:val="4A5568"/>
          <w:sz w:val="18"/>
          <w:szCs w:val="18"/>
        </w:rPr>
        <w:t xml:space="preserve">Figure 2. High-Level Architecture — pipeline stages, API surface, frontend, and persistence.</w:t>
      </w:r>
    </w:p>
    <w:p>
      <w:pPr>
        <w:pStyle w:val="Heading2"/>
        <w:spacing w:after="150" w:before="300"/>
      </w:pPr>
      <w:r>
        <w:t xml:space="preserve">4.2 Frontend Architecture</w:t>
      </w:r>
    </w:p>
    <w:p>
      <w:pPr>
        <w:spacing w:after="160" w:line="276"/>
      </w:pPr>
      <w:r>
        <w:t xml:space="preserve">The dashboard (apps/web) is built with React 18, TypeScript 5.5, and Vite 5, organised by feature rather than by layer: features/map, features/timeline, features/station, features/alerts, features/admin, features/audit, features/quality, features/shell, and features/evidence. Shared building blocks (DataTable, Sparkline, TrustBreakdown, FactorBreakdown, ReasonCodeBadge, RequireRole, StateGlyph/States) live under src/components. The map is rendered with MapLibre GL and Protomaps vector tiles (self-hosted basemap, per ADR 0006); charts use Recharts; server state is managed with TanStack Query; routing uses react-router-dom. The API's OpenAPI schema is used to generate a typed client (openapi-typescript). Testing uses Vitest + Testing Library for unit/component tests and Playwright (with @axe-core/playwright for accessibility) for end-to-end and visual-baseline tests.</w:t>
      </w:r>
    </w:p>
    <w:p>
      <w:pPr>
        <w:pStyle w:val="Heading2"/>
        <w:spacing w:after="150" w:before="300"/>
      </w:pPr>
      <w:r>
        <w:t xml:space="preserve">4.3 Backend Architecture</w:t>
      </w:r>
    </w:p>
    <w:p>
      <w:pPr>
        <w:spacing w:after="160" w:line="276"/>
      </w:pPr>
      <w:r>
        <w:t xml:space="preserve">The backend pipeline stages, in their enforced dependency order, are:</w:t>
      </w:r>
    </w:p>
    <w:p>
      <w:pPr>
        <w:pStyle w:val="ListParagraph"/>
        <w:numPr>
          <w:ilvl w:val="0"/>
          <w:numId w:val="1"/>
        </w:numPr>
        <w:spacing w:after="80" w:line="264"/>
      </w:pPr>
      <w:r>
        <w:t xml:space="preserve">io — file ingestion, loaders, the traffic-counter repair logic, and the database layer (models, repository, engine, migrations).</w:t>
      </w:r>
    </w:p>
    <w:p>
      <w:pPr>
        <w:pStyle w:val="ListParagraph"/>
        <w:numPr>
          <w:ilvl w:val="0"/>
          <w:numId w:val="1"/>
        </w:numPr>
        <w:spacing w:after="80" w:line="264"/>
      </w:pPr>
      <w:r>
        <w:t xml:space="preserve">schema — the canonical data model and schema observation/validation against config/schema_assumptions.yaml.</w:t>
      </w:r>
    </w:p>
    <w:p>
      <w:pPr>
        <w:pStyle w:val="ListParagraph"/>
        <w:numPr>
          <w:ilvl w:val="0"/>
          <w:numId w:val="1"/>
        </w:numPr>
        <w:spacing w:after="80" w:line="264"/>
      </w:pPr>
      <w:r>
        <w:t xml:space="preserve">grid — cadence-aware coverage reindexing, the defect-rate definition, and PopulationExposure computation.</w:t>
      </w:r>
    </w:p>
    <w:p>
      <w:pPr>
        <w:pStyle w:val="ListParagraph"/>
        <w:numPr>
          <w:ilvl w:val="0"/>
          <w:numId w:val="1"/>
        </w:numPr>
        <w:spacing w:after="80" w:line="264"/>
      </w:pPr>
      <w:r>
        <w:t xml:space="preserve">detectors — the thirteen independent defect detectors and their shared base/registry.</w:t>
      </w:r>
    </w:p>
    <w:p>
      <w:pPr>
        <w:pStyle w:val="ListParagraph"/>
        <w:numPr>
          <w:ilvl w:val="0"/>
          <w:numId w:val="1"/>
        </w:numPr>
        <w:spacing w:after="80" w:line="264"/>
      </w:pPr>
      <w:r>
        <w:t xml:space="preserve">audit — the orchestrator that runs the full detector set and assembles an AuditResult.</w:t>
      </w:r>
    </w:p>
    <w:p>
      <w:pPr>
        <w:pStyle w:val="ListParagraph"/>
        <w:numPr>
          <w:ilvl w:val="0"/>
          <w:numId w:val="1"/>
        </w:numPr>
        <w:spacing w:after="80" w:line="264"/>
      </w:pPr>
      <w:r>
        <w:t xml:space="preserve">trust — the Trust Score engine, its four weighted components, and the imputation-uncertainty bridge into the neural stack.</w:t>
      </w:r>
    </w:p>
    <w:p>
      <w:pPr>
        <w:pStyle w:val="ListParagraph"/>
        <w:numPr>
          <w:ilvl w:val="0"/>
          <w:numId w:val="1"/>
        </w:numPr>
        <w:spacing w:after="80" w:line="264"/>
      </w:pPr>
      <w:r>
        <w:t xml:space="preserve">graph — station-graph construction, wind conditioning, plume expectation, and adjudication (analytic and HST-GAT-backed).</w:t>
      </w:r>
    </w:p>
    <w:p>
      <w:pPr>
        <w:pStyle w:val="ListParagraph"/>
        <w:numPr>
          <w:ilvl w:val="0"/>
          <w:numId w:val="1"/>
        </w:numPr>
        <w:spacing w:after="80" w:line="264"/>
      </w:pPr>
      <w:r>
        <w:t xml:space="preserve">models — the trained artefacts: HST-GAT, deweathering, fault classification, conformal calibration, and feature engineering.</w:t>
      </w:r>
    </w:p>
    <w:p>
      <w:pPr>
        <w:pStyle w:val="ListParagraph"/>
        <w:numPr>
          <w:ilvl w:val="0"/>
          <w:numId w:val="1"/>
        </w:numPr>
        <w:spacing w:after="80" w:line="264"/>
      </w:pPr>
      <w:r>
        <w:t xml:space="preserve">explain — the explanation service combining reason codes, SHAP attribution, and attention weights into one response.</w:t>
      </w:r>
    </w:p>
    <w:p>
      <w:pPr>
        <w:spacing w:after="160" w:line="276"/>
      </w:pPr>
      <w:r>
        <w:t xml:space="preserve">Two additional modules sit alongside the pipeline rather than inside its dependency chain: ops (alerts, demo mode, drift, maintenance, store) and report (the regulatory export renderer). A Typer-based CLI (provenance.cli, entry point `prov`) exposes every pipeline stage as an independently runnable command.</w:t>
      </w:r>
    </w:p>
    <w:p>
      <w:pPr>
        <w:pStyle w:val="Heading2"/>
        <w:spacing w:after="150" w:before="300"/>
      </w:pPr>
      <w:r>
        <w:t xml:space="preserve">4.4 Database Architecture</w:t>
      </w:r>
    </w:p>
    <w:p>
      <w:pPr>
        <w:spacing w:after="160" w:line="276"/>
      </w:pPr>
      <w:r>
        <w:t xml:space="preserve">Persistence uses SQLAlchemy 2.0 (async) against TimescaleDB in production and SQLite for tests, sharing the same ORM models (provenance.io.db.models) so the real routers run unchanged in both environments. Fourteen entities are defined; Readings, TrustScore, and Residual are Timescale hypertables chunked by day. Every derived row carries the id of the run that produced it (ingest_batch_id on readings; audit_run_id on defects, coverage facts, events, and trust scores), which is the storage-layer mechanism behind the product's traceability claim. Alembic manages schema migrations (infra/alembic), with three recorded migrations: initial schema, residuals, and the Phase-7 operational tables.</w:t>
      </w:r>
    </w:p>
    <w:p>
      <w:pPr>
        <w:pStyle w:val="Heading2"/>
        <w:spacing w:after="150" w:before="300"/>
      </w:pPr>
      <w:r>
        <w:t xml:space="preserve">4.5 API Architecture</w:t>
      </w:r>
    </w:p>
    <w:p>
      <w:pPr>
        <w:spacing w:after="160" w:line="276"/>
      </w:pPr>
      <w:r>
        <w:t xml:space="preserve">The API is a FastAPI application (provenance.api.app.create_app) composed of seventeen routers covering meta, stations, reference, readings, defects, trust, quality, events, audit, export, explain, deweather, graph, maintenance, alerts, decision, and admin. Cross-cutting concerns are implemented as middleware and shared dependencies: an explicit CORS allow-list (never a wildcard origin, given header-based authentication), a request-context middleware attaching an X-Request-ID, a Prometheus metrics middleware, and RFC 7807-shaped error handling. A single shared dependency, `require(role)`, gates every non-meta endpoint. Section 19 documents the API surface endpoint-by-endpoint.</w:t>
      </w:r>
    </w:p>
    <w:p>
      <w:pPr>
        <w:pStyle w:val="Heading2"/>
        <w:spacing w:after="150" w:before="300"/>
      </w:pPr>
      <w:r>
        <w:t xml:space="preserve">4.6 AI/ML Architecture</w:t>
      </w:r>
    </w:p>
    <w:p>
      <w:pPr>
        <w:spacing w:after="160" w:line="276"/>
      </w:pPr>
      <w:r>
        <w:t xml:space="preserve">Three families of model exist. (1) HST-GAT — a heterogeneous spatio-temporal graph-attention network (3,299 trainable parameters), trained as a masked autoencoder with masked Gaussian negative log-likelihood, producing a mean and variance per (station, hour) that backs both the ImputationUncertainty trust component and the learned adjudication path; its output is calibrated with split conformal prediction. (2) A meteorological deweathering model producing a per-reading residual (actual minus predicted) persisted with its model_version. (3) A fault classifier (LightGBM/scikit-learn based, per pyproject.toml dependencies) over engineered features, explained with SHAP. All neural training uses forward-chaining (time-blocked) cross-validation, is fully seeded, and is documented to be byte-identical on CPU (ADR 0009).</w:t>
      </w:r>
    </w:p>
    <w:p>
      <w:pPr>
        <w:pStyle w:val="Heading2"/>
        <w:spacing w:after="150" w:before="300"/>
      </w:pPr>
      <w:r>
        <w:t xml:space="preserve">4.7 Data Processing Architecture</w:t>
      </w:r>
    </w:p>
    <w:p>
      <w:pPr>
        <w:spacing w:after="160" w:line="276"/>
      </w:pPr>
      <w:r>
        <w:t xml:space="preserve">Data moves through the system as: raw file drop -&gt; checksum + manifest (io) -&gt; canonical schema validation (schema) -&gt; cadence-aware grid reindexing (grid) -&gt; parallel detector evaluation (detectors) -&gt; aggregated AuditRun (audit) -&gt; Trust Score computation (trust) -&gt; graph adjudication (graph) -&gt; deweathering / fault classification / imputation (models) -&gt; unified explanation (explain). Every stage's output is a typed, testable data structure (pandas DataFrame contracts checked with pandera, per pyproject.toml) rather than an untyped dict, and every headline number (the defect rate in particular) carries its own definition string end-to-end so it can never be rendered without its arithmetic.</w:t>
      </w:r>
    </w:p>
    <w:p>
      <w:pPr>
        <w:pStyle w:val="Heading2"/>
        <w:spacing w:after="150" w:before="300"/>
      </w:pPr>
      <w:r>
        <w:t xml:space="preserve">4.8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Integration</w:t>
            </w:r>
          </w:p>
        </w:tc>
        <w:tc>
          <w:tcPr>
            <w:tcW w:type="dxa" w:w="360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c>
          <w:tcPr>
            <w:tcW w:type="dxa" w:w="3360"/>
            <w:shd w:fill="1B6AB8" w:val="clear"/>
            <w:tcMar>
              <w:top w:type="dxa" w:w="80"/>
              <w:left w:type="dxa" w:w="100"/>
              <w:bottom w:type="dxa" w:w="80"/>
              <w:right w:type="dxa" w:w="100"/>
            </w:tcMar>
            <w:vAlign w:val="top"/>
          </w:tcPr>
          <w:p>
            <w:pPr>
              <w:spacing w:after="0"/>
            </w:pPr>
            <w:r>
              <w:rPr>
                <w:b/>
                <w:bCs/>
                <w:color w:val="FFFFFF"/>
                <w:sz w:val="19"/>
                <w:szCs w:val="19"/>
              </w:rPr>
              <w:t xml:space="preserve">Nature</w:t>
            </w:r>
          </w:p>
        </w:tc>
      </w:tr>
      <w:tr>
        <w:tc>
          <w:tcPr>
            <w:tcW w:type="dxa" w:w="2400"/>
            <w:tcMar>
              <w:top w:type="dxa" w:w="80"/>
              <w:left w:type="dxa" w:w="100"/>
              <w:bottom w:type="dxa" w:w="80"/>
              <w:right w:type="dxa" w:w="100"/>
            </w:tcMar>
            <w:vAlign w:val="top"/>
          </w:tcPr>
          <w:p>
            <w:pPr>
              <w:spacing w:after="0"/>
            </w:pPr>
            <w:r>
              <w:rPr>
                <w:sz w:val="19"/>
                <w:szCs w:val="19"/>
              </w:rPr>
              <w:t xml:space="preserve">Green Sentinel export</w:t>
            </w:r>
          </w:p>
        </w:tc>
        <w:tc>
          <w:tcPr>
            <w:tcW w:type="dxa" w:w="3600"/>
            <w:tcMar>
              <w:top w:type="dxa" w:w="80"/>
              <w:left w:type="dxa" w:w="100"/>
              <w:bottom w:type="dxa" w:w="80"/>
              <w:right w:type="dxa" w:w="100"/>
            </w:tcMar>
            <w:vAlign w:val="top"/>
          </w:tcPr>
          <w:p>
            <w:pPr>
              <w:spacing w:after="0"/>
            </w:pPr>
            <w:r>
              <w:rPr>
                <w:sz w:val="19"/>
                <w:szCs w:val="19"/>
              </w:rPr>
              <w:t xml:space="preserve">Primary environmental reading source.</w:t>
            </w:r>
          </w:p>
        </w:tc>
        <w:tc>
          <w:tcPr>
            <w:tcW w:type="dxa" w:w="3360"/>
            <w:tcMar>
              <w:top w:type="dxa" w:w="80"/>
              <w:left w:type="dxa" w:w="100"/>
              <w:bottom w:type="dxa" w:w="80"/>
              <w:right w:type="dxa" w:w="100"/>
            </w:tcMar>
            <w:vAlign w:val="top"/>
          </w:tcPr>
          <w:p>
            <w:pPr>
              <w:spacing w:after="0"/>
            </w:pPr>
            <w:r>
              <w:rPr>
                <w:sz w:val="19"/>
                <w:szCs w:val="19"/>
              </w:rPr>
              <w:t xml:space="preserve">Offline file drop, not a live API.</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Enclod traffic counters</w:t>
            </w:r>
          </w:p>
        </w:tc>
        <w:tc>
          <w:tcPr>
            <w:tcW w:type="dxa" w:w="3600"/>
            <w:shd w:fill="F5F8FC" w:val="clear"/>
            <w:tcMar>
              <w:top w:type="dxa" w:w="80"/>
              <w:left w:type="dxa" w:w="100"/>
              <w:bottom w:type="dxa" w:w="80"/>
              <w:right w:type="dxa" w:w="100"/>
            </w:tcMar>
            <w:vAlign w:val="top"/>
          </w:tcPr>
          <w:p>
            <w:pPr>
              <w:spacing w:after="0"/>
            </w:pPr>
            <w:r>
              <w:rPr>
                <w:sz w:val="19"/>
                <w:szCs w:val="19"/>
              </w:rPr>
              <w:t xml:space="preserve">Roadside traffic context for exposure/attribution.</w:t>
            </w:r>
          </w:p>
        </w:tc>
        <w:tc>
          <w:tcPr>
            <w:tcW w:type="dxa" w:w="3360"/>
            <w:shd w:fill="F5F8FC" w:val="clear"/>
            <w:tcMar>
              <w:top w:type="dxa" w:w="80"/>
              <w:left w:type="dxa" w:w="100"/>
              <w:bottom w:type="dxa" w:w="80"/>
              <w:right w:type="dxa" w:w="100"/>
            </w:tcMar>
            <w:vAlign w:val="top"/>
          </w:tcPr>
          <w:p>
            <w:pPr>
              <w:spacing w:after="0"/>
            </w:pPr>
            <w:r>
              <w:rPr>
                <w:sz w:val="19"/>
                <w:szCs w:val="19"/>
              </w:rPr>
              <w:t xml:space="preserve">Offline file drop with a dedicated repair module for cumulative-counter defects (resets, non-monotonicity).</w:t>
            </w:r>
          </w:p>
        </w:tc>
      </w:tr>
      <w:tr>
        <w:tc>
          <w:tcPr>
            <w:tcW w:type="dxa" w:w="2400"/>
            <w:tcMar>
              <w:top w:type="dxa" w:w="80"/>
              <w:left w:type="dxa" w:w="100"/>
              <w:bottom w:type="dxa" w:w="80"/>
              <w:right w:type="dxa" w:w="100"/>
            </w:tcMar>
            <w:vAlign w:val="top"/>
          </w:tcPr>
          <w:p>
            <w:pPr>
              <w:spacing w:after="0"/>
            </w:pPr>
            <w:r>
              <w:rPr>
                <w:sz w:val="19"/>
                <w:szCs w:val="19"/>
              </w:rPr>
              <w:t xml:space="preserve">HungaroMet weather</w:t>
            </w:r>
          </w:p>
        </w:tc>
        <w:tc>
          <w:tcPr>
            <w:tcW w:type="dxa" w:w="3600"/>
            <w:tcMar>
              <w:top w:type="dxa" w:w="80"/>
              <w:left w:type="dxa" w:w="100"/>
              <w:bottom w:type="dxa" w:w="80"/>
              <w:right w:type="dxa" w:w="100"/>
            </w:tcMar>
            <w:vAlign w:val="top"/>
          </w:tcPr>
          <w:p>
            <w:pPr>
              <w:spacing w:after="0"/>
            </w:pPr>
            <w:r>
              <w:rPr>
                <w:sz w:val="19"/>
                <w:szCs w:val="19"/>
              </w:rPr>
              <w:t xml:space="preserve">Wind conditioning and deweathering input.</w:t>
            </w:r>
          </w:p>
        </w:tc>
        <w:tc>
          <w:tcPr>
            <w:tcW w:type="dxa" w:w="3360"/>
            <w:tcMar>
              <w:top w:type="dxa" w:w="80"/>
              <w:left w:type="dxa" w:w="100"/>
              <w:bottom w:type="dxa" w:w="80"/>
              <w:right w:type="dxa" w:w="100"/>
            </w:tcMar>
            <w:vAlign w:val="top"/>
          </w:tcPr>
          <w:p>
            <w:pPr>
              <w:spacing w:after="0"/>
            </w:pPr>
            <w:r>
              <w:rPr>
                <w:sz w:val="19"/>
                <w:szCs w:val="19"/>
              </w:rPr>
              <w:t xml:space="preserve">Offline file drop.</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DKV GTFS (Volan Egyesules)</w:t>
            </w:r>
          </w:p>
        </w:tc>
        <w:tc>
          <w:tcPr>
            <w:tcW w:type="dxa" w:w="3600"/>
            <w:shd w:fill="F5F8FC" w:val="clear"/>
            <w:tcMar>
              <w:top w:type="dxa" w:w="80"/>
              <w:left w:type="dxa" w:w="100"/>
              <w:bottom w:type="dxa" w:w="80"/>
              <w:right w:type="dxa" w:w="100"/>
            </w:tcMar>
            <w:vAlign w:val="top"/>
          </w:tcPr>
          <w:p>
            <w:pPr>
              <w:spacing w:after="0"/>
            </w:pPr>
            <w:r>
              <w:rPr>
                <w:sz w:val="19"/>
                <w:szCs w:val="19"/>
              </w:rPr>
              <w:t xml:space="preserve">Transit-corridor layer for PopulationExposure.</w:t>
            </w:r>
          </w:p>
        </w:tc>
        <w:tc>
          <w:tcPr>
            <w:tcW w:type="dxa" w:w="3360"/>
            <w:shd w:fill="F5F8FC" w:val="clear"/>
            <w:tcMar>
              <w:top w:type="dxa" w:w="80"/>
              <w:left w:type="dxa" w:w="100"/>
              <w:bottom w:type="dxa" w:w="80"/>
              <w:right w:type="dxa" w:w="100"/>
            </w:tcMar>
            <w:vAlign w:val="top"/>
          </w:tcPr>
          <w:p>
            <w:pPr>
              <w:spacing w:after="0"/>
            </w:pPr>
            <w:r>
              <w:rPr>
                <w:sz w:val="19"/>
                <w:szCs w:val="19"/>
              </w:rPr>
              <w:t xml:space="preserve">Static GTFS feed, offline.</w:t>
            </w:r>
          </w:p>
        </w:tc>
      </w:tr>
      <w:tr>
        <w:tc>
          <w:tcPr>
            <w:tcW w:type="dxa" w:w="2400"/>
            <w:tcMar>
              <w:top w:type="dxa" w:w="80"/>
              <w:left w:type="dxa" w:w="100"/>
              <w:bottom w:type="dxa" w:w="80"/>
              <w:right w:type="dxa" w:w="100"/>
            </w:tcMar>
            <w:vAlign w:val="top"/>
          </w:tcPr>
          <w:p>
            <w:pPr>
              <w:spacing w:after="0"/>
            </w:pPr>
            <w:r>
              <w:rPr>
                <w:sz w:val="19"/>
                <w:szCs w:val="19"/>
              </w:rPr>
              <w:t xml:space="preserve">Protomaps basemap</w:t>
            </w:r>
          </w:p>
        </w:tc>
        <w:tc>
          <w:tcPr>
            <w:tcW w:type="dxa" w:w="3600"/>
            <w:tcMar>
              <w:top w:type="dxa" w:w="80"/>
              <w:left w:type="dxa" w:w="100"/>
              <w:bottom w:type="dxa" w:w="80"/>
              <w:right w:type="dxa" w:w="100"/>
            </w:tcMar>
            <w:vAlign w:val="top"/>
          </w:tcPr>
          <w:p>
            <w:pPr>
              <w:spacing w:after="0"/>
            </w:pPr>
            <w:r>
              <w:rPr>
                <w:sz w:val="19"/>
                <w:szCs w:val="19"/>
              </w:rPr>
              <w:t xml:space="preserve">Self-hosted vector basemap tiles for the network map.</w:t>
            </w:r>
          </w:p>
        </w:tc>
        <w:tc>
          <w:tcPr>
            <w:tcW w:type="dxa" w:w="3360"/>
            <w:tcMar>
              <w:top w:type="dxa" w:w="80"/>
              <w:left w:type="dxa" w:w="100"/>
              <w:bottom w:type="dxa" w:w="80"/>
              <w:right w:type="dxa" w:w="100"/>
            </w:tcMar>
            <w:vAlign w:val="top"/>
          </w:tcPr>
          <w:p>
            <w:pPr>
              <w:spacing w:after="0"/>
            </w:pPr>
            <w:r>
              <w:rPr>
                <w:sz w:val="19"/>
                <w:szCs w:val="19"/>
              </w:rPr>
              <w:t xml:space="preserve">Fetched and cached locally (scripts/fetch-basemap.sh), not a live third-party call at runtime (ADR 0006).</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Prometheus / Grafana</w:t>
            </w:r>
          </w:p>
        </w:tc>
        <w:tc>
          <w:tcPr>
            <w:tcW w:type="dxa" w:w="3600"/>
            <w:shd w:fill="F5F8FC" w:val="clear"/>
            <w:tcMar>
              <w:top w:type="dxa" w:w="80"/>
              <w:left w:type="dxa" w:w="100"/>
              <w:bottom w:type="dxa" w:w="80"/>
              <w:right w:type="dxa" w:w="100"/>
            </w:tcMar>
            <w:vAlign w:val="top"/>
          </w:tcPr>
          <w:p>
            <w:pPr>
              <w:spacing w:after="0"/>
            </w:pPr>
            <w:r>
              <w:rPr>
                <w:sz w:val="19"/>
                <w:szCs w:val="19"/>
              </w:rPr>
              <w:t xml:space="preserve">Infra and model-plane monitoring.</w:t>
            </w:r>
          </w:p>
        </w:tc>
        <w:tc>
          <w:tcPr>
            <w:tcW w:type="dxa" w:w="3360"/>
            <w:shd w:fill="F5F8FC" w:val="clear"/>
            <w:tcMar>
              <w:top w:type="dxa" w:w="80"/>
              <w:left w:type="dxa" w:w="100"/>
              <w:bottom w:type="dxa" w:w="80"/>
              <w:right w:type="dxa" w:w="100"/>
            </w:tcMar>
            <w:vAlign w:val="top"/>
          </w:tcPr>
          <w:p>
            <w:pPr>
              <w:spacing w:after="0"/>
            </w:pPr>
            <w:r>
              <w:rPr>
                <w:sz w:val="19"/>
                <w:szCs w:val="19"/>
              </w:rPr>
              <w:t xml:space="preserve">Local scrape target (/metrics) and dashboards checked into infra/monitoring/.</w:t>
            </w:r>
          </w:p>
        </w:tc>
      </w:tr>
    </w:tbl>
    <w:p>
      <w:pPr>
        <w:pStyle w:val="Heading2"/>
        <w:spacing w:after="150" w:before="300"/>
      </w:pPr>
      <w:r>
        <w:t xml:space="preserve">4.9 Deployment Architecture</w:t>
      </w:r>
    </w:p>
    <w:p>
      <w:pPr>
        <w:spacing w:after="160" w:line="276"/>
      </w:pPr>
      <w:r>
        <w:t xml:space="preserve">The demo/local deployment path is Docker Compose (infra/compose/docker-compose.yml): a TimescaleDB service, a Redis cache service, and profiled api/web application services with declared health checks and startup dependencies. Separate Dockerfiles exist for the API and the web app (infra/docker/). Kubernetes is a stated but explicitly unbuilt production path — infra/k8s/ contains only a README explaining the deliberate deferral: 'the competition build runs on Docker Compose; Kubernetes is the stated production path, not the demo path.'</w:t>
      </w:r>
    </w:p>
    <w:p>
      <w:pPr>
        <w:spacing w:after="6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76450"/>
                    </a:xfrm>
                    <a:prstGeom prst="rect">
                      <a:avLst/>
                    </a:prstGeom>
                  </pic:spPr>
                </pic:pic>
              </a:graphicData>
            </a:graphic>
          </wp:inline>
        </w:drawing>
      </w:r>
    </w:p>
    <w:p>
      <w:pPr>
        <w:spacing w:after="240" w:before="80"/>
        <w:jc w:val="center"/>
      </w:pPr>
      <w:r>
        <w:rPr>
          <w:i/>
          <w:iCs/>
          <w:color w:val="4A5568"/>
          <w:sz w:val="18"/>
          <w:szCs w:val="18"/>
        </w:rPr>
        <w:t xml:space="preserve">Figure 3. Deployment Architecture — Docker Compose services and the deferred Kubernetes path.</w:t>
      </w:r>
    </w:p>
    <w:p>
      <w:r>
        <w:br w:type="page"/>
      </w:r>
    </w:p>
    <w:p>
      <w:pPr>
        <w:pStyle w:val="Heading1"/>
        <w:spacing w:after="200" w:before="400"/>
      </w:pPr>
      <w:r>
        <w:t xml:space="preserve">5. Functional Requirements</w:t>
      </w:r>
    </w:p>
    <w:p>
      <w:pPr>
        <w:spacing w:after="160" w:line="276"/>
      </w:pPr>
      <w:r>
        <w:t xml:space="preserve">This section documents Provenance's functional capabilities as FR-001 through FR-028, organised by feature area. Every requirement is written in 'the system shall' form, is individually testable, and is annotated with its implementation status and the repository evidence supporting that status. A consolidated summary table follows the detailed requirement cards for quick reference and traceability.</w:t>
      </w:r>
    </w:p>
    <w:p>
      <w:pPr>
        <w:pStyle w:val="Heading2"/>
        <w:spacing w:after="150" w:before="300"/>
      </w:pPr>
      <w:r>
        <w:t xml:space="preserve">5.1 Data Ingestion and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FR-001 — Checksum-Idempotent Raw Data Ingestion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FR-001</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Checksum-Idempotent Raw Data Ingestion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ingest raw environmental data files from a designated file-drop location, compute a content checksum, and record the load as an IngestBatch such that re-ingesting byte-identical content produces no duplicate rows.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Field data drops are re-delivered and re-run during a live event; ingestion must be safe to repeat without corrupting the reading corpus.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Data Engineer / CLI operator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Execution of `prov db load` or the ingestion pipeline invoked by the audit orchestrator.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raw data file exists at the configured raw-data path and conforms to the documented layout in data/README.md.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Raw CSV/Excel export files (Green Sentinel, Enclod, HungaroMet, GTFS); the schema-assumptions configuration.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Compute file checksum; look up existing IngestBatch by checksum; if absent, parse rows, assign a stable row_hash per (timestamp_utc, content), and insert Reading rows keyed on (timestamp_utc, row_hash) so duplicate content collides and de-duplicates.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persisted IngestBatch record and associated Reading rows.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The readings table reflects the drop; a re-run of the same file changes nothing.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Malformed file, checksum collision with different row_count, or schema drift raises a validation error rather than silently coercing the data.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and integration tests on the loader; idempotency asserted by re-running the same fixture twice.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src/provenance/io/db/loader.py; src/provenance/io/db/models.py (IngestBatch, Reading); src/provenance/io/ingest/; data/README.md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FR-002 — Schema Assumption Validation and Drift Detection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FR-002</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Schema Assumption Validation and Drift Detection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validate an incoming data drop's observed columns, dtypes, unit strings, station identifiers, and parameter names against a versioned schema-assumptions configuration, and shall raise rather than silently coerce when the observed schema diverges.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Silent coercion of an unexpected unit or column would hide exactly the kind of defect the product exists to surface.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Data Engineer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data profile` / `prov schema observe` execution, or ingestion pipeline pre-check.</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schema_assumptions.yaml exists for the data source.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Raw data file; config/schema_assumptions.yaml.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Infer the observed schema; diff it against the recorded assumptions; write an observed-schema manifest keyed by checksum.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manifests/observed-schema-&lt;checksum&gt;.json; a pass/fail validation result.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Every audit run records which manifest it ran against.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Schema drift (new/missing column, changed unit string) halts ingestion with an explicit error rather than coercing.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schema/canonical.py and schema/observe.py.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src/provenance/schema/canonical.py; src/provenance/schema/observe.py; src/provenance/config/schema_assumptions.yaml; data/README.md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FR-003 — Cadence-Aware Grid Reindexing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FR-003</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Cadence-Aware Grid Reindexing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reindex each (station, parameter) reading series against that series' own measured cadence (hourly or daily) to construct the expected grid used for completeness and defect-rate arithmetic, rather than assuming a fixed hourly step.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Two of the real domains (noise/LAEQ) tick daily; a fixed-hour assumption would misstate both completeness and the defect rate's denominator.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 (audit pipeline)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Audit run execution.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Canonical readings are loaded.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Canonical reading frame; per-station coverage matrix.</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Infer each series' cadence; reindex to the expected grid; classify each grid cell as covered/not-covered.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coverage matrix and CoverageFact records for structurally absent sensors.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Absent rows behind a high 'conventional completeness' figure become visible as R01 (row-absent) defects rather than being hidden by the grid step.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 station/parameter combination the station never carries is excluded from both numerator and denominator (a coverage fact, not a defect).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in tests/unit for grid/coverage.py; property tests for cadence inference.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src/provenance/grid/coverage.py; src/provenance/detectors/row_absent.py</w:t>
            </w:r>
          </w:p>
        </w:tc>
      </w:tr>
    </w:tbl>
    <w:p>
      <w:pPr>
        <w:spacing w:after="240"/>
      </w:pPr>
    </w:p>
    <w:p>
      <w:pPr>
        <w:pStyle w:val="Heading2"/>
        <w:spacing w:after="150" w:before="300"/>
      </w:pPr>
      <w:r>
        <w:t xml:space="preserve">5.2 Data Quality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FR-004 — Multi-Detector Environmental Defect Audit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FR-004</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Multi-Detector Environmental Defect Audit</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run a registered set of at least thirteen independent defect detectors against a canonical reading frame and shall aggregate their findings into a single audit result without a detector's failure blocking the others.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No single statistical test catches a frozen sensor, a physically impossible cross-parameter relationship, a mislabelled unit, and a detection-limit floor at once; the product's thesis requires all of them running together.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Data Engineer / CI / 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audit run`, the API's audit trigger, or a CI/scheduled job.</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canonical reading frame is available (post-ingestion, post-schema-validation).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Canonical reading frame; detector thresholds (config/thresholds.yaml).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Run RowAbsentDetector, CommGapDetector, DuplicateTimestampDetector, OutOfOrderDetector, ExceedsMaxDetector, BelowMinDetector, CrossParamInversionDetector, UnitInconsistentDetector, DetectionLimitDetector, ZeroVarianceDetector, LowVarianceDetector, StepChangeDetector, StructuralAbsenceDetector, SensorDeadDetector in report order; each yields a Defect-shaped frame with a reason code and 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persisted AuditRun with its defect list, coverage facts, and summary statistics.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Every defect carries a reason code, a severity, and machine-checkable 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 detector that finds nothing returns an empty, correctly-typed frame rather than null; the orchestrator does not fail on an empty detector result.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per detector (tests/unit); property-based tests (tests/property) for detector invariants; golden-file regression on rendered audit.md.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src/provenance/detectors/registry.py; src/provenance/detectors/*.py (13 modules); src/provenance/audit/orchestrator.py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FR-005 — Defect Rate Computation with Attached Definition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FR-005</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Defect Rate Computation with Attached Definition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compute the network-wide defect rate as (defective covered cells / covered cells) and shall render the exact textual definition of that arithmetic alongside every reported number, in the API, CLI report, and regulatory export.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Standing rule: never let a single scrutinised headline number travel without the arithmetic that produced it, given prior findings that '99.95% complete' concealed real defects.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Completion of an audit run.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audit run has produced coverage and defect counts.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n_covered_cells, n_defective_cells from the coverage/detector stage.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defect_rate = n_defective_cells / n_covered_cells; a structural absence is excluded from both terms; the DEFINITION string is a single source of truth reused everywhere the number is rendered.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AuditRun.defect_rate; DEFINITION string rendered in audit.md, audit.html, and the /v1/export payload.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On the real 30-day Green Sentinel export, the measured rate is 29.1225% (50,843 defective cells / 174,583 covered cells).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Zero covered cells is a degenerate input handled explicitly rather than dividing by zero.</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Regression test pinning the exact rate and denominator on the fixture corpus; golden snapshot of the rendered definition string.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src/provenance/grid/defect_rate.py; CHANGELOG.md (headline reconciliation entry); docs/audit-methodology-v1.0.md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FR-006 — Structural Coverage Tracking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FR-006</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Structural Coverage Tracking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distinguish a structurally absent sensor (a parameter a station never carries) from a defective reading, and shall persist this distinction as CoverageFact records separate from Defect records.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Conflating 'never installed' with 'broken' would inflate the defect rate with cells that were never real questions to begin with.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Audit run execution.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Station coverage metadata is known from the observed schema.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Per-station coverage matrix.</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Classify each expected cell as covered/not-applicable; not-applicable cells are recorded with their own reason code and excluded from the defect-rate denominator.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CoverageFact rows linked to the producing AuditRun.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Uneven parameter coverage by station is visible without distorting the defect rate.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grid/coverage.py; integration test asserting CoverageFact/Defect are mutually exclusive per cell.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src/provenance/grid/coverage.py; src/provenance/io/db/models.py (CoverageFact)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FR-007 — Reason-Code Registry and Classification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FR-007</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Reason-Code Registry and Classification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maintain a versioned registry of reason codes (R01-R23 for audit findings, T00-T06 for adjudication/trust findings) each with a human-readable description and a flag for whether it counts toward the headline defect rate, and shall expose the registry via the CLI.</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An operator defending a number in a council meeting needs a stable, documented vocabulary for every finding, not a bare numeric flag.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Any actor consuming a defect, event, or trust explanation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codes list` / `prov codes show &lt;code&gt;`, or any component that raises a reason code.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Look up a code's description, category, and counts_toward_rate flag from the registry.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rendered code list or single-code detail.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Every Defect, Event, and TrustScore reason code is resolvable to a documented meaning.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An unregistered code is a defect in the code itself and is caught by tests, not surfaced to a user.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asserting every reason code raised anywhere in the codebase exists in the registry (architecture-layer test).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src/provenance/config/reason_codes.py; src/provenance/cli/main.py (codes_app); tests/architecture</w:t>
            </w:r>
          </w:p>
        </w:tc>
      </w:tr>
    </w:tbl>
    <w:p>
      <w:pPr>
        <w:spacing w:after="240"/>
      </w:pPr>
    </w:p>
    <w:p>
      <w:pPr>
        <w:pStyle w:val="Heading2"/>
        <w:spacing w:after="150" w:before="300"/>
      </w:pPr>
      <w:r>
        <w:t xml:space="preserve">5.3 Trust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FR-008 — Weighted Trust Score Computation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FR-008</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Weighted Trust Score Computation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compute, for every (station, timestamp), a Trust Score as Trust(s,t) = w1*HealthConf + w2*(1-ImputationUncertainty) + w3*CrossSensorConsistency + w4*PhysicalPlausibility, using a versioned, endorsed weight configuration, and shall never return the score without its component breakdown and at least one reason code.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 bare number cannot be defended; the product's core promise is that every score is explained.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 / API consumer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Trust scoring pass (batch) or a GET /v1/trust/{station_id} request.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audit run and its defects exist for the scoring window.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Active defects for the window; imputation uncertainty (modelled or placeholder); cross-sensor agreement; physical-bounds status; trust_weights.yaml.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Evaluate each of the four weighted components for the window; combine per the formula; attach reason codes and component values to the result; never null out a component silently.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TrustScore record (value, component breakdown, reason codes, degraded flag) persisted per (station, timestamp).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On the real export, DEB-KER11's stored trust drops 0.7347 -&gt; 0.4308 at the 4100.7 microg/m3 PM10 event with reason code T04 (physical implausibility).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Missing inputs for a component trigger graceful degradation (a documented placeholder value and a 'degraded' flag), never a crash or a silently wrong number.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per component; regression test pinning the KER11 trajectory; docs/trust-score-methodology-v1.0/1.1/1.2 as the versioned specification.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src/provenance/trust/engine.py; src/provenance/trust/score.py; src/provenance/trust/components.py; src/provenance/trust/config/trust_weights.yaml; docs/trust-score-methodology-v1.2-endorsement.md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FR-009 — Imputation Uncertainty Modelling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FR-009</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Imputation Uncertainty Modelling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model the ImputationUncertainty trust component using a graph-conditioned masked-autoencoder model (reusing HST-GAT neighbour aggregation) trained with masked Gaussian negative log-likelihood to predict a mean and variance per missing point, while preserving the raw absence fraction as a separate, non-overwritten value.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Presence/absence and 'how uncertain is the best available estimate' are two distinct questions; collapsing them into one number would discard information a trust score needs.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 / ML pipeline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Trust scoring pass for a station/parameter with missing readings; `prov models train-imputation`.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trained imputation model artefact exists for the parameter (or training is triggered on demand).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Historical readings for the parameter across the station graph; the HST-GAT neighbour-aggregation module.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Mask a fraction of known values during training; reconstruct from neighbours and history; score with masked Gaussian NLL to produce a calibrated per-point (mean, variance); at inference, expose the modelled uncertainty alongside the untouched raw absence fraction.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per-station/parameter ImputationUncertainty value feeding the Trust Score; the raw absence fraction retained alongside it.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A parameter without a trained artefact falls back to the raw placeholder for that parameter only (graceful degradation), never blocking scoring for other parameters.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No trained model for a parameter: modelled component is absent and the placeholder is used, flagged in the score's notes.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Unit/integration tests on trust/imputation.py; `make demo-real` auto-trains the missing cached model via an existence check before running.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src/provenance/trust/imputation.py; src/provenance/trust/components.py (ImputationUncertainty handling); src/provenance/models/hstgat/; docs/updates (U16 series, post-phase-7 update prompts)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FR-010 — Trust Score Time Series and Graceful Degradation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FR-010</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Trust Score Time Series and Graceful Degradation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present the Trust Score as a time series over a trailing window rather than a single point-in-time value where doing so is necessary to make a transient event visible, and shall degrade individual components independently rather than failing the whole score when an input is unavailable.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On the real network the point-in-time distribution is pessimistic and compressed; discrimination between a real event and background noise lives in the trajectory, not the snapshot.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API consumer / Operator dashboard</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Trust series query.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Trust scores exist across the requested window.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Persisted TrustScore rows for a station across a date range.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Return the series with each point's component breakdown; mark any point with a degraded component.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trust series response consumable by the dashboard's Sparkline/TrustBreakdown components.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Empty window returns an empty series, not an error.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Integration tests; dashboard component tests (apps/web/src/__tests__).</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src/provenance/trust/engine.py; apps/web/src/components/TrustBreakdown.tsx; apps/web/src/components/Sparkline.tsx; docs/trust-score-methodology-v1.1-invariants-and-series.md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FR-011 — Population-Exposure Risk Weighting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FR-011</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Medium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Population-Exposure Risk Weighting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compute a per-station PopulationExposure factor from a GTFS transit-corridor layer and shall use it, together with severity, to rank the maintenance queue and the Alert Centre so a high-exposure event outranks a confident low-exposure sensor fault.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 trust/fault signal alone cannot prioritise operator attention; risk to the public must weigh in.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Maintenance/alert ranking pass.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GTFS bundle and station coordinates are available.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GTFS static feed (DKV via Volan Egyesules); station coordinates; severity classification.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Derive an exposure proxy per station from transit-corridor proximity, normalised min-max across the current network; priority = severity_weight * importance (exposure).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MaintenanceItem.priority; Alert Centre ranking.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PopulationExposure is computed rather than the permanent Phase-2 stub; it degrades to a flagged neutral 1.0 only when no GTFS bundle or coordinate is available.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Missing GTFS bundle or station coordinate: exposure falls back to a flagged neutral value rather than blocking ranking.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 constructing a high-exposure/low-exposure pair and asserting rank order; docs/phase-reports/phase-7-ops.md.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src/provenance/grid/exposure.py; src/provenance/fixtures/gtfs.py; src/provenance/ops/severity.py; docs/decisions (station-zone/exposure notes)</w:t>
            </w:r>
          </w:p>
        </w:tc>
      </w:tr>
    </w:tbl>
    <w:p>
      <w:pPr>
        <w:spacing w:after="240"/>
      </w:pPr>
    </w:p>
    <w:p>
      <w:pPr>
        <w:pStyle w:val="Heading2"/>
        <w:spacing w:after="150" w:before="300"/>
      </w:pPr>
      <w:r>
        <w:t xml:space="preserve">5.4 Graph-Based Event Adjudication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FR-012 — Wind-Conditioned Station Graph Construction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FR-012</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Wind-Conditioned Station Graph Construction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build a graph over the station network whose edges are weighted by wind-conditioned expectation (in addition to spatial, weather, road, and transit relations) so that plume propagation between stations can be distinguished from coincidental correlation.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This is the mechanism that separates 'a plume moved downwind' from 'two independent sensors happened to spike together.'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Event adjudication request.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Station coordinates and a wind time series are available for the window.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Station topology; wind speed/direction series; station coordinates.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Build spatial, wind, weather, road, and transit edge types with type-specific weights; a wind-conditioned edge encodes expected downwind propagation strength.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typed graph object consumed by the analytic and learned adjudicators.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Missing wind data for the window: wind-relation edges fall back to a documented default rather than blocking graph construction.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graph/wind.py, graph/edges.py, graph/topology.py; property tests on graph invariants.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src/provenance/graph/build.py; src/provenance/graph/wind.py; src/provenance/graph/edges.py; src/provenance/graph/topology.py; src/provenance/config/graph.yaml</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FR-013 — Candidate Event Detection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FR-013</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Candidate Event Detection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identify candidate notable events (e.g., large excursions) from the audit's episode detection and shall persist them with a null verdict until adjudication runs.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Not every large reading is a public-health event or a sensor fault at the point it is first observed; the verdict is a separate, deliberate step.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Episode/event detection pass within the audit orchestrator.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audit run has completed.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Detector output, especially step-change and physical-bounds findings.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Rank candidate events; classify by category and reason code; persist with verdict = null.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Event rows (rank, category, reason_code, headline, severity, evidence, verdict=null).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Every event is later resolved to a verdict, a documented 'not applicable' reason, or remains pending.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An event whose own cell has no reading (e.g., a communications outage) records why adjudication does not apply, distinct from 'not yet adjudicated'.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detectors/episodes.py; integration test on the event persistence path.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src/provenance/detectors/episodes.py; src/provenance/io/db/models.py (Event); CHANGELOG.md (adjudication-not-applicable entry)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FR-014 — Plume-vs-Fault Adjudication Verdict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FR-014</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Plume-vs-Fault Adjudication Verdict</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adjudicate a candidate event by comparing observed propagation across the wind-conditioned graph against the expected plume pattern, returning one of LIKELY_REAL, LIKELY_FAULT, AMBIGUOUS (routed to human review), or a documented NOT_APPLICABLE reason, together with the supporting 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This is the analytical centrepiece separating 'the network detected a real pollution event' from 'a sensor broke' — the decision an operator cannot make from a single number.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 / Researcher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graph adjudicate` / `prov graph adjudicate-db`, or an API-triggered sweep.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candidate event and a constructed graph exist for the window.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Candidate event; wind-conditioned graph; neighbour readings.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Compare observed neighbour response against the graph's plume expectation; classify into one of the four verdict states; attach evidence (contributing stations, expected vs. observed pattern).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Event.verdict and Event.evidence.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On the real export, the DEB-KER11 4100.7 microg/m3 PM10 event resolves to LIKELY_FAULT (a deterministic physical-impossibility case, T04) rather than AMBIGUOUS.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Insufficient neighbour data yields AMBIGUOUS, routed to human review, never a forced binary call.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and property tests on graph/adjudicate.py, graph/expectation.py, graph/propagation.py; a documented, versioned adjudication write-up for the KER11 case.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src/provenance/graph/adjudicate.py; src/provenance/graph/expectation.py; src/provenance/graph/propagation.py; docs/adjudications/ker11-4100-evidence-v1.1.md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FR-015 — HST-GAT Learned Adjudication with Conformal Intervals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FR-015</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HST-GAT Learned Adjudication with Conformal Intervals</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provide a learned alternative to the analytic plume expectation using a heterogeneous spatio-temporal graph-attention network (HST-GAT), selectable behind a feature flag, and shall calibrate its predictions with split conformal prediction to produce a coverage-guaranteed interval rather than a bare point estimate.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An analytic prior is a defensible floor; a small, structurally-biased neural model can improve on it once trained, and a calibrated interval is required before any prediction can be trusted for a decision.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 / Researcher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`--learned` adjudication flag; GET /v1/graph/attention.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HST-GAT model artefact is trained and cached.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Wind-conditioned graph; trained HST-GAT weights; conformal calibration set.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Run the GRU+heterogeneous-attention forward pass per station/hour (3,299 trainable parameters); apply split conformal calibration to the predicted mean/variance to produce an interval with a stated coverage guarantee.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predicted mean, variance, and calibrated interval per station/hour; an attention overlay (exported, per model card) usable to explain which neighbours drove the prediction.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beta=0 recovers a plain heterogeneous GAT exactly; increasing beta monotonically increases attention to the wind-aligned neighbour (both pinned by tests).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No cached model artefact: `make demo-real` auto-trains it via a pre-flight existence check rather than failing at inference time.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Model-card-documented architecture and metrics (representative, corpus-scoped); pinned invariant tests (beta=0, monotonic attention); conformal coverage tests.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src/provenance/models/hstgat/; src/provenance/models/conformal/; src/provenance/api/routers/graph.py; docs/model-cards/hst-gat-v1.md; docs/decisions/0009-pyg-install.md</w:t>
            </w:r>
          </w:p>
        </w:tc>
      </w:tr>
    </w:tbl>
    <w:p>
      <w:pPr>
        <w:spacing w:after="240"/>
      </w:pPr>
    </w:p>
    <w:p>
      <w:pPr>
        <w:pStyle w:val="Heading2"/>
        <w:spacing w:after="150" w:before="300"/>
      </w:pPr>
      <w:r>
        <w:t xml:space="preserve">5.5 Meteorological and Fault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FR-016 — Meteorological Deweathering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FR-016</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Meteorological Deweathering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deweather pollutant series by predicting the meteorologically-expected value and computing a residual (actual minus predicted), and shall persist the residual with the model version that produced it, so that downstream anomaly detection scores the residual rather than the raw value.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 spike during a temperature inversion should be attributed to meteorology, not flagged as a fault; the residual is the meaningful signal for anomaly work.</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Deweathering pass; GET /v1/deweather/{station_id}.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Meteorological series (HungaroMet) are available for the window.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Pollutant readings; weather covariates.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Fit/apply a deweathering model; compute residual = actual - predicted; persist with model_version.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Residual rows keyed on (timestamp_utc, station_id, parameter, model_version).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A residual is meaningless without its model_version, which is why the key includes it.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Missing weather covariates for a window: the residual is not computed for that window rather than computed from an incomplete input.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models/deweather; integration test on the residual persistence path and the deweather API.</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src/provenance/models/deweather/; src/provenance/io/db/models.py (Residual); src/provenance/api/routers/deweather.py; docs/decisions/0008-deweathering-and-fault-classifier.md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FR-017 — ML-Based Fault Classification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FR-017</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Medium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ML-Based Fault Classification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classify a flagged reading or event as a probable sensor fault versus a probable real signal using a trained classifier over engineered features, feeding the maintenance queue and the sign-off 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Not every anomaly needs a full graph adjudication; a lighter classifier over engineered features supports the maintenance-queue triage path.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System</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models train`; scoring pass over new defects.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trained fault-classification model artefact exists.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Engineered features (models/features); defect/event context.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Score the input through the trained classifier; attach a class probability and SHAP-based feature attribution.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fault/real classification with attribution, feeding maintenance-item creation.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No trained artefact: classification is skipped and the item is queued without an ML classification, not blocked.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models/fault; docs/decisions/0008 records the design rationale.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src/provenance/models/fault/; src/provenance/models/features/; src/provenance/models/cv.py (time-blocked cross-validation)</w:t>
            </w:r>
          </w:p>
        </w:tc>
      </w:tr>
    </w:tbl>
    <w:p>
      <w:pPr>
        <w:spacing w:after="240"/>
      </w:pPr>
    </w:p>
    <w:p>
      <w:pPr>
        <w:pStyle w:val="Heading2"/>
        <w:spacing w:after="150" w:before="300"/>
      </w:pPr>
      <w:r>
        <w:t xml:space="preserve">5.6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FR-018 — Reason-Coded, SHAP-Attributed Explanation Service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FR-018</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Reason-Coded, SHAP-Attributed Explanation Service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provide, for every defect, a human-readable explanation combining its reason code, SHAP feature attributions where a model produced the finding, attention-weighted neighbours where a graph adjudication produced it, and a calibrated confidence interval where one exists, and shall never return a bare score.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Directly implements the product's stated promise: 'never a bare number.'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API consumer / Researcher / Operator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GET /v1/explain/{defect_id}.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defect, event, or trust score exists.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Defect/event/trust record; underlying model artefacts where applicable.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Assemble reason code text, SHAP values (if a model produced the finding), attention weights (if graph-derived), and any conformal interval into one response.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ExplainOut payload.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 defect with no model-derived signal (a pure statistical detector) returns the deterministic evidence it always carried, without a fabricated SHAP value.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explain/service.py, explain/shap_explain.py, explain/render.py.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src/provenance/explain/service.py; src/provenance/explain/shap_explain.py; src/provenance/explain/render.py; src/provenance/api/routers/explain.py</w:t>
            </w:r>
          </w:p>
        </w:tc>
      </w:tr>
    </w:tbl>
    <w:p>
      <w:pPr>
        <w:spacing w:after="240"/>
      </w:pPr>
    </w:p>
    <w:p>
      <w:pPr>
        <w:pStyle w:val="Heading2"/>
        <w:spacing w:after="150" w:before="300"/>
      </w:pPr>
      <w:r>
        <w:t xml:space="preserve">5.7 API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FR-019 — Role-Based API Access Control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FR-019</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Role-Based API Access Control</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authenticate every non-meta API request with an X-API-Key header, resolve it to one of four roles (public_read, researcher, operator, admin) forming a strict hierarchy, and shall reject a request lacking sufficient role with an RFC 7807 problem response.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Different consumers (the public, researchers, field operators, administrators) must see and do different things; a wrong-role request must fail loudly and explainably, never silently degrade.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All API consumers</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Any request to a role-gated endpoint.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X-API-Key header; PROVENANCE_API_KEYS configuration (JSON key-to-role map) or documented local-dev defaults.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Resolve the key to a role; check role_satisfies(role, required); on failure return HTTP 401 (no/invalid key) or 403 (insufficient role) as an RFC 7807 problem body.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The caller's resolved role, passed to the route handler.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Missing key: 401. Valid key, insufficient role: 403.</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A full RBAC matrix test (every endpoint x every role, 19x5 per phase-7 report); documented as a deliberate OIDC-shaped deferral.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src/provenance/api/auth.py; src/provenance/api/deps.py; docs/decisions/0004-api-auth-phase2.md; docs/decisions/0010-signoff-and-rbac-phase7.md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FR-020 — Query API for Stations, Readings, Defects, Events, and Trust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FR-020</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Query API for Stations, Readings, Defects, Events, and Trust</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expose paginated, role-gated read endpoints for stations, raw/flagged readings, defects, quality summary, events, audit runs, deweathered series, and the attention overlay.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The operator dashboard, researchers, and the public product all consume the same underlying data through one consistent, documented API surface.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Dashboard / Researcher / Public reader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GET requests to the respective /v1/* endpoints.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Query parameters (pagination, filters by station/parameter/time range).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Query the corresponding repository/service layer; serialise to the documented response schema.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Paginated JSON collections (Page[StationOut], Page[ReadingOut], Page[DefectOut], Page[EventOut], Page[AuditRunOut], QualitySummaryOut, DeweatherSeriesOut, AttentionOverlayOut).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Invalid filters return HTTP 422; an out-of-range integer path parameter (larger than SQLite's 64-bit INTEGER) returns HTTP 400 via a global OverflowError handler.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Schemathesis property-based fuzzing across every operation (phase-7 gate); router-level unit and integration tests.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src/provenance/api/routers/{stations,readings,defects,quality,events,audit,deweather,graph,reference}.py; src/provenance/api/pagination.py; src/provenance/api/schemas.py; docs/api/</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FR-021 — Regulatory Audit-Trail Export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FR-021</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Regulatory Audit-Trail Export</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produce a regulator-facing export of an audit run in CSV, JSON, and a self-contained single-page PDF, including model versions, sign-off records, and a reproducible verification hash, such that the reading count reconciles against the database.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 council or regulator needs a reproducible, checkable artefact, not a live API response, to accept a finding.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Researcher / Regulator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GET /v1/export/audit-trail.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audit run exists.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AuditRun; associated defects, events, sign-offs, and dispatches.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Assemble the export payload; compute a verification hash stable across sign-off activity; render CSV, JSON, and a dependency-free PDF-1.4 writer output.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RegulatoryExport (CSV/JSON/PDF).</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The reading count in the export reconciles exactly against the database; the hash is reproducible across repeated exports of the same run.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Export-completeness test reconciling reading counts; hash-reproducibility test (phase-7 gate).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src/provenance/report/regulatory.py; src/provenance/report/render.py; src/provenance/report/templates/; src/provenance/api/routers/export.py</w:t>
            </w:r>
          </w:p>
        </w:tc>
      </w:tr>
    </w:tbl>
    <w:p>
      <w:pPr>
        <w:spacing w:after="240"/>
      </w:pPr>
    </w:p>
    <w:p>
      <w:pPr>
        <w:pStyle w:val="Heading2"/>
        <w:spacing w:after="150" w:before="300"/>
      </w:pPr>
      <w:r>
        <w:t xml:space="preserve">5.8 Operations: Maintenance, Alerts, Sign-off,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FR-022 — Maintenance Ticket Lifecycle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FR-022</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Maintenance Ticket Lifecycle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auto-raise a maintenance ticket from a fault classification, prioritise it by severity weight times station importance (PopulationExposure), and track its lifecycle open -&gt; acknowledged -&gt; dispatched -&gt; resolved with a full, append-only transition history, de-duplicating on (run, station, parameter, reason code).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Operators need a single, prioritised, auditable queue of what needs fixing, not a raw defect list.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Operator / Admin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Audit/classification completion; POST /v1/maintenance/{item_id}/transition.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 fault classification or defect exists.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Defect/fault classification; severity; PopulationExposure.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Compute priority; upsert (dedupe) the ticket; on transition, append a MaintenanceTransition row recording actor, from/to status, note, and timestamp.</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MaintenanceItem and MaintenanceTransition rows; GET /v1/maintenance list and detail; POST rebuild/transition.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Re-running the population step never duplicates a ticket.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An invalid state transition is rejected with a documented error.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 tests on the priority formula and dedupe constraint; integration test on the transition endpoint.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src/provenance/io/db/models.py (MaintenanceItem, MaintenanceTransition); src/provenance/api/routers/maintenance.py; src/provenance/ops/severity.py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FR-023 — Risk-Ranked Alert Centre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FR-023</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Risk-Ranked Alert Centre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rank candidate public-facing alerts by risk (severity x population exposure), not by model confidence alone, so a genuine high-exposure event outranks a confident low-exposure sensor fault.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Confidence and consequence are different axes; ranking by confidence alone would misprioritise operator attention.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Operator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GET /v1/alerts.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Adjudicated or pending events exist.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Events; their verdicts/evidence; PopulationExposure.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Compute a risk-based rank; return the ordered list.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ranked list of alert candidates.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An event with no plume question to answer (e.g., an outage) is distinguished from a pending item rather than shown as perpetually pending -- a documented known gap: the Alert Centre item itself does not yet carry that evidence field end-to-end.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Constructed high-exposure/low-exposure pair test asserting rank order (phase-7 gate).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src/provenance/api/routers/alerts.py; src/provenance/ops/alerts.py; apps/web/src/features/alerts/AlertCentre.tsx</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FR-024 — Human Sign-off Gate for Public Dispatch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FR-024</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Critical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Human Sign-off Gate for Public Dispatch</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route every public-facing alert dispatch through a single choke point that refuses to send without a valid, non-expired, non-revoked operator sign-off token bound to that specific event and channel, and shall make dispatch idempotent on (event, channel, sign-off).</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The product deliberately never auto-publishes a public alert; this is the single mechanism enforcing that guarantee.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Operator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POST /v1/decision/signoff then POST /v1/decision/dispatch.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An event has a verdict and evidence.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Operator identity; evidence viewed; channel; model_version.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Create a SignoffToken (hashing the evidence shown, recording expiry); on dispatch, verify the token is valid/unexpired/unrevoked and unique on (event_id, channel, signoff_id) before appending to the outbox.</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SignoffToken and Dispatch records; a delivery receipt.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A retried dispatch with the same idempotency key is a no-op, not a duplicate send.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Expired, revoked, or missing sign-off: dispatch is refused with an explicit error.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A static call-graph architecture test making 'no alert without sign-off' structurally un-bypassable; idempotency test under retry and under concurrency.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src/provenance/api/decision/{gate,signoff,channels}.py; src/provenance/io/db/models.py (SignoffToken, Dispatch); docs/decisions/0010-signoff-and-rbac-phase7.md; tests/architecture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FR-025 — Admin Dashboard and Model-Drift Monitoring</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FR-025</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Medium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Admin Dashboard and Model-Drift Monitoring</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expose an admin-only surface reporting system status, model versions, configuration hashes, export history, and a model-drift monitor (R2/coverage/confusion trends and defect-rate-by-station drift), and shall provide a retraining trigger.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An administrator needs visibility into whether the deployed models are still performing as designed and a controlled way to retrain them.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Admin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GET /v1/admin/status; GET /v1/admin/model-drift; POST /v1/admin/retrain.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Persisted model metadata; historical scoring metrics.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Aggregate status and drift series; on retrain, trigger the configured training job.</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Admin status payload; drift series; retrain acknowledgement.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Defect-rate-by-station drift is always real; model-metric panels populate only after models have been trained at least once (graceful degradation with an explicit 'no history yet' state).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No trained model artefact: the corresponding drift panel reports no history rather than fabricating a series.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Unit/integration tests on admin.py; infra/monitoring Grafana dashboards for the two-plane (infra + model) monitoring split.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src/provenance/api/routers/admin.py; src/provenance/ops/drift.py; apps/web/src/features/admin/{AdminDashboard,ModelDriftPanels,RbacMatrix}.tsx; infra/monitoring/grafana-model-drift.json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FR-026 — Deterministic Offline Demo Mode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FR-026</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Medium</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Deterministic Offline Demo Mode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provide a byte-identical, network-egress-free demo mode with a documented set of scenarios, reproducible across repeated runs from the CLI or as a library call, with a fallback recorder.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A live competition demo cannot depend on network availability or non-deterministic model output; the on-stage narrative must reproduce exactly on rehearsal.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Presenter / Operator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`prov demo run`, `prov demo rehearse`, `prov demo list`.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A named scenario.</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Replay the scenario deterministically against seeded fixture or cached real data; verify egress is blocked.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A deterministic sequence of screen states / computed numbers.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Byte-identical output is asserted across repeated runs (a pinned regression test).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Network egress attempted during a demo run is a test failure, not a silent fallback.</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Demo-mode determinism test; full offline run test with network egress blocked; full-script rehearsal test reaching every key screen state.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src/provenance/ops/demo.py; src/provenance/fixtures/demo_scenario.py; tests/e2e/test_demo_rehearsal.py; docs/demo/</w:t>
            </w:r>
          </w:p>
        </w:tc>
      </w:tr>
    </w:tbl>
    <w:p>
      <w:pPr>
        <w:spacing w:after="240"/>
      </w:pPr>
    </w:p>
    <w:p>
      <w:pPr>
        <w:pStyle w:val="Heading2"/>
        <w:spacing w:after="150" w:before="300"/>
      </w:pPr>
      <w:r>
        <w:t xml:space="preserve">5.9 Dashboard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FR-027 — Operator Dashboard Visualization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FR-027</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Operator Dashboard Visualization</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FEF6E7" w:val="clear"/>
            <w:tcMar>
              <w:top w:type="dxa" w:w="80"/>
              <w:left w:type="dxa" w:w="100"/>
              <w:bottom w:type="dxa" w:w="80"/>
              <w:right w:type="dxa" w:w="100"/>
            </w:tcMar>
            <w:vAlign w:val="top"/>
          </w:tcPr>
          <w:p>
            <w:pPr>
              <w:spacing w:after="0"/>
            </w:pPr>
            <w:r>
              <w:rPr>
                <w:sz w:val="19"/>
                <w:szCs w:val="19"/>
              </w:rPr>
              <w:t xml:space="preserve">Partially 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present a React/TypeScript operator dashboard with a network map (station markers, wind edges, HST-GAT attention overlay), an event timeline with adjudication detail, a station detail panel with trust breakdown, and an evidence panel, gated by the caller's role.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The audit/trust/adjudication findings are only useful to a human operator through a legible visual surface, not a raw JSON response.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Operator / Researcher / Public reader (per role)</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Dashboard navigation.</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The API is reachable and the caller is authenticated for the requested view.</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API responses (stations, trust, events, defects, attention overlay).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Render the MapLibre GL network map with station markers and wind edges; render the timeline, station detail, and evidence panels; gate operational panels (Alert Centre, Admin, maintenance) by role via RequireRole.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Rendered UI screens.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A component whose data is unavailable renders a documented empty/loading/error state (src/components/States.tsx) rather than crashing the page.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Vitest unit/component tests; Playwright visual-baseline and accessibility (axe-core) tests.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apps/web/src/features/map/{NetworkMap,MapOverlays,windEdges}.tsx; apps/web/src/features/timeline/{EventTimeline,AdjudicationDetail}.tsx; apps/web/src/features/station/StationDetailPanel.tsx; apps/web/src/components/{TrustBreakdown,FactorBreakdown,DataTable}.tsx</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60"/>
        <w:gridCol w:w="1600"/>
        <w:gridCol w:w="2300"/>
      </w:tblGrid>
      <w:tr>
        <w:tc>
          <w:tcPr>
            <w:tcW w:type="dxa" w:w="9360"/>
            <w:gridSpan w:val="4"/>
            <w:shd w:fill="1B6AB8" w:val="clear"/>
            <w:tcMar>
              <w:top w:type="dxa" w:w="80"/>
              <w:left w:type="dxa" w:w="100"/>
              <w:bottom w:type="dxa" w:w="80"/>
              <w:right w:type="dxa" w:w="100"/>
            </w:tcMar>
            <w:vAlign w:val="top"/>
          </w:tcPr>
          <w:p>
            <w:pPr>
              <w:spacing w:after="0"/>
            </w:pPr>
            <w:r>
              <w:rPr>
                <w:b/>
                <w:bCs/>
                <w:color w:val="FFFFFF"/>
                <w:sz w:val="21"/>
                <w:szCs w:val="21"/>
              </w:rPr>
              <w:t xml:space="preserve">FR-028 — CLI Operations Tooling (`prov`)</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Requirement ID</w:t>
            </w:r>
          </w:p>
        </w:tc>
        <w:tc>
          <w:tcPr>
            <w:tcW w:type="dxa" w:w="3860"/>
            <w:tcMar>
              <w:top w:type="dxa" w:w="80"/>
              <w:left w:type="dxa" w:w="100"/>
              <w:bottom w:type="dxa" w:w="80"/>
              <w:right w:type="dxa" w:w="100"/>
            </w:tcMar>
            <w:vAlign w:val="top"/>
          </w:tcPr>
          <w:p>
            <w:pPr>
              <w:spacing w:after="0"/>
            </w:pPr>
            <w:r>
              <w:rPr>
                <w:sz w:val="19"/>
                <w:szCs w:val="19"/>
              </w:rPr>
              <w:t xml:space="preserve">FR-028</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Priority</w:t>
            </w:r>
          </w:p>
        </w:tc>
        <w:tc>
          <w:tcPr>
            <w:tcW w:type="dxa" w:w="2300"/>
            <w:tcMar>
              <w:top w:type="dxa" w:w="80"/>
              <w:left w:type="dxa" w:w="100"/>
              <w:bottom w:type="dxa" w:w="80"/>
              <w:right w:type="dxa" w:w="100"/>
            </w:tcMar>
            <w:vAlign w:val="top"/>
          </w:tcPr>
          <w:p>
            <w:pPr>
              <w:spacing w:after="0"/>
            </w:pPr>
            <w:r>
              <w:rPr>
                <w:sz w:val="19"/>
                <w:szCs w:val="19"/>
              </w:rPr>
              <w:t xml:space="preserve">High</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Name</w:t>
            </w:r>
          </w:p>
        </w:tc>
        <w:tc>
          <w:tcPr>
            <w:tcW w:type="dxa" w:w="3860"/>
            <w:tcMar>
              <w:top w:type="dxa" w:w="80"/>
              <w:left w:type="dxa" w:w="100"/>
              <w:bottom w:type="dxa" w:w="80"/>
              <w:right w:type="dxa" w:w="100"/>
            </w:tcMar>
            <w:vAlign w:val="top"/>
          </w:tcPr>
          <w:p>
            <w:pPr>
              <w:spacing w:after="0"/>
            </w:pPr>
            <w:r>
              <w:rPr>
                <w:sz w:val="19"/>
                <w:szCs w:val="19"/>
              </w:rPr>
              <w:t xml:space="preserve">CLI Operations Tooling (`prov`)</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Status</w:t>
            </w:r>
          </w:p>
        </w:tc>
        <w:tc>
          <w:tcPr>
            <w:tcW w:type="dxa" w:w="230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Description</w:t>
            </w:r>
          </w:p>
        </w:tc>
        <w:tc>
          <w:tcPr>
            <w:tcW w:type="dxa" w:w="7760"/>
            <w:gridSpan w:val="3"/>
            <w:tcMar>
              <w:top w:type="dxa" w:w="80"/>
              <w:left w:type="dxa" w:w="100"/>
              <w:bottom w:type="dxa" w:w="80"/>
              <w:right w:type="dxa" w:w="100"/>
            </w:tcMar>
            <w:vAlign w:val="top"/>
          </w:tcPr>
          <w:p>
            <w:pPr>
              <w:spacing w:after="0"/>
            </w:pPr>
            <w:r>
              <w:rPr>
                <w:sz w:val="19"/>
                <w:szCs w:val="19"/>
              </w:rPr>
              <w:t xml:space="preserve">The system shall provide a Typer-based command-line interface exposing data profiling, schema observation, audit execution and reporting, fixture generation, database load/upgrade/reset, graph adjudication, model training (fault, HST-GAT, imputation), residual computation, demo control, and the reason-code registry.</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Rationale</w:t>
            </w:r>
          </w:p>
        </w:tc>
        <w:tc>
          <w:tcPr>
            <w:tcW w:type="dxa" w:w="7760"/>
            <w:gridSpan w:val="3"/>
            <w:tcMar>
              <w:top w:type="dxa" w:w="80"/>
              <w:left w:type="dxa" w:w="100"/>
              <w:bottom w:type="dxa" w:w="80"/>
              <w:right w:type="dxa" w:w="100"/>
            </w:tcMar>
            <w:vAlign w:val="top"/>
          </w:tcPr>
          <w:p>
            <w:pPr>
              <w:spacing w:after="0"/>
            </w:pPr>
            <w:r>
              <w:rPr>
                <w:sz w:val="19"/>
                <w:szCs w:val="19"/>
              </w:rPr>
              <w:t xml:space="preserve">Every pipeline stage must be independently runnable and scriptable for CI, local development, and offline demo preparation, not only reachable through the API.</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Actor</w:t>
            </w:r>
          </w:p>
        </w:tc>
        <w:tc>
          <w:tcPr>
            <w:tcW w:type="dxa" w:w="3860"/>
            <w:tcMar>
              <w:top w:type="dxa" w:w="80"/>
              <w:left w:type="dxa" w:w="100"/>
              <w:bottom w:type="dxa" w:w="80"/>
              <w:right w:type="dxa" w:w="100"/>
            </w:tcMar>
            <w:vAlign w:val="top"/>
          </w:tcPr>
          <w:p>
            <w:pPr>
              <w:spacing w:after="0"/>
            </w:pPr>
            <w:r>
              <w:rPr>
                <w:sz w:val="19"/>
                <w:szCs w:val="19"/>
              </w:rPr>
              <w:t xml:space="preserve">Data Engineer / Developer / Presenter</w:t>
            </w:r>
          </w:p>
        </w:tc>
        <w:tc>
          <w:tcPr>
            <w:tcW w:type="dxa" w:w="16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2300"/>
            <w:tcMar>
              <w:top w:type="dxa" w:w="80"/>
              <w:left w:type="dxa" w:w="100"/>
              <w:bottom w:type="dxa" w:w="80"/>
              <w:right w:type="dxa" w:w="100"/>
            </w:tcMar>
            <w:vAlign w:val="top"/>
          </w:tcPr>
          <w:p>
            <w:pPr>
              <w:spacing w:after="0"/>
            </w:pPr>
            <w:r>
              <w:rPr>
                <w:sz w:val="19"/>
                <w:szCs w:val="19"/>
              </w:rPr>
              <w:t xml:space="preserve">Invocation of `prov &lt;command&gt;`.</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760"/>
            <w:gridSpan w:val="3"/>
            <w:tcMar>
              <w:top w:type="dxa" w:w="80"/>
              <w:left w:type="dxa" w:w="100"/>
              <w:bottom w:type="dxa" w:w="80"/>
              <w:right w:type="dxa" w:w="100"/>
            </w:tcMar>
            <w:vAlign w:val="top"/>
          </w:tcPr>
          <w:p>
            <w:pPr>
              <w:spacing w:after="0"/>
            </w:pPr>
            <w:r>
              <w:rPr>
                <w:sz w:val="19"/>
                <w:szCs w:val="19"/>
              </w:rPr>
              <w:t xml:space="preserve">The project is installed (`make install`).</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Inputs</w:t>
            </w:r>
          </w:p>
        </w:tc>
        <w:tc>
          <w:tcPr>
            <w:tcW w:type="dxa" w:w="7760"/>
            <w:gridSpan w:val="3"/>
            <w:tcMar>
              <w:top w:type="dxa" w:w="80"/>
              <w:left w:type="dxa" w:w="100"/>
              <w:bottom w:type="dxa" w:w="80"/>
              <w:right w:type="dxa" w:w="100"/>
            </w:tcMar>
            <w:vAlign w:val="top"/>
          </w:tcPr>
          <w:p>
            <w:pPr>
              <w:spacing w:after="0"/>
            </w:pPr>
            <w:r>
              <w:rPr>
                <w:sz w:val="19"/>
                <w:szCs w:val="19"/>
              </w:rPr>
              <w:t xml:space="preserve">Command-line arguments and options.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Processing Rules</w:t>
            </w:r>
          </w:p>
        </w:tc>
        <w:tc>
          <w:tcPr>
            <w:tcW w:type="dxa" w:w="7760"/>
            <w:gridSpan w:val="3"/>
            <w:tcMar>
              <w:top w:type="dxa" w:w="80"/>
              <w:left w:type="dxa" w:w="100"/>
              <w:bottom w:type="dxa" w:w="80"/>
              <w:right w:type="dxa" w:w="100"/>
            </w:tcMar>
            <w:vAlign w:val="top"/>
          </w:tcPr>
          <w:p>
            <w:pPr>
              <w:spacing w:after="0"/>
            </w:pPr>
            <w:r>
              <w:rPr>
                <w:sz w:val="19"/>
                <w:szCs w:val="19"/>
              </w:rPr>
              <w:t xml:space="preserve">Dispatch to the corresponding pipeline module.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Outputs</w:t>
            </w:r>
          </w:p>
        </w:tc>
        <w:tc>
          <w:tcPr>
            <w:tcW w:type="dxa" w:w="7760"/>
            <w:gridSpan w:val="3"/>
            <w:tcMar>
              <w:top w:type="dxa" w:w="80"/>
              <w:left w:type="dxa" w:w="100"/>
              <w:bottom w:type="dxa" w:w="80"/>
              <w:right w:type="dxa" w:w="100"/>
            </w:tcMar>
            <w:vAlign w:val="top"/>
          </w:tcPr>
          <w:p>
            <w:pPr>
              <w:spacing w:after="0"/>
            </w:pPr>
            <w:r>
              <w:rPr>
                <w:sz w:val="19"/>
                <w:szCs w:val="19"/>
              </w:rPr>
              <w:t xml:space="preserve">Console output (Rich-formatted) and/or persisted artefacts.</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760"/>
            <w:gridSpan w:val="3"/>
            <w:tcMar>
              <w:top w:type="dxa" w:w="80"/>
              <w:left w:type="dxa" w:w="100"/>
              <w:bottom w:type="dxa" w:w="80"/>
              <w:right w:type="dxa" w:w="100"/>
            </w:tcMar>
            <w:vAlign w:val="top"/>
          </w:tcPr>
          <w:p>
            <w:pPr>
              <w:spacing w:after="0"/>
            </w:pPr>
            <w:r>
              <w:rPr>
                <w:sz w:val="19"/>
                <w:szCs w:val="19"/>
              </w:rPr>
              <w:t xml:space="preserve">N/A</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Exception Conditions</w:t>
            </w:r>
          </w:p>
        </w:tc>
        <w:tc>
          <w:tcPr>
            <w:tcW w:type="dxa" w:w="7760"/>
            <w:gridSpan w:val="3"/>
            <w:tcMar>
              <w:top w:type="dxa" w:w="80"/>
              <w:left w:type="dxa" w:w="100"/>
              <w:bottom w:type="dxa" w:w="80"/>
              <w:right w:type="dxa" w:w="100"/>
            </w:tcMar>
            <w:vAlign w:val="top"/>
          </w:tcPr>
          <w:p>
            <w:pPr>
              <w:spacing w:after="0"/>
            </w:pPr>
            <w:r>
              <w:rPr>
                <w:sz w:val="19"/>
                <w:szCs w:val="19"/>
              </w:rPr>
              <w:t xml:space="preserve">Invalid arguments produce a Typer-formatted usage error.</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Verification Method</w:t>
            </w:r>
          </w:p>
        </w:tc>
        <w:tc>
          <w:tcPr>
            <w:tcW w:type="dxa" w:w="7760"/>
            <w:gridSpan w:val="3"/>
            <w:tcMar>
              <w:top w:type="dxa" w:w="80"/>
              <w:left w:type="dxa" w:w="100"/>
              <w:bottom w:type="dxa" w:w="80"/>
              <w:right w:type="dxa" w:w="100"/>
            </w:tcMar>
            <w:vAlign w:val="top"/>
          </w:tcPr>
          <w:p>
            <w:pPr>
              <w:spacing w:after="0"/>
            </w:pPr>
            <w:r>
              <w:rPr>
                <w:sz w:val="19"/>
                <w:szCs w:val="19"/>
              </w:rPr>
              <w:t xml:space="preserve">CLI-level tests exercising each command; `make check` runs the full backend gate.</w:t>
            </w:r>
          </w:p>
        </w:tc>
      </w:tr>
      <w:tr>
        <w:tc>
          <w:tcPr>
            <w:tcW w:type="dxa" w:w="1600"/>
            <w:shd w:fill="F0F4F8" w:val="clear"/>
            <w:tcMar>
              <w:top w:type="dxa" w:w="80"/>
              <w:left w:type="dxa" w:w="100"/>
              <w:bottom w:type="dxa" w:w="80"/>
              <w:right w:type="dxa" w:w="100"/>
            </w:tcMar>
            <w:vAlign w:val="top"/>
          </w:tcPr>
          <w:p>
            <w:pPr>
              <w:spacing w:after="0"/>
            </w:pPr>
            <w:r>
              <w:rPr>
                <w:b/>
                <w:bCs/>
                <w:sz w:val="19"/>
                <w:szCs w:val="19"/>
              </w:rPr>
              <w:t xml:space="preserve">Evidence</w:t>
            </w:r>
          </w:p>
        </w:tc>
        <w:tc>
          <w:tcPr>
            <w:tcW w:type="dxa" w:w="7760"/>
            <w:gridSpan w:val="3"/>
            <w:tcMar>
              <w:top w:type="dxa" w:w="80"/>
              <w:left w:type="dxa" w:w="100"/>
              <w:bottom w:type="dxa" w:w="80"/>
              <w:right w:type="dxa" w:w="100"/>
            </w:tcMar>
            <w:vAlign w:val="top"/>
          </w:tcPr>
          <w:p>
            <w:pPr>
              <w:spacing w:after="0"/>
            </w:pPr>
            <w:r>
              <w:rPr>
                <w:sz w:val="19"/>
                <w:szCs w:val="19"/>
              </w:rPr>
              <w:t xml:space="preserve">src/provenance/cli/main.py; Makefile</w:t>
            </w:r>
          </w:p>
        </w:tc>
      </w:tr>
    </w:tbl>
    <w:p>
      <w:pPr>
        <w:spacing w:after="240"/>
      </w:pPr>
    </w:p>
    <w:p>
      <w:r>
        <w:br w:type="page"/>
      </w:r>
    </w:p>
    <w:p>
      <w:pPr>
        <w:pStyle w:val="Heading2"/>
        <w:spacing w:after="150" w:before="300"/>
      </w:pPr>
      <w:r>
        <w:t xml:space="preserve">5.10 Functional Requirements Summary Table</w:t>
      </w:r>
    </w:p>
    <w:p>
      <w:pPr>
        <w:spacing w:after="160" w:line="276"/>
      </w:pPr>
      <w:r>
        <w:t xml:space="preserve">Legend: green = Implemented, amber = Partially Implemented, red = Proposed /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1400"/>
        <w:gridCol w:w="2160"/>
      </w:tblGrid>
      <w:tr>
        <w:trPr>
          <w:tblHeader/>
        </w:trPr>
        <w:tc>
          <w:tcPr>
            <w:tcW w:type="dxa" w:w="10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4800"/>
            <w:shd w:fill="1B6AB8" w:val="clear"/>
            <w:tcMar>
              <w:top w:type="dxa" w:w="80"/>
              <w:left w:type="dxa" w:w="100"/>
              <w:bottom w:type="dxa" w:w="80"/>
              <w:right w:type="dxa" w:w="100"/>
            </w:tcMar>
            <w:vAlign w:val="top"/>
          </w:tcPr>
          <w:p>
            <w:pPr>
              <w:spacing w:after="0"/>
            </w:pPr>
            <w:r>
              <w:rPr>
                <w:b/>
                <w:bCs/>
                <w:color w:val="FFFFFF"/>
                <w:sz w:val="19"/>
                <w:szCs w:val="19"/>
              </w:rPr>
              <w:t xml:space="preserve">Name</w:t>
            </w:r>
          </w:p>
        </w:tc>
        <w:tc>
          <w:tcPr>
            <w:tcW w:type="dxa" w:w="1400"/>
            <w:shd w:fill="1B6AB8" w:val="clear"/>
            <w:tcMar>
              <w:top w:type="dxa" w:w="80"/>
              <w:left w:type="dxa" w:w="100"/>
              <w:bottom w:type="dxa" w:w="80"/>
              <w:right w:type="dxa" w:w="100"/>
            </w:tcMar>
            <w:vAlign w:val="top"/>
          </w:tcPr>
          <w:p>
            <w:pPr>
              <w:spacing w:after="0"/>
            </w:pPr>
            <w:r>
              <w:rPr>
                <w:b/>
                <w:bCs/>
                <w:color w:val="FFFFFF"/>
                <w:sz w:val="19"/>
                <w:szCs w:val="19"/>
              </w:rPr>
              <w:t xml:space="preserve">Priority</w:t>
            </w:r>
          </w:p>
        </w:tc>
        <w:tc>
          <w:tcPr>
            <w:tcW w:type="dxa" w:w="2160"/>
            <w:shd w:fill="1B6AB8" w:val="clear"/>
            <w:tcMar>
              <w:top w:type="dxa" w:w="80"/>
              <w:left w:type="dxa" w:w="100"/>
              <w:bottom w:type="dxa" w:w="80"/>
              <w:right w:type="dxa" w:w="100"/>
            </w:tcMar>
            <w:vAlign w:val="top"/>
          </w:tcPr>
          <w:p>
            <w:pPr>
              <w:spacing w:after="0"/>
            </w:pPr>
            <w:r>
              <w:rPr>
                <w:b/>
                <w:bCs/>
                <w:color w:val="FFFFFF"/>
                <w:sz w:val="19"/>
                <w:szCs w:val="19"/>
              </w:rPr>
              <w:t xml:space="preserve">Status</w:t>
            </w:r>
          </w:p>
        </w:tc>
      </w:tr>
      <w:tr>
        <w:tc>
          <w:tcPr>
            <w:tcW w:type="dxa" w:w="1000"/>
            <w:tcMar>
              <w:top w:type="dxa" w:w="80"/>
              <w:left w:type="dxa" w:w="100"/>
              <w:bottom w:type="dxa" w:w="80"/>
              <w:right w:type="dxa" w:w="100"/>
            </w:tcMar>
            <w:vAlign w:val="top"/>
          </w:tcPr>
          <w:p>
            <w:pPr>
              <w:spacing w:after="0"/>
            </w:pPr>
            <w:r>
              <w:rPr>
                <w:sz w:val="19"/>
                <w:szCs w:val="19"/>
              </w:rPr>
              <w:t xml:space="preserve">FR-001</w:t>
            </w:r>
          </w:p>
        </w:tc>
        <w:tc>
          <w:tcPr>
            <w:tcW w:type="dxa" w:w="4800"/>
            <w:tcMar>
              <w:top w:type="dxa" w:w="80"/>
              <w:left w:type="dxa" w:w="100"/>
              <w:bottom w:type="dxa" w:w="80"/>
              <w:right w:type="dxa" w:w="100"/>
            </w:tcMar>
            <w:vAlign w:val="top"/>
          </w:tcPr>
          <w:p>
            <w:pPr>
              <w:spacing w:after="0"/>
            </w:pPr>
            <w:r>
              <w:rPr>
                <w:sz w:val="19"/>
                <w:szCs w:val="19"/>
              </w:rPr>
              <w:t xml:space="preserve">Checksum-Idempotent Raw Data Ingestion</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FR-002</w:t>
            </w:r>
          </w:p>
        </w:tc>
        <w:tc>
          <w:tcPr>
            <w:tcW w:type="dxa" w:w="4800"/>
            <w:tcMar>
              <w:top w:type="dxa" w:w="80"/>
              <w:left w:type="dxa" w:w="100"/>
              <w:bottom w:type="dxa" w:w="80"/>
              <w:right w:type="dxa" w:w="100"/>
            </w:tcMar>
            <w:vAlign w:val="top"/>
          </w:tcPr>
          <w:p>
            <w:pPr>
              <w:spacing w:after="0"/>
            </w:pPr>
            <w:r>
              <w:rPr>
                <w:sz w:val="19"/>
                <w:szCs w:val="19"/>
              </w:rPr>
              <w:t xml:space="preserve">Schema Assumption Validation and Drift Detection</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FR-003</w:t>
            </w:r>
          </w:p>
        </w:tc>
        <w:tc>
          <w:tcPr>
            <w:tcW w:type="dxa" w:w="4800"/>
            <w:tcMar>
              <w:top w:type="dxa" w:w="80"/>
              <w:left w:type="dxa" w:w="100"/>
              <w:bottom w:type="dxa" w:w="80"/>
              <w:right w:type="dxa" w:w="100"/>
            </w:tcMar>
            <w:vAlign w:val="top"/>
          </w:tcPr>
          <w:p>
            <w:pPr>
              <w:spacing w:after="0"/>
            </w:pPr>
            <w:r>
              <w:rPr>
                <w:sz w:val="19"/>
                <w:szCs w:val="19"/>
              </w:rPr>
              <w:t xml:space="preserve">Cadence-Aware Grid Reindexing</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FR-004</w:t>
            </w:r>
          </w:p>
        </w:tc>
        <w:tc>
          <w:tcPr>
            <w:tcW w:type="dxa" w:w="4800"/>
            <w:tcMar>
              <w:top w:type="dxa" w:w="80"/>
              <w:left w:type="dxa" w:w="100"/>
              <w:bottom w:type="dxa" w:w="80"/>
              <w:right w:type="dxa" w:w="100"/>
            </w:tcMar>
            <w:vAlign w:val="top"/>
          </w:tcPr>
          <w:p>
            <w:pPr>
              <w:spacing w:after="0"/>
            </w:pPr>
            <w:r>
              <w:rPr>
                <w:sz w:val="19"/>
                <w:szCs w:val="19"/>
              </w:rPr>
              <w:t xml:space="preserve">Multi-Detector Environmental Defect Audit</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FR-005</w:t>
            </w:r>
          </w:p>
        </w:tc>
        <w:tc>
          <w:tcPr>
            <w:tcW w:type="dxa" w:w="4800"/>
            <w:tcMar>
              <w:top w:type="dxa" w:w="80"/>
              <w:left w:type="dxa" w:w="100"/>
              <w:bottom w:type="dxa" w:w="80"/>
              <w:right w:type="dxa" w:w="100"/>
            </w:tcMar>
            <w:vAlign w:val="top"/>
          </w:tcPr>
          <w:p>
            <w:pPr>
              <w:spacing w:after="0"/>
            </w:pPr>
            <w:r>
              <w:rPr>
                <w:sz w:val="19"/>
                <w:szCs w:val="19"/>
              </w:rPr>
              <w:t xml:space="preserve">Defect Rate Computation with Attached Definition</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FR-006</w:t>
            </w:r>
          </w:p>
        </w:tc>
        <w:tc>
          <w:tcPr>
            <w:tcW w:type="dxa" w:w="4800"/>
            <w:tcMar>
              <w:top w:type="dxa" w:w="80"/>
              <w:left w:type="dxa" w:w="100"/>
              <w:bottom w:type="dxa" w:w="80"/>
              <w:right w:type="dxa" w:w="100"/>
            </w:tcMar>
            <w:vAlign w:val="top"/>
          </w:tcPr>
          <w:p>
            <w:pPr>
              <w:spacing w:after="0"/>
            </w:pPr>
            <w:r>
              <w:rPr>
                <w:sz w:val="19"/>
                <w:szCs w:val="19"/>
              </w:rPr>
              <w:t xml:space="preserve">Structural Coverage Tracking</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FR-007</w:t>
            </w:r>
          </w:p>
        </w:tc>
        <w:tc>
          <w:tcPr>
            <w:tcW w:type="dxa" w:w="4800"/>
            <w:tcMar>
              <w:top w:type="dxa" w:w="80"/>
              <w:left w:type="dxa" w:w="100"/>
              <w:bottom w:type="dxa" w:w="80"/>
              <w:right w:type="dxa" w:w="100"/>
            </w:tcMar>
            <w:vAlign w:val="top"/>
          </w:tcPr>
          <w:p>
            <w:pPr>
              <w:spacing w:after="0"/>
            </w:pPr>
            <w:r>
              <w:rPr>
                <w:sz w:val="19"/>
                <w:szCs w:val="19"/>
              </w:rPr>
              <w:t xml:space="preserve">Reason-Code Registry and Classification</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FR-008</w:t>
            </w:r>
          </w:p>
        </w:tc>
        <w:tc>
          <w:tcPr>
            <w:tcW w:type="dxa" w:w="4800"/>
            <w:tcMar>
              <w:top w:type="dxa" w:w="80"/>
              <w:left w:type="dxa" w:w="100"/>
              <w:bottom w:type="dxa" w:w="80"/>
              <w:right w:type="dxa" w:w="100"/>
            </w:tcMar>
            <w:vAlign w:val="top"/>
          </w:tcPr>
          <w:p>
            <w:pPr>
              <w:spacing w:after="0"/>
            </w:pPr>
            <w:r>
              <w:rPr>
                <w:sz w:val="19"/>
                <w:szCs w:val="19"/>
              </w:rPr>
              <w:t xml:space="preserve">Weighted Trust Score Computation</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FR-009</w:t>
            </w:r>
          </w:p>
        </w:tc>
        <w:tc>
          <w:tcPr>
            <w:tcW w:type="dxa" w:w="4800"/>
            <w:tcMar>
              <w:top w:type="dxa" w:w="80"/>
              <w:left w:type="dxa" w:w="100"/>
              <w:bottom w:type="dxa" w:w="80"/>
              <w:right w:type="dxa" w:w="100"/>
            </w:tcMar>
            <w:vAlign w:val="top"/>
          </w:tcPr>
          <w:p>
            <w:pPr>
              <w:spacing w:after="0"/>
            </w:pPr>
            <w:r>
              <w:rPr>
                <w:sz w:val="19"/>
                <w:szCs w:val="19"/>
              </w:rPr>
              <w:t xml:space="preserve">Imputation Uncertainty Modelling</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FR-010</w:t>
            </w:r>
          </w:p>
        </w:tc>
        <w:tc>
          <w:tcPr>
            <w:tcW w:type="dxa" w:w="4800"/>
            <w:tcMar>
              <w:top w:type="dxa" w:w="80"/>
              <w:left w:type="dxa" w:w="100"/>
              <w:bottom w:type="dxa" w:w="80"/>
              <w:right w:type="dxa" w:w="100"/>
            </w:tcMar>
            <w:vAlign w:val="top"/>
          </w:tcPr>
          <w:p>
            <w:pPr>
              <w:spacing w:after="0"/>
            </w:pPr>
            <w:r>
              <w:rPr>
                <w:sz w:val="19"/>
                <w:szCs w:val="19"/>
              </w:rPr>
              <w:t xml:space="preserve">Trust Score Time Series and Graceful Degradation</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FR-011</w:t>
            </w:r>
          </w:p>
        </w:tc>
        <w:tc>
          <w:tcPr>
            <w:tcW w:type="dxa" w:w="4800"/>
            <w:tcMar>
              <w:top w:type="dxa" w:w="80"/>
              <w:left w:type="dxa" w:w="100"/>
              <w:bottom w:type="dxa" w:w="80"/>
              <w:right w:type="dxa" w:w="100"/>
            </w:tcMar>
            <w:vAlign w:val="top"/>
          </w:tcPr>
          <w:p>
            <w:pPr>
              <w:spacing w:after="0"/>
            </w:pPr>
            <w:r>
              <w:rPr>
                <w:sz w:val="19"/>
                <w:szCs w:val="19"/>
              </w:rPr>
              <w:t xml:space="preserve">Population-Exposure Risk Weighting</w:t>
            </w:r>
          </w:p>
        </w:tc>
        <w:tc>
          <w:tcPr>
            <w:tcW w:type="dxa" w:w="1400"/>
            <w:tcMar>
              <w:top w:type="dxa" w:w="80"/>
              <w:left w:type="dxa" w:w="100"/>
              <w:bottom w:type="dxa" w:w="80"/>
              <w:right w:type="dxa" w:w="100"/>
            </w:tcMar>
            <w:vAlign w:val="top"/>
          </w:tcPr>
          <w:p>
            <w:pPr>
              <w:spacing w:after="0"/>
            </w:pPr>
            <w:r>
              <w:rPr>
                <w:sz w:val="19"/>
                <w:szCs w:val="19"/>
              </w:rPr>
              <w:t xml:space="preserve">Medium</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FR-012</w:t>
            </w:r>
          </w:p>
        </w:tc>
        <w:tc>
          <w:tcPr>
            <w:tcW w:type="dxa" w:w="4800"/>
            <w:tcMar>
              <w:top w:type="dxa" w:w="80"/>
              <w:left w:type="dxa" w:w="100"/>
              <w:bottom w:type="dxa" w:w="80"/>
              <w:right w:type="dxa" w:w="100"/>
            </w:tcMar>
            <w:vAlign w:val="top"/>
          </w:tcPr>
          <w:p>
            <w:pPr>
              <w:spacing w:after="0"/>
            </w:pPr>
            <w:r>
              <w:rPr>
                <w:sz w:val="19"/>
                <w:szCs w:val="19"/>
              </w:rPr>
              <w:t xml:space="preserve">Wind-Conditioned Station Graph Construction</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FR-013</w:t>
            </w:r>
          </w:p>
        </w:tc>
        <w:tc>
          <w:tcPr>
            <w:tcW w:type="dxa" w:w="4800"/>
            <w:tcMar>
              <w:top w:type="dxa" w:w="80"/>
              <w:left w:type="dxa" w:w="100"/>
              <w:bottom w:type="dxa" w:w="80"/>
              <w:right w:type="dxa" w:w="100"/>
            </w:tcMar>
            <w:vAlign w:val="top"/>
          </w:tcPr>
          <w:p>
            <w:pPr>
              <w:spacing w:after="0"/>
            </w:pPr>
            <w:r>
              <w:rPr>
                <w:sz w:val="19"/>
                <w:szCs w:val="19"/>
              </w:rPr>
              <w:t xml:space="preserve">Candidate Event Detection</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FR-014</w:t>
            </w:r>
          </w:p>
        </w:tc>
        <w:tc>
          <w:tcPr>
            <w:tcW w:type="dxa" w:w="4800"/>
            <w:tcMar>
              <w:top w:type="dxa" w:w="80"/>
              <w:left w:type="dxa" w:w="100"/>
              <w:bottom w:type="dxa" w:w="80"/>
              <w:right w:type="dxa" w:w="100"/>
            </w:tcMar>
            <w:vAlign w:val="top"/>
          </w:tcPr>
          <w:p>
            <w:pPr>
              <w:spacing w:after="0"/>
            </w:pPr>
            <w:r>
              <w:rPr>
                <w:sz w:val="19"/>
                <w:szCs w:val="19"/>
              </w:rPr>
              <w:t xml:space="preserve">Plume-vs-Fault Adjudication Verdict</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FR-015</w:t>
            </w:r>
          </w:p>
        </w:tc>
        <w:tc>
          <w:tcPr>
            <w:tcW w:type="dxa" w:w="4800"/>
            <w:tcMar>
              <w:top w:type="dxa" w:w="80"/>
              <w:left w:type="dxa" w:w="100"/>
              <w:bottom w:type="dxa" w:w="80"/>
              <w:right w:type="dxa" w:w="100"/>
            </w:tcMar>
            <w:vAlign w:val="top"/>
          </w:tcPr>
          <w:p>
            <w:pPr>
              <w:spacing w:after="0"/>
            </w:pPr>
            <w:r>
              <w:rPr>
                <w:sz w:val="19"/>
                <w:szCs w:val="19"/>
              </w:rPr>
              <w:t xml:space="preserve">HST-GAT Learned Adjudication with Conformal Intervals</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FR-016</w:t>
            </w:r>
          </w:p>
        </w:tc>
        <w:tc>
          <w:tcPr>
            <w:tcW w:type="dxa" w:w="4800"/>
            <w:tcMar>
              <w:top w:type="dxa" w:w="80"/>
              <w:left w:type="dxa" w:w="100"/>
              <w:bottom w:type="dxa" w:w="80"/>
              <w:right w:type="dxa" w:w="100"/>
            </w:tcMar>
            <w:vAlign w:val="top"/>
          </w:tcPr>
          <w:p>
            <w:pPr>
              <w:spacing w:after="0"/>
            </w:pPr>
            <w:r>
              <w:rPr>
                <w:sz w:val="19"/>
                <w:szCs w:val="19"/>
              </w:rPr>
              <w:t xml:space="preserve">Meteorological Deweathering</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FR-017</w:t>
            </w:r>
          </w:p>
        </w:tc>
        <w:tc>
          <w:tcPr>
            <w:tcW w:type="dxa" w:w="4800"/>
            <w:tcMar>
              <w:top w:type="dxa" w:w="80"/>
              <w:left w:type="dxa" w:w="100"/>
              <w:bottom w:type="dxa" w:w="80"/>
              <w:right w:type="dxa" w:w="100"/>
            </w:tcMar>
            <w:vAlign w:val="top"/>
          </w:tcPr>
          <w:p>
            <w:pPr>
              <w:spacing w:after="0"/>
            </w:pPr>
            <w:r>
              <w:rPr>
                <w:sz w:val="19"/>
                <w:szCs w:val="19"/>
              </w:rPr>
              <w:t xml:space="preserve">ML-Based Fault Classification</w:t>
            </w:r>
          </w:p>
        </w:tc>
        <w:tc>
          <w:tcPr>
            <w:tcW w:type="dxa" w:w="1400"/>
            <w:tcMar>
              <w:top w:type="dxa" w:w="80"/>
              <w:left w:type="dxa" w:w="100"/>
              <w:bottom w:type="dxa" w:w="80"/>
              <w:right w:type="dxa" w:w="100"/>
            </w:tcMar>
            <w:vAlign w:val="top"/>
          </w:tcPr>
          <w:p>
            <w:pPr>
              <w:spacing w:after="0"/>
            </w:pPr>
            <w:r>
              <w:rPr>
                <w:sz w:val="19"/>
                <w:szCs w:val="19"/>
              </w:rPr>
              <w:t xml:space="preserve">Medium</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FR-018</w:t>
            </w:r>
          </w:p>
        </w:tc>
        <w:tc>
          <w:tcPr>
            <w:tcW w:type="dxa" w:w="4800"/>
            <w:tcMar>
              <w:top w:type="dxa" w:w="80"/>
              <w:left w:type="dxa" w:w="100"/>
              <w:bottom w:type="dxa" w:w="80"/>
              <w:right w:type="dxa" w:w="100"/>
            </w:tcMar>
            <w:vAlign w:val="top"/>
          </w:tcPr>
          <w:p>
            <w:pPr>
              <w:spacing w:after="0"/>
            </w:pPr>
            <w:r>
              <w:rPr>
                <w:sz w:val="19"/>
                <w:szCs w:val="19"/>
              </w:rPr>
              <w:t xml:space="preserve">Reason-Coded, SHAP-Attributed Explanation Service</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FR-019</w:t>
            </w:r>
          </w:p>
        </w:tc>
        <w:tc>
          <w:tcPr>
            <w:tcW w:type="dxa" w:w="4800"/>
            <w:tcMar>
              <w:top w:type="dxa" w:w="80"/>
              <w:left w:type="dxa" w:w="100"/>
              <w:bottom w:type="dxa" w:w="80"/>
              <w:right w:type="dxa" w:w="100"/>
            </w:tcMar>
            <w:vAlign w:val="top"/>
          </w:tcPr>
          <w:p>
            <w:pPr>
              <w:spacing w:after="0"/>
            </w:pPr>
            <w:r>
              <w:rPr>
                <w:sz w:val="19"/>
                <w:szCs w:val="19"/>
              </w:rPr>
              <w:t xml:space="preserve">Role-Based API Access Control</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FR-020</w:t>
            </w:r>
          </w:p>
        </w:tc>
        <w:tc>
          <w:tcPr>
            <w:tcW w:type="dxa" w:w="4800"/>
            <w:tcMar>
              <w:top w:type="dxa" w:w="80"/>
              <w:left w:type="dxa" w:w="100"/>
              <w:bottom w:type="dxa" w:w="80"/>
              <w:right w:type="dxa" w:w="100"/>
            </w:tcMar>
            <w:vAlign w:val="top"/>
          </w:tcPr>
          <w:p>
            <w:pPr>
              <w:spacing w:after="0"/>
            </w:pPr>
            <w:r>
              <w:rPr>
                <w:sz w:val="19"/>
                <w:szCs w:val="19"/>
              </w:rPr>
              <w:t xml:space="preserve">Query API for Stations, Readings, Defects, Events, and Trust</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FR-021</w:t>
            </w:r>
          </w:p>
        </w:tc>
        <w:tc>
          <w:tcPr>
            <w:tcW w:type="dxa" w:w="4800"/>
            <w:tcMar>
              <w:top w:type="dxa" w:w="80"/>
              <w:left w:type="dxa" w:w="100"/>
              <w:bottom w:type="dxa" w:w="80"/>
              <w:right w:type="dxa" w:w="100"/>
            </w:tcMar>
            <w:vAlign w:val="top"/>
          </w:tcPr>
          <w:p>
            <w:pPr>
              <w:spacing w:after="0"/>
            </w:pPr>
            <w:r>
              <w:rPr>
                <w:sz w:val="19"/>
                <w:szCs w:val="19"/>
              </w:rPr>
              <w:t xml:space="preserve">Regulatory Audit-Trail Export</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FR-022</w:t>
            </w:r>
          </w:p>
        </w:tc>
        <w:tc>
          <w:tcPr>
            <w:tcW w:type="dxa" w:w="4800"/>
            <w:tcMar>
              <w:top w:type="dxa" w:w="80"/>
              <w:left w:type="dxa" w:w="100"/>
              <w:bottom w:type="dxa" w:w="80"/>
              <w:right w:type="dxa" w:w="100"/>
            </w:tcMar>
            <w:vAlign w:val="top"/>
          </w:tcPr>
          <w:p>
            <w:pPr>
              <w:spacing w:after="0"/>
            </w:pPr>
            <w:r>
              <w:rPr>
                <w:sz w:val="19"/>
                <w:szCs w:val="19"/>
              </w:rPr>
              <w:t xml:space="preserve">Maintenance Ticket Lifecycle</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FR-023</w:t>
            </w:r>
          </w:p>
        </w:tc>
        <w:tc>
          <w:tcPr>
            <w:tcW w:type="dxa" w:w="4800"/>
            <w:tcMar>
              <w:top w:type="dxa" w:w="80"/>
              <w:left w:type="dxa" w:w="100"/>
              <w:bottom w:type="dxa" w:w="80"/>
              <w:right w:type="dxa" w:w="100"/>
            </w:tcMar>
            <w:vAlign w:val="top"/>
          </w:tcPr>
          <w:p>
            <w:pPr>
              <w:spacing w:after="0"/>
            </w:pPr>
            <w:r>
              <w:rPr>
                <w:sz w:val="19"/>
                <w:szCs w:val="19"/>
              </w:rPr>
              <w:t xml:space="preserve">Risk-Ranked Alert Centre</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FR-024</w:t>
            </w:r>
          </w:p>
        </w:tc>
        <w:tc>
          <w:tcPr>
            <w:tcW w:type="dxa" w:w="4800"/>
            <w:tcMar>
              <w:top w:type="dxa" w:w="80"/>
              <w:left w:type="dxa" w:w="100"/>
              <w:bottom w:type="dxa" w:w="80"/>
              <w:right w:type="dxa" w:w="100"/>
            </w:tcMar>
            <w:vAlign w:val="top"/>
          </w:tcPr>
          <w:p>
            <w:pPr>
              <w:spacing w:after="0"/>
            </w:pPr>
            <w:r>
              <w:rPr>
                <w:sz w:val="19"/>
                <w:szCs w:val="19"/>
              </w:rPr>
              <w:t xml:space="preserve">Human Sign-off Gate for Public Dispatch</w:t>
            </w:r>
          </w:p>
        </w:tc>
        <w:tc>
          <w:tcPr>
            <w:tcW w:type="dxa" w:w="1400"/>
            <w:tcMar>
              <w:top w:type="dxa" w:w="80"/>
              <w:left w:type="dxa" w:w="100"/>
              <w:bottom w:type="dxa" w:w="80"/>
              <w:right w:type="dxa" w:w="100"/>
            </w:tcMar>
            <w:vAlign w:val="top"/>
          </w:tcPr>
          <w:p>
            <w:pPr>
              <w:spacing w:after="0"/>
            </w:pPr>
            <w:r>
              <w:rPr>
                <w:sz w:val="19"/>
                <w:szCs w:val="19"/>
              </w:rPr>
              <w:t xml:space="preserve">Critical</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FR-025</w:t>
            </w:r>
          </w:p>
        </w:tc>
        <w:tc>
          <w:tcPr>
            <w:tcW w:type="dxa" w:w="4800"/>
            <w:tcMar>
              <w:top w:type="dxa" w:w="80"/>
              <w:left w:type="dxa" w:w="100"/>
              <w:bottom w:type="dxa" w:w="80"/>
              <w:right w:type="dxa" w:w="100"/>
            </w:tcMar>
            <w:vAlign w:val="top"/>
          </w:tcPr>
          <w:p>
            <w:pPr>
              <w:spacing w:after="0"/>
            </w:pPr>
            <w:r>
              <w:rPr>
                <w:sz w:val="19"/>
                <w:szCs w:val="19"/>
              </w:rPr>
              <w:t xml:space="preserve">Admin Dashboard and Model-Drift Monitoring</w:t>
            </w:r>
          </w:p>
        </w:tc>
        <w:tc>
          <w:tcPr>
            <w:tcW w:type="dxa" w:w="1400"/>
            <w:tcMar>
              <w:top w:type="dxa" w:w="80"/>
              <w:left w:type="dxa" w:w="100"/>
              <w:bottom w:type="dxa" w:w="80"/>
              <w:right w:type="dxa" w:w="100"/>
            </w:tcMar>
            <w:vAlign w:val="top"/>
          </w:tcPr>
          <w:p>
            <w:pPr>
              <w:spacing w:after="0"/>
            </w:pPr>
            <w:r>
              <w:rPr>
                <w:sz w:val="19"/>
                <w:szCs w:val="19"/>
              </w:rPr>
              <w:t xml:space="preserve">Medium</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FR-026</w:t>
            </w:r>
          </w:p>
        </w:tc>
        <w:tc>
          <w:tcPr>
            <w:tcW w:type="dxa" w:w="4800"/>
            <w:tcMar>
              <w:top w:type="dxa" w:w="80"/>
              <w:left w:type="dxa" w:w="100"/>
              <w:bottom w:type="dxa" w:w="80"/>
              <w:right w:type="dxa" w:w="100"/>
            </w:tcMar>
            <w:vAlign w:val="top"/>
          </w:tcPr>
          <w:p>
            <w:pPr>
              <w:spacing w:after="0"/>
            </w:pPr>
            <w:r>
              <w:rPr>
                <w:sz w:val="19"/>
                <w:szCs w:val="19"/>
              </w:rPr>
              <w:t xml:space="preserve">Deterministic Offline Demo Mode</w:t>
            </w:r>
          </w:p>
        </w:tc>
        <w:tc>
          <w:tcPr>
            <w:tcW w:type="dxa" w:w="1400"/>
            <w:tcMar>
              <w:top w:type="dxa" w:w="80"/>
              <w:left w:type="dxa" w:w="100"/>
              <w:bottom w:type="dxa" w:w="80"/>
              <w:right w:type="dxa" w:w="100"/>
            </w:tcMar>
            <w:vAlign w:val="top"/>
          </w:tcPr>
          <w:p>
            <w:pPr>
              <w:spacing w:after="0"/>
            </w:pPr>
            <w:r>
              <w:rPr>
                <w:sz w:val="19"/>
                <w:szCs w:val="19"/>
              </w:rPr>
              <w:t xml:space="preserve">Medium</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r>
        <w:tc>
          <w:tcPr>
            <w:tcW w:type="dxa" w:w="1000"/>
            <w:tcMar>
              <w:top w:type="dxa" w:w="80"/>
              <w:left w:type="dxa" w:w="100"/>
              <w:bottom w:type="dxa" w:w="80"/>
              <w:right w:type="dxa" w:w="100"/>
            </w:tcMar>
            <w:vAlign w:val="top"/>
          </w:tcPr>
          <w:p>
            <w:pPr>
              <w:spacing w:after="0"/>
            </w:pPr>
            <w:r>
              <w:rPr>
                <w:sz w:val="19"/>
                <w:szCs w:val="19"/>
              </w:rPr>
              <w:t xml:space="preserve">FR-027</w:t>
            </w:r>
          </w:p>
        </w:tc>
        <w:tc>
          <w:tcPr>
            <w:tcW w:type="dxa" w:w="4800"/>
            <w:tcMar>
              <w:top w:type="dxa" w:w="80"/>
              <w:left w:type="dxa" w:w="100"/>
              <w:bottom w:type="dxa" w:w="80"/>
              <w:right w:type="dxa" w:w="100"/>
            </w:tcMar>
            <w:vAlign w:val="top"/>
          </w:tcPr>
          <w:p>
            <w:pPr>
              <w:spacing w:after="0"/>
            </w:pPr>
            <w:r>
              <w:rPr>
                <w:sz w:val="19"/>
                <w:szCs w:val="19"/>
              </w:rPr>
              <w:t xml:space="preserve">Operator Dashboard Visualization</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FEF6E7" w:val="clear"/>
            <w:tcMar>
              <w:top w:type="dxa" w:w="80"/>
              <w:left w:type="dxa" w:w="100"/>
              <w:bottom w:type="dxa" w:w="80"/>
              <w:right w:type="dxa" w:w="100"/>
            </w:tcMar>
            <w:vAlign w:val="top"/>
          </w:tcPr>
          <w:p>
            <w:pPr>
              <w:spacing w:after="0"/>
            </w:pPr>
            <w:r>
              <w:rPr>
                <w:sz w:val="19"/>
                <w:szCs w:val="19"/>
              </w:rPr>
              <w:t xml:space="preserve">Partially Implemented</w:t>
            </w:r>
          </w:p>
        </w:tc>
      </w:tr>
      <w:tr>
        <w:tc>
          <w:tcPr>
            <w:tcW w:type="dxa" w:w="1000"/>
            <w:tcMar>
              <w:top w:type="dxa" w:w="80"/>
              <w:left w:type="dxa" w:w="100"/>
              <w:bottom w:type="dxa" w:w="80"/>
              <w:right w:type="dxa" w:w="100"/>
            </w:tcMar>
            <w:vAlign w:val="top"/>
          </w:tcPr>
          <w:p>
            <w:pPr>
              <w:spacing w:after="0"/>
            </w:pPr>
            <w:r>
              <w:rPr>
                <w:sz w:val="19"/>
                <w:szCs w:val="19"/>
              </w:rPr>
              <w:t xml:space="preserve">FR-028</w:t>
            </w:r>
          </w:p>
        </w:tc>
        <w:tc>
          <w:tcPr>
            <w:tcW w:type="dxa" w:w="4800"/>
            <w:tcMar>
              <w:top w:type="dxa" w:w="80"/>
              <w:left w:type="dxa" w:w="100"/>
              <w:bottom w:type="dxa" w:w="80"/>
              <w:right w:type="dxa" w:w="100"/>
            </w:tcMar>
            <w:vAlign w:val="top"/>
          </w:tcPr>
          <w:p>
            <w:pPr>
              <w:spacing w:after="0"/>
            </w:pPr>
            <w:r>
              <w:rPr>
                <w:sz w:val="19"/>
                <w:szCs w:val="19"/>
              </w:rPr>
              <w:t xml:space="preserve">CLI Operations Tooling (`prov`)</w:t>
            </w:r>
          </w:p>
        </w:tc>
        <w:tc>
          <w:tcPr>
            <w:tcW w:type="dxa" w:w="1400"/>
            <w:tcMar>
              <w:top w:type="dxa" w:w="80"/>
              <w:left w:type="dxa" w:w="100"/>
              <w:bottom w:type="dxa" w:w="80"/>
              <w:right w:type="dxa" w:w="100"/>
            </w:tcMar>
            <w:vAlign w:val="top"/>
          </w:tcPr>
          <w:p>
            <w:pPr>
              <w:spacing w:after="0"/>
            </w:pPr>
            <w:r>
              <w:rPr>
                <w:sz w:val="19"/>
                <w:szCs w:val="19"/>
              </w:rPr>
              <w:t xml:space="preserve">High</w:t>
            </w:r>
          </w:p>
        </w:tc>
        <w:tc>
          <w:tcPr>
            <w:tcW w:type="dxa" w:w="2160"/>
            <w:shd w:fill="E9FBF3" w:val="clear"/>
            <w:tcMar>
              <w:top w:type="dxa" w:w="80"/>
              <w:left w:type="dxa" w:w="100"/>
              <w:bottom w:type="dxa" w:w="80"/>
              <w:right w:type="dxa" w:w="100"/>
            </w:tcMar>
            <w:vAlign w:val="top"/>
          </w:tcPr>
          <w:p>
            <w:pPr>
              <w:spacing w:after="0"/>
            </w:pPr>
            <w:r>
              <w:rPr>
                <w:sz w:val="19"/>
                <w:szCs w:val="19"/>
              </w:rPr>
              <w:t xml:space="preserve">Implemented</w:t>
            </w:r>
          </w:p>
        </w:tc>
      </w:tr>
    </w:tbl>
    <w:p>
      <w:r>
        <w:br w:type="page"/>
      </w:r>
    </w:p>
    <w:p>
      <w:pPr>
        <w:pStyle w:val="Heading1"/>
        <w:spacing w:after="200" w:before="400"/>
      </w:pPr>
      <w:r>
        <w:t xml:space="preserve">6. User Requirements</w:t>
      </w:r>
    </w:p>
    <w:p>
      <w:pPr>
        <w:spacing w:after="160" w:line="276"/>
      </w:pPr>
      <w:r>
        <w:t xml:space="preserve">This section documents the goals, responsibilities, permissions, and restrictions of each user type, as established by the RBAC model in provenance.api.auth and the corresponding frontend RequireRole gating.</w:t>
      </w:r>
    </w:p>
    <w:p>
      <w:pPr>
        <w:pStyle w:val="Heading2"/>
        <w:spacing w:after="150" w:before="300"/>
      </w:pPr>
      <w:r>
        <w:t xml:space="preserve">6.1 Public Reader (public_read)</w:t>
      </w:r>
    </w:p>
    <w:p>
      <w:pPr>
        <w:pStyle w:val="ListParagraph"/>
        <w:numPr>
          <w:ilvl w:val="0"/>
          <w:numId w:val="1"/>
        </w:numPr>
        <w:spacing w:after="80" w:line="264"/>
      </w:pPr>
      <w:r>
        <w:t xml:space="preserve">Goals: See whether the network's current readings can be trusted, and browse public events.</w:t>
      </w:r>
    </w:p>
    <w:p>
      <w:pPr>
        <w:pStyle w:val="ListParagraph"/>
        <w:numPr>
          <w:ilvl w:val="0"/>
          <w:numId w:val="1"/>
        </w:numPr>
        <w:spacing w:after="80" w:line="264"/>
      </w:pPr>
      <w:r>
        <w:t xml:space="preserve">Responsibilities: None beyond read access; cannot alter any system state.</w:t>
      </w:r>
    </w:p>
    <w:p>
      <w:pPr>
        <w:pStyle w:val="ListParagraph"/>
        <w:numPr>
          <w:ilvl w:val="0"/>
          <w:numId w:val="1"/>
        </w:numPr>
        <w:spacing w:after="80" w:line="264"/>
      </w:pPr>
      <w:r>
        <w:t xml:space="preserve">Permissions: GET /v1/stations, /v1/trust/{station_id}, /v1/quality/summary, /v1/events, and the meta endpoints.</w:t>
      </w:r>
    </w:p>
    <w:p>
      <w:pPr>
        <w:pStyle w:val="ListParagraph"/>
        <w:numPr>
          <w:ilvl w:val="0"/>
          <w:numId w:val="1"/>
        </w:numPr>
        <w:spacing w:after="80" w:line="264"/>
      </w:pPr>
      <w:r>
        <w:t xml:space="preserve">Main workflow: View the network map and station-level trust scores; drill into a public event.</w:t>
      </w:r>
    </w:p>
    <w:p>
      <w:pPr>
        <w:pStyle w:val="ListParagraph"/>
        <w:numPr>
          <w:ilvl w:val="0"/>
          <w:numId w:val="1"/>
        </w:numPr>
        <w:spacing w:after="80" w:line="264"/>
      </w:pPr>
      <w:r>
        <w:t xml:space="preserve">Restrictions: Cannot view raw or quality-flagged readings, the defect ledger, audit runs, the regulatory export, maintenance/alert data, or any admin surface.</w:t>
      </w:r>
    </w:p>
    <w:p>
      <w:pPr>
        <w:pStyle w:val="Heading2"/>
        <w:spacing w:after="150" w:before="300"/>
      </w:pPr>
      <w:r>
        <w:t xml:space="preserve">6.2 Researcher / Data Analyst (researcher)</w:t>
      </w:r>
    </w:p>
    <w:p>
      <w:pPr>
        <w:pStyle w:val="ListParagraph"/>
        <w:numPr>
          <w:ilvl w:val="0"/>
          <w:numId w:val="1"/>
        </w:numPr>
        <w:spacing w:after="80" w:line="264"/>
      </w:pPr>
      <w:r>
        <w:t xml:space="preserve">Goals: Investigate specific defects, verify audit methodology, and produce regulator-facing exports.</w:t>
      </w:r>
    </w:p>
    <w:p>
      <w:pPr>
        <w:pStyle w:val="ListParagraph"/>
        <w:numPr>
          <w:ilvl w:val="0"/>
          <w:numId w:val="1"/>
        </w:numPr>
        <w:spacing w:after="80" w:line="264"/>
      </w:pPr>
      <w:r>
        <w:t xml:space="preserve">Responsibilities: Interpret evidence responsibly; the export they produce may be used externally.</w:t>
      </w:r>
    </w:p>
    <w:p>
      <w:pPr>
        <w:pStyle w:val="ListParagraph"/>
        <w:numPr>
          <w:ilvl w:val="0"/>
          <w:numId w:val="1"/>
        </w:numPr>
        <w:spacing w:after="80" w:line="264"/>
      </w:pPr>
      <w:r>
        <w:t xml:space="preserve">Permissions: Everything public_read has, plus GET /v1/readings, /v1/defects, /v1/audit/runs (+detail), /v1/export/audit-trail, /v1/explain/{defect_id}, /v1/deweather/{station_id}, /v1/graph/attention.</w:t>
      </w:r>
    </w:p>
    <w:p>
      <w:pPr>
        <w:pStyle w:val="ListParagraph"/>
        <w:numPr>
          <w:ilvl w:val="0"/>
          <w:numId w:val="1"/>
        </w:numPr>
        <w:spacing w:after="80" w:line="264"/>
      </w:pPr>
      <w:r>
        <w:t xml:space="preserve">Main workflow: List and filter defects; request an explanation; export an audit trail for external review.</w:t>
      </w:r>
    </w:p>
    <w:p>
      <w:pPr>
        <w:pStyle w:val="ListParagraph"/>
        <w:numPr>
          <w:ilvl w:val="0"/>
          <w:numId w:val="1"/>
        </w:numPr>
        <w:spacing w:after="80" w:line="264"/>
      </w:pPr>
      <w:r>
        <w:t xml:space="preserve">Restrictions: Cannot access the maintenance queue, Alert Centre, sign-off/dispatch, or the admin surface.</w:t>
      </w:r>
    </w:p>
    <w:p>
      <w:pPr>
        <w:pStyle w:val="Heading2"/>
        <w:spacing w:after="150" w:before="300"/>
      </w:pPr>
      <w:r>
        <w:t xml:space="preserve">6.3 Field/Operations Operator (operator)</w:t>
      </w:r>
    </w:p>
    <w:p>
      <w:pPr>
        <w:pStyle w:val="ListParagraph"/>
        <w:numPr>
          <w:ilvl w:val="0"/>
          <w:numId w:val="1"/>
        </w:numPr>
        <w:spacing w:after="80" w:line="264"/>
      </w:pPr>
      <w:r>
        <w:t xml:space="preserve">Goals: Keep the physical sensor network healthy and ensure no public alert goes out without proper review.</w:t>
      </w:r>
    </w:p>
    <w:p>
      <w:pPr>
        <w:pStyle w:val="ListParagraph"/>
        <w:numPr>
          <w:ilvl w:val="0"/>
          <w:numId w:val="1"/>
        </w:numPr>
        <w:spacing w:after="80" w:line="264"/>
      </w:pPr>
      <w:r>
        <w:t xml:space="preserve">Responsibilities: Triage the maintenance queue; review evidence before signing off on a dispatch; the sign-off is a personal, recorded authorisation.</w:t>
      </w:r>
    </w:p>
    <w:p>
      <w:pPr>
        <w:pStyle w:val="ListParagraph"/>
        <w:numPr>
          <w:ilvl w:val="0"/>
          <w:numId w:val="1"/>
        </w:numPr>
        <w:spacing w:after="80" w:line="264"/>
      </w:pPr>
      <w:r>
        <w:t xml:space="preserve">Permissions: Everything researcher has, plus GET/POST /v1/maintenance and its transitions, GET /v1/alerts, POST /v1/decision/signoff, POST /v1/decision/dispatch.</w:t>
      </w:r>
    </w:p>
    <w:p>
      <w:pPr>
        <w:pStyle w:val="ListParagraph"/>
        <w:numPr>
          <w:ilvl w:val="0"/>
          <w:numId w:val="1"/>
        </w:numPr>
        <w:spacing w:after="80" w:line="264"/>
      </w:pPr>
      <w:r>
        <w:t xml:space="preserve">Main workflow: Work the ranked maintenance queue; review and act on the risk-ranked Alert Centre; sign off and dispatch a public alert when warranted.</w:t>
      </w:r>
    </w:p>
    <w:p>
      <w:pPr>
        <w:pStyle w:val="ListParagraph"/>
        <w:numPr>
          <w:ilvl w:val="0"/>
          <w:numId w:val="1"/>
        </w:numPr>
        <w:spacing w:after="80" w:line="264"/>
      </w:pPr>
      <w:r>
        <w:t xml:space="preserve">Restrictions: Cannot access the admin dashboard, model-drift monitor, or trigger retraining.</w:t>
      </w:r>
    </w:p>
    <w:p>
      <w:pPr>
        <w:pStyle w:val="Heading2"/>
        <w:spacing w:after="150" w:before="300"/>
      </w:pPr>
      <w:r>
        <w:t xml:space="preserve">6.4 Administrator (admin)</w:t>
      </w:r>
    </w:p>
    <w:p>
      <w:pPr>
        <w:pStyle w:val="ListParagraph"/>
        <w:numPr>
          <w:ilvl w:val="0"/>
          <w:numId w:val="1"/>
        </w:numPr>
        <w:spacing w:after="80" w:line="264"/>
      </w:pPr>
      <w:r>
        <w:t xml:space="preserve">Goals: Keep the deployed models and configuration healthy; oversee export history.</w:t>
      </w:r>
    </w:p>
    <w:p>
      <w:pPr>
        <w:pStyle w:val="ListParagraph"/>
        <w:numPr>
          <w:ilvl w:val="0"/>
          <w:numId w:val="1"/>
        </w:numPr>
        <w:spacing w:after="80" w:line="264"/>
      </w:pPr>
      <w:r>
        <w:t xml:space="preserve">Responsibilities: Judge when a model has drifted enough to warrant retraining; retraining is a consequential, logged action.</w:t>
      </w:r>
    </w:p>
    <w:p>
      <w:pPr>
        <w:pStyle w:val="ListParagraph"/>
        <w:numPr>
          <w:ilvl w:val="0"/>
          <w:numId w:val="1"/>
        </w:numPr>
        <w:spacing w:after="80" w:line="264"/>
      </w:pPr>
      <w:r>
        <w:t xml:space="preserve">Permissions: Everything operator has, plus GET /v1/admin/status, GET /v1/admin/model-drift, POST /v1/admin/retrain.</w:t>
      </w:r>
    </w:p>
    <w:p>
      <w:pPr>
        <w:pStyle w:val="ListParagraph"/>
        <w:numPr>
          <w:ilvl w:val="0"/>
          <w:numId w:val="1"/>
        </w:numPr>
        <w:spacing w:after="80" w:line="264"/>
      </w:pPr>
      <w:r>
        <w:t xml:space="preserve">Main workflow: Review the two-plane (infra + model) monitoring dashboards; trigger retraining when warranted.</w:t>
      </w:r>
    </w:p>
    <w:p>
      <w:pPr>
        <w:pStyle w:val="ListParagraph"/>
        <w:numPr>
          <w:ilvl w:val="0"/>
          <w:numId w:val="1"/>
        </w:numPr>
        <w:spacing w:after="80" w:line="264"/>
      </w:pPr>
      <w:r>
        <w:t xml:space="preserve">Restrictions: None within the documented API surface — admin is the top of the role hierarchy.</w:t>
      </w:r>
    </w:p>
    <w:p>
      <w:r>
        <w:br w:type="page"/>
      </w:r>
    </w:p>
    <w:p>
      <w:pPr>
        <w:pStyle w:val="Heading1"/>
        <w:spacing w:after="200" w:before="400"/>
      </w:pPr>
      <w:r>
        <w:t xml:space="preserve">7. Use Cases</w:t>
      </w:r>
    </w:p>
    <w:p>
      <w:pPr>
        <w:spacing w:after="160" w:line="276"/>
      </w:pPr>
      <w:r>
        <w:t xml:space="preserve">Nine principal use cases are documented below, covering the full lifecycle from raw data ingestion through public alert dispatch. Each is traceable to the functional requirements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UC-001 — Run an Environmental Data Quality Audit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Data Engineer / CI</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Reason-code registry</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Produce a reproducible audit run that surfaces silent defects behind a conventional completeness figure.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 raw data drop has been ingested and schema-validated.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`prov audit run` is executed, or CI runs the pipeline against fixtures.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Load the canonical reading frame. 2. Reindex each series to its own cadence. 3. Run all registered detectors. 4. Aggregate defects and coverage facts. 5. Compute the defect rate with its attached definition. 6. Persist an AuditRun with a reproducible config_hash/data_checksum. 7. Render audit.md / audit.html.</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The operator requests a specific detector subset for a targeted re-check.</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Schema drift halts the run before any detector executes.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An AuditRun exists with defects, coverage facts, and a defect rate; downstream trust scoring and maintenance-queue generation can proceed.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FR-001, FR-002, FR-003, FR-004, FR-005, FR-006, FR-007</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UC-002 — Investigate a Flagged Defect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Researcher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Explain service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Understand why a specific reading was flagged and whether the flag is defensible.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An audit run with defects exists; the caller holds at least the researcher role.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GET /v1/defects (list) followed by GET /v1/explain/{defect_id}.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List defects filtered by station/parameter/severity. 2. Select a defect. 3. Request its explanation. 4. Review the reason code, evidence, and (if applicable) SHAP attribution or attention weights.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The researcher exports the full defect ledger via /v1/export/audit-trail instead of inspecting one at a time.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The defect id does not exist: HTTP 404.</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researcher has a fully attributed, reason-coded explanation for the flag.</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FR-004, FR-007, FR-018, FR-020</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UC-003 — Adjudicate a Candidate Event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System (automated) / Researcher (review)</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Graph module, HST-GAT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Determine whether a large excursion is a real pollution event or a sensor fault.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 candidate event exists with verdict = null; a wind-conditioned graph can be constructed for the window.</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`prov graph adjudicate-db` sweep, or a targeted `prov graph adjudicate` for one event.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Build the wind-conditioned graph for the window. 2. Compute the expected propagation pattern. 3. Compare observed neighbour response. 4. Classify LIKELY_REAL / LIKELY_FAULT / AMBIGUOUS / NOT_APPLICABLE. 5. Persist the verdict and supporting evidence.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The `--learned` flag substitutes the HST-GAT expectation for the analytic prior, adding a calibrated conformal interval.</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Insufficient neighbour data: verdict is AMBIGUOUS and routed for human review rather than forced.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event carries a verdict an operator can defend, with evidence.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FR-012, FR-013, FR-014, FR-015</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UC-004 — View a Station's Trust Score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Public Reader / Operator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See how trustworthy a station's current and recent readings are, with the reasons.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Trust scores have been computed for the station.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GET /v1/trust/{station_id} from the dashboard or directly.</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Request the trust series for the station and window. 2. Render the series, the component breakdown, and reason codes. 3. Optionally drill into a specific timestamp's evidence.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No trust scores yet computed for the station: an empty/degraded response is returned, not an error.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viewer sees a score they can trace to specific, documented reasons.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FR-008, FR-009, FR-010, FR-020</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UC-005 — Triage and Resolve a Maintenance Item</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Operator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Admin (for retrain trigger)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Work the prioritised maintenance queue from open to resolved with a recorded history.</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Maintenance items exist from a completed audit/classification pass.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GET /v1/maintenance (list, ranked); POST /v1/maintenance/{item_id}/transition.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List the queue ranked by priority (severity x exposure). 2. Open an item and review its evidence. 3. Transition it (acknowledged -&gt; dispatched -&gt; resolved), recording actor and note at each step.</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The operator triggers a queue rebuild after a new audit run.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An invalid state transition is rejected.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item's full transition history is preserved for audit.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FR-011, FR-022</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UC-006 — Sign Off and Dispatch a Public Alert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Operator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Authorise and send a public-facing alert only after a recorded human review.</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An event has a verdict (LIKELY_REAL) and evidence; the caller holds the operator role.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POST /v1/decision/signoff, then POST /v1/decision/dispatch.</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Review the event's evidence and verdict. 2. Create a sign-off token (evidence hash, operator identity, expiry, model_version). 3. Dispatch to a channel using the sign-off token. 4. Receive a delivery receipt.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A retried dispatch with the same (event, channel, sign-off) is a no-op returning the original receipt.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Expired/revoked/missing sign-off: dispatch is refused.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A publicly-visible alert exists only with a traceable human authorisation behind it.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FR-023, FR-024</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UC-007 — Export a Regulatory Audit Trail</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Researcher / Regulator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Obtain a reproducible, checkable record of an audit run for external review.</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An audit run exists; the caller holds at least the researcher role.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GET /v1/export/audit-trail?run_id=...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Resolve the audit run. 2. Assemble defects, events, sign-offs, and dispatches. 3. Compute the verification hash. 4. Render CSV, JSON, and PDF.</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No run_id given: the most recent run is resolved.</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Unknown run_id: HTTP 404.</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export's reading count reconciles against the database and its hash is reproducible.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FR-021</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UC-008 — Monitor Model Drift and Trigger Retraining</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Admin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Confirm deployed models still perform as designed and retrain when they do not.</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The caller holds the admin role.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GET /v1/admin/model-drift; POST /v1/admin/retrain.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Review the infra-plane (/metrics) and model-plane (drift) dashboards. 2. Identify a degraded model. 3. Trigger retraining.</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No trained artefact yet: the corresponding panel reports no history rather than a fabricated series.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A retraining job is queued/executed; the drift series is updated on the next scoring pass.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FR-025</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shd w:fill="1B6AB8" w:val="clear"/>
            <w:tcMar>
              <w:top w:type="dxa" w:w="80"/>
              <w:left w:type="dxa" w:w="100"/>
              <w:bottom w:type="dxa" w:w="80"/>
              <w:right w:type="dxa" w:w="100"/>
            </w:tcMar>
            <w:vAlign w:val="top"/>
          </w:tcPr>
          <w:p>
            <w:pPr>
              <w:spacing w:after="0"/>
            </w:pPr>
            <w:r>
              <w:rPr>
                <w:b/>
                <w:bCs/>
                <w:color w:val="FFFFFF"/>
                <w:sz w:val="21"/>
                <w:szCs w:val="21"/>
              </w:rPr>
              <w:t xml:space="preserve">UC-009 — Run the Deterministic Offline Demo</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Primary Actor</w:t>
            </w:r>
          </w:p>
        </w:tc>
        <w:tc>
          <w:tcPr>
            <w:tcW w:type="dxa" w:w="7460"/>
            <w:tcMar>
              <w:top w:type="dxa" w:w="80"/>
              <w:left w:type="dxa" w:w="100"/>
              <w:bottom w:type="dxa" w:w="80"/>
              <w:right w:type="dxa" w:w="100"/>
            </w:tcMar>
            <w:vAlign w:val="top"/>
          </w:tcPr>
          <w:p>
            <w:pPr>
              <w:spacing w:after="0"/>
            </w:pPr>
            <w:r>
              <w:rPr>
                <w:sz w:val="19"/>
                <w:szCs w:val="19"/>
              </w:rPr>
              <w:t xml:space="preserve">Presenter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Secondary Actors</w:t>
            </w:r>
          </w:p>
        </w:tc>
        <w:tc>
          <w:tcPr>
            <w:tcW w:type="dxa" w:w="7460"/>
            <w:tcMar>
              <w:top w:type="dxa" w:w="80"/>
              <w:left w:type="dxa" w:w="100"/>
              <w:bottom w:type="dxa" w:w="80"/>
              <w:right w:type="dxa" w:w="100"/>
            </w:tcMar>
            <w:vAlign w:val="top"/>
          </w:tcPr>
          <w:p>
            <w:pPr>
              <w:spacing w:after="0"/>
            </w:pPr>
            <w:r>
              <w:rPr>
                <w:sz w:val="19"/>
                <w:szCs w:val="19"/>
              </w:rPr>
              <w:t xml:space="preserve">N/A</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Goal</w:t>
            </w:r>
          </w:p>
        </w:tc>
        <w:tc>
          <w:tcPr>
            <w:tcW w:type="dxa" w:w="7460"/>
            <w:tcMar>
              <w:top w:type="dxa" w:w="80"/>
              <w:left w:type="dxa" w:w="100"/>
              <w:bottom w:type="dxa" w:w="80"/>
              <w:right w:type="dxa" w:w="100"/>
            </w:tcMar>
            <w:vAlign w:val="top"/>
          </w:tcPr>
          <w:p>
            <w:pPr>
              <w:spacing w:after="0"/>
            </w:pPr>
            <w:r>
              <w:rPr>
                <w:sz w:val="19"/>
                <w:szCs w:val="19"/>
              </w:rPr>
              <w:t xml:space="preserve">Reproduce the competition presentation exactly, with no dependency on live network access.</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Preconditions</w:t>
            </w:r>
          </w:p>
        </w:tc>
        <w:tc>
          <w:tcPr>
            <w:tcW w:type="dxa" w:w="7460"/>
            <w:tcMar>
              <w:top w:type="dxa" w:w="80"/>
              <w:left w:type="dxa" w:w="100"/>
              <w:bottom w:type="dxa" w:w="80"/>
              <w:right w:type="dxa" w:w="100"/>
            </w:tcMar>
            <w:vAlign w:val="top"/>
          </w:tcPr>
          <w:p>
            <w:pPr>
              <w:spacing w:after="0"/>
            </w:pPr>
            <w:r>
              <w:rPr>
                <w:sz w:val="19"/>
                <w:szCs w:val="19"/>
              </w:rPr>
              <w:t xml:space="preserve">A demo scenario and any required cached model artefacts exist (auto-trained on first use if missing).</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Trigger</w:t>
            </w:r>
          </w:p>
        </w:tc>
        <w:tc>
          <w:tcPr>
            <w:tcW w:type="dxa" w:w="7460"/>
            <w:tcMar>
              <w:top w:type="dxa" w:w="80"/>
              <w:left w:type="dxa" w:w="100"/>
              <w:bottom w:type="dxa" w:w="80"/>
              <w:right w:type="dxa" w:w="100"/>
            </w:tcMar>
            <w:vAlign w:val="top"/>
          </w:tcPr>
          <w:p>
            <w:pPr>
              <w:spacing w:after="0"/>
            </w:pPr>
            <w:r>
              <w:rPr>
                <w:sz w:val="19"/>
                <w:szCs w:val="19"/>
              </w:rPr>
              <w:t xml:space="preserve">`prov demo run &lt;scenario&gt;` or `make demo-real`.</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Main Success Scenario</w:t>
            </w:r>
          </w:p>
        </w:tc>
        <w:tc>
          <w:tcPr>
            <w:tcW w:type="dxa" w:w="7460"/>
            <w:tcMar>
              <w:top w:type="dxa" w:w="80"/>
              <w:left w:type="dxa" w:w="100"/>
              <w:bottom w:type="dxa" w:w="80"/>
              <w:right w:type="dxa" w:w="100"/>
            </w:tcMar>
            <w:vAlign w:val="top"/>
          </w:tcPr>
          <w:p>
            <w:pPr>
              <w:spacing w:after="0"/>
            </w:pPr>
            <w:r>
              <w:rPr>
                <w:sz w:val="19"/>
                <w:szCs w:val="19"/>
              </w:rPr>
              <w:t xml:space="preserve">1. Select a scenario. 2. Replay it against seeded/cached data with egress blocked. 3. Reach each key screen state with its computed numbers, in order.</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Alternative Scenarios</w:t>
            </w:r>
          </w:p>
        </w:tc>
        <w:tc>
          <w:tcPr>
            <w:tcW w:type="dxa" w:w="7460"/>
            <w:tcMar>
              <w:top w:type="dxa" w:w="80"/>
              <w:left w:type="dxa" w:w="100"/>
              <w:bottom w:type="dxa" w:w="80"/>
              <w:right w:type="dxa" w:w="100"/>
            </w:tcMar>
            <w:vAlign w:val="top"/>
          </w:tcPr>
          <w:p>
            <w:pPr>
              <w:spacing w:after="0"/>
            </w:pPr>
            <w:r>
              <w:rPr>
                <w:sz w:val="19"/>
                <w:szCs w:val="19"/>
              </w:rPr>
              <w:t xml:space="preserve">`prov demo rehearse` runs the full-script rehearsal without live audience interaction.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Exception Scenarios</w:t>
            </w:r>
          </w:p>
        </w:tc>
        <w:tc>
          <w:tcPr>
            <w:tcW w:type="dxa" w:w="7460"/>
            <w:tcMar>
              <w:top w:type="dxa" w:w="80"/>
              <w:left w:type="dxa" w:w="100"/>
              <w:bottom w:type="dxa" w:w="80"/>
              <w:right w:type="dxa" w:w="100"/>
            </w:tcMar>
            <w:vAlign w:val="top"/>
          </w:tcPr>
          <w:p>
            <w:pPr>
              <w:spacing w:after="0"/>
            </w:pPr>
            <w:r>
              <w:rPr>
                <w:sz w:val="19"/>
                <w:szCs w:val="19"/>
              </w:rPr>
              <w:t xml:space="preserve">Any attempted network egress during the run is treated as a failure.</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Postconditions</w:t>
            </w:r>
          </w:p>
        </w:tc>
        <w:tc>
          <w:tcPr>
            <w:tcW w:type="dxa" w:w="7460"/>
            <w:tcMar>
              <w:top w:type="dxa" w:w="80"/>
              <w:left w:type="dxa" w:w="100"/>
              <w:bottom w:type="dxa" w:w="80"/>
              <w:right w:type="dxa" w:w="100"/>
            </w:tcMar>
            <w:vAlign w:val="top"/>
          </w:tcPr>
          <w:p>
            <w:pPr>
              <w:spacing w:after="0"/>
            </w:pPr>
            <w:r>
              <w:rPr>
                <w:sz w:val="19"/>
                <w:szCs w:val="19"/>
              </w:rPr>
              <w:t xml:space="preserve">The same scenario produces byte-identical output on every run.</w:t>
            </w:r>
          </w:p>
        </w:tc>
      </w:tr>
      <w:tr>
        <w:tc>
          <w:tcPr>
            <w:tcW w:type="dxa" w:w="1900"/>
            <w:shd w:fill="F0F4F8" w:val="clear"/>
            <w:tcMar>
              <w:top w:type="dxa" w:w="80"/>
              <w:left w:type="dxa" w:w="100"/>
              <w:bottom w:type="dxa" w:w="80"/>
              <w:right w:type="dxa" w:w="100"/>
            </w:tcMar>
            <w:vAlign w:val="top"/>
          </w:tcPr>
          <w:p>
            <w:pPr>
              <w:spacing w:after="0"/>
            </w:pPr>
            <w:r>
              <w:rPr>
                <w:b/>
                <w:bCs/>
                <w:sz w:val="19"/>
                <w:szCs w:val="19"/>
              </w:rPr>
              <w:t xml:space="preserve">Related Requirements</w:t>
            </w:r>
          </w:p>
        </w:tc>
        <w:tc>
          <w:tcPr>
            <w:tcW w:type="dxa" w:w="7460"/>
            <w:tcMar>
              <w:top w:type="dxa" w:w="80"/>
              <w:left w:type="dxa" w:w="100"/>
              <w:bottom w:type="dxa" w:w="80"/>
              <w:right w:type="dxa" w:w="100"/>
            </w:tcMar>
            <w:vAlign w:val="top"/>
          </w:tcPr>
          <w:p>
            <w:pPr>
              <w:spacing w:after="0"/>
            </w:pPr>
            <w:r>
              <w:rPr>
                <w:sz w:val="19"/>
                <w:szCs w:val="19"/>
              </w:rPr>
              <w:t xml:space="preserve">FR-026</w:t>
            </w:r>
          </w:p>
        </w:tc>
      </w:tr>
    </w:tbl>
    <w:p>
      <w:pPr>
        <w:spacing w:after="240"/>
      </w:pPr>
    </w:p>
    <w:p>
      <w:r>
        <w:br w:type="page"/>
      </w:r>
    </w:p>
    <w:p>
      <w:pPr>
        <w:pStyle w:val="Heading1"/>
        <w:spacing w:after="200" w:before="400"/>
      </w:pPr>
      <w:r>
        <w:t xml:space="preserve">8. Data Requirements</w:t>
      </w:r>
    </w:p>
    <w:p>
      <w:pPr>
        <w:pStyle w:val="Heading2"/>
        <w:spacing w:after="150" w:before="300"/>
      </w:pPr>
      <w:r>
        <w:t xml:space="preserve">8.1 Data Sources</w:t>
      </w:r>
    </w:p>
    <w:p>
      <w:pPr>
        <w:spacing w:after="160" w:line="276"/>
      </w:pPr>
      <w:r>
        <w:t xml:space="preserve">Four external data sources feed the system, all as offline file drops rather than live APIs: the Green Sentinel environmental export (149,683 readings, 16 land stations + 2 surface-water points, hourly/daily, ~13 parameters/station, 30 days), Enclod roadside traffic counters (42 directional counters, 15-minute resolution, ~16 months), HungaroMet weather data, and the DKV static GTFS transit feed. See Section 3 for the full source table.</w:t>
      </w:r>
    </w:p>
    <w:p>
      <w:pPr>
        <w:pStyle w:val="Heading2"/>
        <w:spacing w:after="150" w:before="300"/>
      </w:pPr>
      <w:r>
        <w:t xml:space="preserve">8.2 Data Inputs</w:t>
      </w:r>
    </w:p>
    <w:p>
      <w:pPr>
        <w:pStyle w:val="ListParagraph"/>
        <w:numPr>
          <w:ilvl w:val="0"/>
          <w:numId w:val="1"/>
        </w:numPr>
        <w:spacing w:after="80" w:line="264"/>
      </w:pPr>
      <w:r>
        <w:t xml:space="preserve">Raw reading rows: timestamp, station id, parameter, value, unit, instrument id, source file.</w:t>
      </w:r>
    </w:p>
    <w:p>
      <w:pPr>
        <w:pStyle w:val="ListParagraph"/>
        <w:numPr>
          <w:ilvl w:val="0"/>
          <w:numId w:val="1"/>
        </w:numPr>
        <w:spacing w:after="80" w:line="264"/>
      </w:pPr>
      <w:r>
        <w:t xml:space="preserve">Station reference metadata: id, name, coordinates, structural coverage, curated zone_type.</w:t>
      </w:r>
    </w:p>
    <w:p>
      <w:pPr>
        <w:pStyle w:val="ListParagraph"/>
        <w:numPr>
          <w:ilvl w:val="0"/>
          <w:numId w:val="1"/>
        </w:numPr>
        <w:spacing w:after="80" w:line="264"/>
      </w:pPr>
      <w:r>
        <w:t xml:space="preserve">Wind and weather series for graph conditioning and deweathering.</w:t>
      </w:r>
    </w:p>
    <w:p>
      <w:pPr>
        <w:pStyle w:val="ListParagraph"/>
        <w:numPr>
          <w:ilvl w:val="0"/>
          <w:numId w:val="1"/>
        </w:numPr>
        <w:spacing w:after="80" w:line="264"/>
      </w:pPr>
      <w:r>
        <w:t xml:space="preserve">GTFS transit-corridor geometry for PopulationExposure.</w:t>
      </w:r>
    </w:p>
    <w:p>
      <w:pPr>
        <w:pStyle w:val="ListParagraph"/>
        <w:numPr>
          <w:ilvl w:val="0"/>
          <w:numId w:val="1"/>
        </w:numPr>
        <w:spacing w:after="80" w:line="264"/>
      </w:pPr>
      <w:r>
        <w:t xml:space="preserve">Human decisions: sign-off tokens, maintenance transitions, dispatch requests.</w:t>
      </w:r>
    </w:p>
    <w:p>
      <w:pPr>
        <w:pStyle w:val="Heading2"/>
        <w:spacing w:after="150" w:before="300"/>
      </w:pPr>
      <w:r>
        <w:t xml:space="preserve">8.3 Data Formats</w:t>
      </w:r>
    </w:p>
    <w:p>
      <w:pPr>
        <w:spacing w:after="160" w:line="276"/>
      </w:pPr>
      <w:r>
        <w:t xml:space="preserve">Raw inputs are file-based (CSV/Excel per data/README.md, parsed with pandas/openpyxl/pyarrow). The canonical in-pipeline representation is a schema-validated pandas DataFrame (validated with pandera). Persisted storage is relational (SQLAlchemy ORM over TimescaleDB/PostgreSQL, with a SQLite-compatible schema for tests). The API surface is JSON over HTTPS. Exports are produced in CSV, JSON, and PDF.</w:t>
      </w:r>
    </w:p>
    <w:p>
      <w:pPr>
        <w:pStyle w:val="Heading2"/>
        <w:spacing w:after="150" w:before="300"/>
      </w:pPr>
      <w:r>
        <w:t xml:space="preserve">8.4 Data Models</w:t>
      </w:r>
    </w:p>
    <w:p>
      <w:pPr>
        <w:spacing w:after="160" w:line="276"/>
      </w:pPr>
      <w:r>
        <w:t xml:space="preserve">The canonical schema (provenance.schema.canonical) defines the in-pipeline representation every detector and downstream stage consumes. The persisted relational model (provenance.io.db.models) defines fourteen entities described in 8.5. Both are derived from, and validated against, the observed-schema manifest recorded for each raw drop.</w:t>
      </w:r>
    </w:p>
    <w:p>
      <w:pPr>
        <w:pStyle w:val="Heading2"/>
        <w:spacing w:after="150" w:before="300"/>
      </w:pPr>
      <w:r>
        <w:t xml:space="preserve">8.5 Database Entities</w:t>
      </w:r>
    </w:p>
    <w:p>
      <w:pPr>
        <w:spacing w:after="160" w:line="276"/>
      </w:pPr>
      <w:r>
        <w:t xml:space="preserve">Figure 4 shows the entity-relationship model as implemented in provenance.io.db.models. Readings, TrustScore, and Residual are TimescaleDB hypertables chunked by day; every derived entity carries the id of the run or batch that produced it.</w:t>
      </w:r>
    </w:p>
    <w:p>
      <w:pPr>
        <w:spacing w:after="60" w:before="12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48075"/>
                    </a:xfrm>
                    <a:prstGeom prst="rect">
                      <a:avLst/>
                    </a:prstGeom>
                  </pic:spPr>
                </pic:pic>
              </a:graphicData>
            </a:graphic>
          </wp:inline>
        </w:drawing>
      </w:r>
    </w:p>
    <w:p>
      <w:pPr>
        <w:spacing w:after="240" w:before="80"/>
        <w:jc w:val="center"/>
      </w:pPr>
      <w:r>
        <w:rPr>
          <w:i/>
          <w:iCs/>
          <w:color w:val="4A5568"/>
          <w:sz w:val="18"/>
          <w:szCs w:val="18"/>
        </w:rPr>
        <w:t xml:space="preserve">Figure 4. Entity-Relationship Model (simplified — full column list in Section 4.4 and the ORM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shd w:fill="1B6AB8" w:val="clear"/>
            <w:tcMar>
              <w:top w:type="dxa" w:w="80"/>
              <w:left w:type="dxa" w:w="100"/>
              <w:bottom w:type="dxa" w:w="80"/>
              <w:right w:type="dxa" w:w="100"/>
            </w:tcMar>
            <w:vAlign w:val="top"/>
          </w:tcPr>
          <w:p>
            <w:pPr>
              <w:spacing w:after="0"/>
            </w:pPr>
            <w:r>
              <w:rPr>
                <w:b/>
                <w:bCs/>
                <w:color w:val="FFFFFF"/>
                <w:sz w:val="19"/>
                <w:szCs w:val="19"/>
              </w:rPr>
              <w:t xml:space="preserve">Entity</w:t>
            </w:r>
          </w:p>
        </w:tc>
        <w:tc>
          <w:tcPr>
            <w:tcW w:type="dxa" w:w="440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c>
          <w:tcPr>
            <w:tcW w:type="dxa" w:w="3060"/>
            <w:shd w:fill="1B6AB8" w:val="clear"/>
            <w:tcMar>
              <w:top w:type="dxa" w:w="80"/>
              <w:left w:type="dxa" w:w="100"/>
              <w:bottom w:type="dxa" w:w="80"/>
              <w:right w:type="dxa" w:w="100"/>
            </w:tcMar>
            <w:vAlign w:val="top"/>
          </w:tcPr>
          <w:p>
            <w:pPr>
              <w:spacing w:after="0"/>
            </w:pPr>
            <w:r>
              <w:rPr>
                <w:b/>
                <w:bCs/>
                <w:color w:val="FFFFFF"/>
                <w:sz w:val="19"/>
                <w:szCs w:val="19"/>
              </w:rPr>
              <w:t xml:space="preserve">Key Columns</w:t>
            </w:r>
          </w:p>
        </w:tc>
      </w:tr>
      <w:tr>
        <w:tc>
          <w:tcPr>
            <w:tcW w:type="dxa" w:w="1900"/>
            <w:tcMar>
              <w:top w:type="dxa" w:w="80"/>
              <w:left w:type="dxa" w:w="100"/>
              <w:bottom w:type="dxa" w:w="80"/>
              <w:right w:type="dxa" w:w="100"/>
            </w:tcMar>
            <w:vAlign w:val="top"/>
          </w:tcPr>
          <w:p>
            <w:pPr>
              <w:spacing w:after="0"/>
            </w:pPr>
            <w:r>
              <w:rPr>
                <w:sz w:val="19"/>
                <w:szCs w:val="19"/>
              </w:rPr>
              <w:t xml:space="preserve">IngestBatch</w:t>
            </w:r>
          </w:p>
        </w:tc>
        <w:tc>
          <w:tcPr>
            <w:tcW w:type="dxa" w:w="4400"/>
            <w:tcMar>
              <w:top w:type="dxa" w:w="80"/>
              <w:left w:type="dxa" w:w="100"/>
              <w:bottom w:type="dxa" w:w="80"/>
              <w:right w:type="dxa" w:w="100"/>
            </w:tcMar>
            <w:vAlign w:val="top"/>
          </w:tcPr>
          <w:p>
            <w:pPr>
              <w:spacing w:after="0"/>
            </w:pPr>
            <w:r>
              <w:rPr>
                <w:sz w:val="19"/>
                <w:szCs w:val="19"/>
              </w:rPr>
              <w:t xml:space="preserve">One file-drop load; checksum makes re-loading a no-op.</w:t>
            </w:r>
          </w:p>
        </w:tc>
        <w:tc>
          <w:tcPr>
            <w:tcW w:type="dxa" w:w="3060"/>
            <w:tcMar>
              <w:top w:type="dxa" w:w="80"/>
              <w:left w:type="dxa" w:w="100"/>
              <w:bottom w:type="dxa" w:w="80"/>
              <w:right w:type="dxa" w:w="100"/>
            </w:tcMar>
            <w:vAlign w:val="top"/>
          </w:tcPr>
          <w:p>
            <w:pPr>
              <w:spacing w:after="0"/>
            </w:pPr>
            <w:r>
              <w:rPr>
                <w:sz w:val="19"/>
                <w:szCs w:val="19"/>
              </w:rPr>
              <w:t xml:space="preserve">id (PK), source, path, checksum, row_count, created_at</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Station</w:t>
            </w:r>
          </w:p>
        </w:tc>
        <w:tc>
          <w:tcPr>
            <w:tcW w:type="dxa" w:w="4400"/>
            <w:shd w:fill="F5F8FC" w:val="clear"/>
            <w:tcMar>
              <w:top w:type="dxa" w:w="80"/>
              <w:left w:type="dxa" w:w="100"/>
              <w:bottom w:type="dxa" w:w="80"/>
              <w:right w:type="dxa" w:w="100"/>
            </w:tcMar>
            <w:vAlign w:val="top"/>
          </w:tcPr>
          <w:p>
            <w:pPr>
              <w:spacing w:after="0"/>
            </w:pPr>
            <w:r>
              <w:rPr>
                <w:sz w:val="19"/>
                <w:szCs w:val="19"/>
              </w:rPr>
              <w:t xml:space="preserve">A monitoring station.</w:t>
            </w:r>
          </w:p>
        </w:tc>
        <w:tc>
          <w:tcPr>
            <w:tcW w:type="dxa" w:w="3060"/>
            <w:shd w:fill="F5F8FC" w:val="clear"/>
            <w:tcMar>
              <w:top w:type="dxa" w:w="80"/>
              <w:left w:type="dxa" w:w="100"/>
              <w:bottom w:type="dxa" w:w="80"/>
              <w:right w:type="dxa" w:w="100"/>
            </w:tcMar>
            <w:vAlign w:val="top"/>
          </w:tcPr>
          <w:p>
            <w:pPr>
              <w:spacing w:after="0"/>
            </w:pPr>
            <w:r>
              <w:rPr>
                <w:sz w:val="19"/>
                <w:szCs w:val="19"/>
              </w:rPr>
              <w:t xml:space="preserve">station_id (PK), name, lat, lon, zone_type, coverage (JSON)</w:t>
            </w:r>
          </w:p>
        </w:tc>
      </w:tr>
      <w:tr>
        <w:tc>
          <w:tcPr>
            <w:tcW w:type="dxa" w:w="1900"/>
            <w:tcMar>
              <w:top w:type="dxa" w:w="80"/>
              <w:left w:type="dxa" w:w="100"/>
              <w:bottom w:type="dxa" w:w="80"/>
              <w:right w:type="dxa" w:w="100"/>
            </w:tcMar>
            <w:vAlign w:val="top"/>
          </w:tcPr>
          <w:p>
            <w:pPr>
              <w:spacing w:after="0"/>
            </w:pPr>
            <w:r>
              <w:rPr>
                <w:sz w:val="19"/>
                <w:szCs w:val="19"/>
              </w:rPr>
              <w:t xml:space="preserve">Parameter</w:t>
            </w:r>
          </w:p>
        </w:tc>
        <w:tc>
          <w:tcPr>
            <w:tcW w:type="dxa" w:w="4400"/>
            <w:tcMar>
              <w:top w:type="dxa" w:w="80"/>
              <w:left w:type="dxa" w:w="100"/>
              <w:bottom w:type="dxa" w:w="80"/>
              <w:right w:type="dxa" w:w="100"/>
            </w:tcMar>
            <w:vAlign w:val="top"/>
          </w:tcPr>
          <w:p>
            <w:pPr>
              <w:spacing w:after="0"/>
            </w:pPr>
            <w:r>
              <w:rPr>
                <w:sz w:val="19"/>
                <w:szCs w:val="19"/>
              </w:rPr>
              <w:t xml:space="preserve">A measured quantity and its canonical unit/domain.</w:t>
            </w:r>
          </w:p>
        </w:tc>
        <w:tc>
          <w:tcPr>
            <w:tcW w:type="dxa" w:w="3060"/>
            <w:tcMar>
              <w:top w:type="dxa" w:w="80"/>
              <w:left w:type="dxa" w:w="100"/>
              <w:bottom w:type="dxa" w:w="80"/>
              <w:right w:type="dxa" w:w="100"/>
            </w:tcMar>
            <w:vAlign w:val="top"/>
          </w:tcPr>
          <w:p>
            <w:pPr>
              <w:spacing w:after="0"/>
            </w:pPr>
            <w:r>
              <w:rPr>
                <w:sz w:val="19"/>
                <w:szCs w:val="19"/>
              </w:rPr>
              <w:t xml:space="preserve">name (PK), unit, domain</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Reading</w:t>
            </w:r>
          </w:p>
        </w:tc>
        <w:tc>
          <w:tcPr>
            <w:tcW w:type="dxa" w:w="4400"/>
            <w:shd w:fill="F5F8FC" w:val="clear"/>
            <w:tcMar>
              <w:top w:type="dxa" w:w="80"/>
              <w:left w:type="dxa" w:w="100"/>
              <w:bottom w:type="dxa" w:w="80"/>
              <w:right w:type="dxa" w:w="100"/>
            </w:tcMar>
            <w:vAlign w:val="top"/>
          </w:tcPr>
          <w:p>
            <w:pPr>
              <w:spacing w:after="0"/>
            </w:pPr>
            <w:r>
              <w:rPr>
                <w:sz w:val="19"/>
                <w:szCs w:val="19"/>
              </w:rPr>
              <w:t xml:space="preserve">One observed reading (hypertable, chunked by day).</w:t>
            </w:r>
          </w:p>
        </w:tc>
        <w:tc>
          <w:tcPr>
            <w:tcW w:type="dxa" w:w="3060"/>
            <w:shd w:fill="F5F8FC" w:val="clear"/>
            <w:tcMar>
              <w:top w:type="dxa" w:w="80"/>
              <w:left w:type="dxa" w:w="100"/>
              <w:bottom w:type="dxa" w:w="80"/>
              <w:right w:type="dxa" w:w="100"/>
            </w:tcMar>
            <w:vAlign w:val="top"/>
          </w:tcPr>
          <w:p>
            <w:pPr>
              <w:spacing w:after="0"/>
            </w:pPr>
            <w:r>
              <w:rPr>
                <w:sz w:val="19"/>
                <w:szCs w:val="19"/>
              </w:rPr>
              <w:t xml:space="preserve">timestamp_utc + row_hash (PK), station_id, parameter, value, unit</w:t>
            </w:r>
          </w:p>
        </w:tc>
      </w:tr>
      <w:tr>
        <w:tc>
          <w:tcPr>
            <w:tcW w:type="dxa" w:w="1900"/>
            <w:tcMar>
              <w:top w:type="dxa" w:w="80"/>
              <w:left w:type="dxa" w:w="100"/>
              <w:bottom w:type="dxa" w:w="80"/>
              <w:right w:type="dxa" w:w="100"/>
            </w:tcMar>
            <w:vAlign w:val="top"/>
          </w:tcPr>
          <w:p>
            <w:pPr>
              <w:spacing w:after="0"/>
            </w:pPr>
            <w:r>
              <w:rPr>
                <w:sz w:val="19"/>
                <w:szCs w:val="19"/>
              </w:rPr>
              <w:t xml:space="preserve">AuditRun</w:t>
            </w:r>
          </w:p>
        </w:tc>
        <w:tc>
          <w:tcPr>
            <w:tcW w:type="dxa" w:w="4400"/>
            <w:tcMar>
              <w:top w:type="dxa" w:w="80"/>
              <w:left w:type="dxa" w:w="100"/>
              <w:bottom w:type="dxa" w:w="80"/>
              <w:right w:type="dxa" w:w="100"/>
            </w:tcMar>
            <w:vAlign w:val="top"/>
          </w:tcPr>
          <w:p>
            <w:pPr>
              <w:spacing w:after="0"/>
            </w:pPr>
            <w:r>
              <w:rPr>
                <w:sz w:val="19"/>
                <w:szCs w:val="19"/>
              </w:rPr>
              <w:t xml:space="preserve">One audit, with the arithmetic that produced its defect rate.</w:t>
            </w:r>
          </w:p>
        </w:tc>
        <w:tc>
          <w:tcPr>
            <w:tcW w:type="dxa" w:w="3060"/>
            <w:tcMar>
              <w:top w:type="dxa" w:w="80"/>
              <w:left w:type="dxa" w:w="100"/>
              <w:bottom w:type="dxa" w:w="80"/>
              <w:right w:type="dxa" w:w="100"/>
            </w:tcMar>
            <w:vAlign w:val="top"/>
          </w:tcPr>
          <w:p>
            <w:pPr>
              <w:spacing w:after="0"/>
            </w:pPr>
            <w:r>
              <w:rPr>
                <w:sz w:val="19"/>
                <w:szCs w:val="19"/>
              </w:rPr>
              <w:t xml:space="preserve">id (PK), code_version, config_hash, data_checksum, defect_rate</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Defect</w:t>
            </w:r>
          </w:p>
        </w:tc>
        <w:tc>
          <w:tcPr>
            <w:tcW w:type="dxa" w:w="4400"/>
            <w:shd w:fill="F5F8FC" w:val="clear"/>
            <w:tcMar>
              <w:top w:type="dxa" w:w="80"/>
              <w:left w:type="dxa" w:w="100"/>
              <w:bottom w:type="dxa" w:w="80"/>
              <w:right w:type="dxa" w:w="100"/>
            </w:tcMar>
            <w:vAlign w:val="top"/>
          </w:tcPr>
          <w:p>
            <w:pPr>
              <w:spacing w:after="0"/>
            </w:pPr>
            <w:r>
              <w:rPr>
                <w:sz w:val="19"/>
                <w:szCs w:val="19"/>
              </w:rPr>
              <w:t xml:space="preserve">One flagged cell.</w:t>
            </w:r>
          </w:p>
        </w:tc>
        <w:tc>
          <w:tcPr>
            <w:tcW w:type="dxa" w:w="3060"/>
            <w:shd w:fill="F5F8FC" w:val="clear"/>
            <w:tcMar>
              <w:top w:type="dxa" w:w="80"/>
              <w:left w:type="dxa" w:w="100"/>
              <w:bottom w:type="dxa" w:w="80"/>
              <w:right w:type="dxa" w:w="100"/>
            </w:tcMar>
            <w:vAlign w:val="top"/>
          </w:tcPr>
          <w:p>
            <w:pPr>
              <w:spacing w:after="0"/>
            </w:pPr>
            <w:r>
              <w:rPr>
                <w:sz w:val="19"/>
                <w:szCs w:val="19"/>
              </w:rPr>
              <w:t xml:space="preserve">id (PK), audit_run_id (FK), reason_code, severity, evidence (JSON)</w:t>
            </w:r>
          </w:p>
        </w:tc>
      </w:tr>
      <w:tr>
        <w:tc>
          <w:tcPr>
            <w:tcW w:type="dxa" w:w="1900"/>
            <w:tcMar>
              <w:top w:type="dxa" w:w="80"/>
              <w:left w:type="dxa" w:w="100"/>
              <w:bottom w:type="dxa" w:w="80"/>
              <w:right w:type="dxa" w:w="100"/>
            </w:tcMar>
            <w:vAlign w:val="top"/>
          </w:tcPr>
          <w:p>
            <w:pPr>
              <w:spacing w:after="0"/>
            </w:pPr>
            <w:r>
              <w:rPr>
                <w:sz w:val="19"/>
                <w:szCs w:val="19"/>
              </w:rPr>
              <w:t xml:space="preserve">CoverageFact</w:t>
            </w:r>
          </w:p>
        </w:tc>
        <w:tc>
          <w:tcPr>
            <w:tcW w:type="dxa" w:w="4400"/>
            <w:tcMar>
              <w:top w:type="dxa" w:w="80"/>
              <w:left w:type="dxa" w:w="100"/>
              <w:bottom w:type="dxa" w:w="80"/>
              <w:right w:type="dxa" w:w="100"/>
            </w:tcMar>
            <w:vAlign w:val="top"/>
          </w:tcPr>
          <w:p>
            <w:pPr>
              <w:spacing w:after="0"/>
            </w:pPr>
            <w:r>
              <w:rPr>
                <w:sz w:val="19"/>
                <w:szCs w:val="19"/>
              </w:rPr>
              <w:t xml:space="preserve">A structural absence (never a defect).</w:t>
            </w:r>
          </w:p>
        </w:tc>
        <w:tc>
          <w:tcPr>
            <w:tcW w:type="dxa" w:w="3060"/>
            <w:tcMar>
              <w:top w:type="dxa" w:w="80"/>
              <w:left w:type="dxa" w:w="100"/>
              <w:bottom w:type="dxa" w:w="80"/>
              <w:right w:type="dxa" w:w="100"/>
            </w:tcMar>
            <w:vAlign w:val="top"/>
          </w:tcPr>
          <w:p>
            <w:pPr>
              <w:spacing w:after="0"/>
            </w:pPr>
            <w:r>
              <w:rPr>
                <w:sz w:val="19"/>
                <w:szCs w:val="19"/>
              </w:rPr>
              <w:t xml:space="preserve">id (PK), audit_run_id (FK), station_id, reason_code</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Event</w:t>
            </w:r>
          </w:p>
        </w:tc>
        <w:tc>
          <w:tcPr>
            <w:tcW w:type="dxa" w:w="4400"/>
            <w:shd w:fill="F5F8FC" w:val="clear"/>
            <w:tcMar>
              <w:top w:type="dxa" w:w="80"/>
              <w:left w:type="dxa" w:w="100"/>
              <w:bottom w:type="dxa" w:w="80"/>
              <w:right w:type="dxa" w:w="100"/>
            </w:tcMar>
            <w:vAlign w:val="top"/>
          </w:tcPr>
          <w:p>
            <w:pPr>
              <w:spacing w:after="0"/>
            </w:pPr>
            <w:r>
              <w:rPr>
                <w:sz w:val="19"/>
                <w:szCs w:val="19"/>
              </w:rPr>
              <w:t xml:space="preserve">A candidate notable event; verdict null until adjudicated.</w:t>
            </w:r>
          </w:p>
        </w:tc>
        <w:tc>
          <w:tcPr>
            <w:tcW w:type="dxa" w:w="3060"/>
            <w:shd w:fill="F5F8FC" w:val="clear"/>
            <w:tcMar>
              <w:top w:type="dxa" w:w="80"/>
              <w:left w:type="dxa" w:w="100"/>
              <w:bottom w:type="dxa" w:w="80"/>
              <w:right w:type="dxa" w:w="100"/>
            </w:tcMar>
            <w:vAlign w:val="top"/>
          </w:tcPr>
          <w:p>
            <w:pPr>
              <w:spacing w:after="0"/>
            </w:pPr>
            <w:r>
              <w:rPr>
                <w:sz w:val="19"/>
                <w:szCs w:val="19"/>
              </w:rPr>
              <w:t xml:space="preserve">id (PK), audit_run_id (FK), verdict, evidence (JSON)</w:t>
            </w:r>
          </w:p>
        </w:tc>
      </w:tr>
      <w:tr>
        <w:tc>
          <w:tcPr>
            <w:tcW w:type="dxa" w:w="1900"/>
            <w:tcMar>
              <w:top w:type="dxa" w:w="80"/>
              <w:left w:type="dxa" w:w="100"/>
              <w:bottom w:type="dxa" w:w="80"/>
              <w:right w:type="dxa" w:w="100"/>
            </w:tcMar>
            <w:vAlign w:val="top"/>
          </w:tcPr>
          <w:p>
            <w:pPr>
              <w:spacing w:after="0"/>
            </w:pPr>
            <w:r>
              <w:rPr>
                <w:sz w:val="19"/>
                <w:szCs w:val="19"/>
              </w:rPr>
              <w:t xml:space="preserve">Residual</w:t>
            </w:r>
          </w:p>
        </w:tc>
        <w:tc>
          <w:tcPr>
            <w:tcW w:type="dxa" w:w="4400"/>
            <w:tcMar>
              <w:top w:type="dxa" w:w="80"/>
              <w:left w:type="dxa" w:w="100"/>
              <w:bottom w:type="dxa" w:w="80"/>
              <w:right w:type="dxa" w:w="100"/>
            </w:tcMar>
            <w:vAlign w:val="top"/>
          </w:tcPr>
          <w:p>
            <w:pPr>
              <w:spacing w:after="0"/>
            </w:pPr>
            <w:r>
              <w:rPr>
                <w:sz w:val="19"/>
                <w:szCs w:val="19"/>
              </w:rPr>
              <w:t xml:space="preserve">A deweathered residual (hypertable, chunked by day).</w:t>
            </w:r>
          </w:p>
        </w:tc>
        <w:tc>
          <w:tcPr>
            <w:tcW w:type="dxa" w:w="3060"/>
            <w:tcMar>
              <w:top w:type="dxa" w:w="80"/>
              <w:left w:type="dxa" w:w="100"/>
              <w:bottom w:type="dxa" w:w="80"/>
              <w:right w:type="dxa" w:w="100"/>
            </w:tcMar>
            <w:vAlign w:val="top"/>
          </w:tcPr>
          <w:p>
            <w:pPr>
              <w:spacing w:after="0"/>
            </w:pPr>
            <w:r>
              <w:rPr>
                <w:sz w:val="19"/>
                <w:szCs w:val="19"/>
              </w:rPr>
              <w:t xml:space="preserve">timestamp_utc+station_id+parameter+model_version (PK), residual</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MaintenanceItem</w:t>
            </w:r>
          </w:p>
        </w:tc>
        <w:tc>
          <w:tcPr>
            <w:tcW w:type="dxa" w:w="4400"/>
            <w:shd w:fill="F5F8FC" w:val="clear"/>
            <w:tcMar>
              <w:top w:type="dxa" w:w="80"/>
              <w:left w:type="dxa" w:w="100"/>
              <w:bottom w:type="dxa" w:w="80"/>
              <w:right w:type="dxa" w:w="100"/>
            </w:tcMar>
            <w:vAlign w:val="top"/>
          </w:tcPr>
          <w:p>
            <w:pPr>
              <w:spacing w:after="0"/>
            </w:pPr>
            <w:r>
              <w:rPr>
                <w:sz w:val="19"/>
                <w:szCs w:val="19"/>
              </w:rPr>
              <w:t xml:space="preserve">A ranked, deduplicated maintenance ticket.</w:t>
            </w:r>
          </w:p>
        </w:tc>
        <w:tc>
          <w:tcPr>
            <w:tcW w:type="dxa" w:w="3060"/>
            <w:shd w:fill="F5F8FC" w:val="clear"/>
            <w:tcMar>
              <w:top w:type="dxa" w:w="80"/>
              <w:left w:type="dxa" w:w="100"/>
              <w:bottom w:type="dxa" w:w="80"/>
              <w:right w:type="dxa" w:w="100"/>
            </w:tcMar>
            <w:vAlign w:val="top"/>
          </w:tcPr>
          <w:p>
            <w:pPr>
              <w:spacing w:after="0"/>
            </w:pPr>
            <w:r>
              <w:rPr>
                <w:sz w:val="19"/>
                <w:szCs w:val="19"/>
              </w:rPr>
              <w:t xml:space="preserve">id (PK), audit_run_id (FK), priority, status</w:t>
            </w:r>
          </w:p>
        </w:tc>
      </w:tr>
      <w:tr>
        <w:tc>
          <w:tcPr>
            <w:tcW w:type="dxa" w:w="1900"/>
            <w:tcMar>
              <w:top w:type="dxa" w:w="80"/>
              <w:left w:type="dxa" w:w="100"/>
              <w:bottom w:type="dxa" w:w="80"/>
              <w:right w:type="dxa" w:w="100"/>
            </w:tcMar>
            <w:vAlign w:val="top"/>
          </w:tcPr>
          <w:p>
            <w:pPr>
              <w:spacing w:after="0"/>
            </w:pPr>
            <w:r>
              <w:rPr>
                <w:sz w:val="19"/>
                <w:szCs w:val="19"/>
              </w:rPr>
              <w:t xml:space="preserve">MaintenanceTransition</w:t>
            </w:r>
          </w:p>
        </w:tc>
        <w:tc>
          <w:tcPr>
            <w:tcW w:type="dxa" w:w="4400"/>
            <w:tcMar>
              <w:top w:type="dxa" w:w="80"/>
              <w:left w:type="dxa" w:w="100"/>
              <w:bottom w:type="dxa" w:w="80"/>
              <w:right w:type="dxa" w:w="100"/>
            </w:tcMar>
            <w:vAlign w:val="top"/>
          </w:tcPr>
          <w:p>
            <w:pPr>
              <w:spacing w:after="0"/>
            </w:pPr>
            <w:r>
              <w:rPr>
                <w:sz w:val="19"/>
                <w:szCs w:val="19"/>
              </w:rPr>
              <w:t xml:space="preserve">One append-only state change of a ticket.</w:t>
            </w:r>
          </w:p>
        </w:tc>
        <w:tc>
          <w:tcPr>
            <w:tcW w:type="dxa" w:w="3060"/>
            <w:tcMar>
              <w:top w:type="dxa" w:w="80"/>
              <w:left w:type="dxa" w:w="100"/>
              <w:bottom w:type="dxa" w:w="80"/>
              <w:right w:type="dxa" w:w="100"/>
            </w:tcMar>
            <w:vAlign w:val="top"/>
          </w:tcPr>
          <w:p>
            <w:pPr>
              <w:spacing w:after="0"/>
            </w:pPr>
            <w:r>
              <w:rPr>
                <w:sz w:val="19"/>
                <w:szCs w:val="19"/>
              </w:rPr>
              <w:t xml:space="preserve">id (PK), item_id (FK), from_status, to_status, actor</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SignoffToken</w:t>
            </w:r>
          </w:p>
        </w:tc>
        <w:tc>
          <w:tcPr>
            <w:tcW w:type="dxa" w:w="4400"/>
            <w:shd w:fill="F5F8FC" w:val="clear"/>
            <w:tcMar>
              <w:top w:type="dxa" w:w="80"/>
              <w:left w:type="dxa" w:w="100"/>
              <w:bottom w:type="dxa" w:w="80"/>
              <w:right w:type="dxa" w:w="100"/>
            </w:tcMar>
            <w:vAlign w:val="top"/>
          </w:tcPr>
          <w:p>
            <w:pPr>
              <w:spacing w:after="0"/>
            </w:pPr>
            <w:r>
              <w:rPr>
                <w:sz w:val="19"/>
                <w:szCs w:val="19"/>
              </w:rPr>
              <w:t xml:space="preserve">A recorded human authorisation for dispatch.</w:t>
            </w:r>
          </w:p>
        </w:tc>
        <w:tc>
          <w:tcPr>
            <w:tcW w:type="dxa" w:w="3060"/>
            <w:shd w:fill="F5F8FC" w:val="clear"/>
            <w:tcMar>
              <w:top w:type="dxa" w:w="80"/>
              <w:left w:type="dxa" w:w="100"/>
              <w:bottom w:type="dxa" w:w="80"/>
              <w:right w:type="dxa" w:w="100"/>
            </w:tcMar>
            <w:vAlign w:val="top"/>
          </w:tcPr>
          <w:p>
            <w:pPr>
              <w:spacing w:after="0"/>
            </w:pPr>
            <w:r>
              <w:rPr>
                <w:sz w:val="19"/>
                <w:szCs w:val="19"/>
              </w:rPr>
              <w:t xml:space="preserve">id (PK), event_id (FK), evidence_hash, expires_at, revoked</w:t>
            </w:r>
          </w:p>
        </w:tc>
      </w:tr>
      <w:tr>
        <w:tc>
          <w:tcPr>
            <w:tcW w:type="dxa" w:w="1900"/>
            <w:tcMar>
              <w:top w:type="dxa" w:w="80"/>
              <w:left w:type="dxa" w:w="100"/>
              <w:bottom w:type="dxa" w:w="80"/>
              <w:right w:type="dxa" w:w="100"/>
            </w:tcMar>
            <w:vAlign w:val="top"/>
          </w:tcPr>
          <w:p>
            <w:pPr>
              <w:spacing w:after="0"/>
            </w:pPr>
            <w:r>
              <w:rPr>
                <w:sz w:val="19"/>
                <w:szCs w:val="19"/>
              </w:rPr>
              <w:t xml:space="preserve">Dispatch</w:t>
            </w:r>
          </w:p>
        </w:tc>
        <w:tc>
          <w:tcPr>
            <w:tcW w:type="dxa" w:w="4400"/>
            <w:tcMar>
              <w:top w:type="dxa" w:w="80"/>
              <w:left w:type="dxa" w:w="100"/>
              <w:bottom w:type="dxa" w:w="80"/>
              <w:right w:type="dxa" w:w="100"/>
            </w:tcMar>
            <w:vAlign w:val="top"/>
          </w:tcPr>
          <w:p>
            <w:pPr>
              <w:spacing w:after="0"/>
            </w:pPr>
            <w:r>
              <w:rPr>
                <w:sz w:val="19"/>
                <w:szCs w:val="19"/>
              </w:rPr>
              <w:t xml:space="preserve">A recorded, idempotent public dispatch.</w:t>
            </w:r>
          </w:p>
        </w:tc>
        <w:tc>
          <w:tcPr>
            <w:tcW w:type="dxa" w:w="3060"/>
            <w:tcMar>
              <w:top w:type="dxa" w:w="80"/>
              <w:left w:type="dxa" w:w="100"/>
              <w:bottom w:type="dxa" w:w="80"/>
              <w:right w:type="dxa" w:w="100"/>
            </w:tcMar>
            <w:vAlign w:val="top"/>
          </w:tcPr>
          <w:p>
            <w:pPr>
              <w:spacing w:after="0"/>
            </w:pPr>
            <w:r>
              <w:rPr>
                <w:sz w:val="19"/>
                <w:szCs w:val="19"/>
              </w:rPr>
              <w:t xml:space="preserve">id (PK), event_id (FK), signoff_id (FK), idempotency_key (unique)</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TrustScore</w:t>
            </w:r>
          </w:p>
        </w:tc>
        <w:tc>
          <w:tcPr>
            <w:tcW w:type="dxa" w:w="4400"/>
            <w:shd w:fill="F5F8FC" w:val="clear"/>
            <w:tcMar>
              <w:top w:type="dxa" w:w="80"/>
              <w:left w:type="dxa" w:w="100"/>
              <w:bottom w:type="dxa" w:w="80"/>
              <w:right w:type="dxa" w:w="100"/>
            </w:tcMar>
            <w:vAlign w:val="top"/>
          </w:tcPr>
          <w:p>
            <w:pPr>
              <w:spacing w:after="0"/>
            </w:pPr>
            <w:r>
              <w:rPr>
                <w:sz w:val="19"/>
                <w:szCs w:val="19"/>
              </w:rPr>
              <w:t xml:space="preserve">A trust score at a point in time (hypertable).</w:t>
            </w:r>
          </w:p>
        </w:tc>
        <w:tc>
          <w:tcPr>
            <w:tcW w:type="dxa" w:w="3060"/>
            <w:shd w:fill="F5F8FC" w:val="clear"/>
            <w:tcMar>
              <w:top w:type="dxa" w:w="80"/>
              <w:left w:type="dxa" w:w="100"/>
              <w:bottom w:type="dxa" w:w="80"/>
              <w:right w:type="dxa" w:w="100"/>
            </w:tcMar>
            <w:vAlign w:val="top"/>
          </w:tcPr>
          <w:p>
            <w:pPr>
              <w:spacing w:after="0"/>
            </w:pPr>
            <w:r>
              <w:rPr>
                <w:sz w:val="19"/>
                <w:szCs w:val="19"/>
              </w:rPr>
              <w:t xml:space="preserve">timestamp_utc+station_id (PK), trust, components (JSON), reason_codes (JSON)</w:t>
            </w:r>
          </w:p>
        </w:tc>
      </w:tr>
    </w:tbl>
    <w:p>
      <w:pPr>
        <w:pStyle w:val="Heading2"/>
        <w:spacing w:after="150" w:before="300"/>
      </w:pPr>
      <w:r>
        <w:t xml:space="preserve">8.6 Metadata</w:t>
      </w:r>
    </w:p>
    <w:p>
      <w:pPr>
        <w:spacing w:after="160" w:line="276"/>
      </w:pPr>
      <w:r>
        <w:t xml:space="preserve">Every ingest batch carries a checksum and row count; every audit run carries a code_version, config_hash, and data_checksum, and stores its full summary as JSON so a run reconstructs without re-auditing; every defect, event, and coverage fact carries a JSON evidence blob; every trust score carries its component values and reason codes as non-nullable JSON columns.</w:t>
      </w:r>
    </w:p>
    <w:p>
      <w:pPr>
        <w:pStyle w:val="Heading2"/>
        <w:spacing w:after="150" w:before="300"/>
      </w:pPr>
      <w:r>
        <w:t xml:space="preserve">8.7 Data Validation</w:t>
      </w:r>
    </w:p>
    <w:p>
      <w:pPr>
        <w:spacing w:after="160" w:line="276"/>
      </w:pPr>
      <w:r>
        <w:t xml:space="preserve">Validation happens at two points: (1) schema observation — the observed columns, dtypes, unit strings, and identifiers are diffed against config/schema_assumptions.yaml and any drift halts ingestion rather than coercing; and (2) the detector audit itself, which is a systematic validation pass over the values, not merely the schema.</w:t>
      </w:r>
    </w:p>
    <w:p>
      <w:pPr>
        <w:pStyle w:val="Heading2"/>
        <w:spacing w:after="150" w:before="300"/>
      </w:pPr>
      <w:r>
        <w:t xml:space="preserve">8.8 Data Quality</w:t>
      </w:r>
    </w:p>
    <w:p>
      <w:pPr>
        <w:spacing w:after="160" w:line="276"/>
      </w:pPr>
      <w:r>
        <w:t xml:space="preserve">Data quality is the system's primary subject matter, not a side concern. The measured real-export findings, per the repository's own evidence, include: absent rows behind a high conventional-completeness figure (reason code R01, 48.97% of the headline defect count on the real export per CHANGELOG.md), frozen sensor series (R12, 12,194 flags across 13 stations), physically impossible PM2.5 &gt; PM10 relationships, CO2 unit mislabelling (documented as one network-wide fact, not thousands of independent ones), NO left-censoring at a detection limit (R11, 2,111 flags), and wildly uneven parameter coverage by station.</w:t>
      </w:r>
    </w:p>
    <w:p>
      <w:pPr>
        <w:pStyle w:val="Heading2"/>
        <w:spacing w:after="150" w:before="300"/>
      </w:pPr>
      <w:r>
        <w:t xml:space="preserve">8.9 Data Provenance</w:t>
      </w:r>
    </w:p>
    <w:p>
      <w:pPr>
        <w:spacing w:after="160" w:line="276"/>
      </w:pPr>
      <w:r>
        <w:t xml:space="preserve">Every persisted row traces to the batch or run that produced it: readings carry ingest_batch_id; defects, coverage facts, events, and trust scores carry audit_run_id; an audit run itself carries the code_version, config_hash, and data_checksum that produced it. This chain is what makes an audit run reproducible and a defect explainable back to its originating data drop and code version.</w:t>
      </w:r>
    </w:p>
    <w:p>
      <w:pPr>
        <w:pStyle w:val="Heading2"/>
        <w:spacing w:after="150" w:before="300"/>
      </w:pPr>
      <w:r>
        <w:t xml:space="preserve">8.10 Data Lineage</w:t>
      </w:r>
    </w:p>
    <w:p>
      <w:pPr>
        <w:spacing w:after="160" w:line="276"/>
      </w:pPr>
      <w:r>
        <w:t xml:space="preserve">Lineage follows the pipeline order documented in Section 4.3: a reading's lineage is source file -&gt; IngestBatch -&gt; canonical schema -&gt; grid cell -&gt; detector evaluation -&gt; AuditRun -&gt; (optionally) Trust Score / Event / MaintenanceItem -&gt; (optionally) SignoffToken -&gt; Dispatch. Section 10 presents this as the product's dedicated provenance lifecycle.</w:t>
      </w:r>
    </w:p>
    <w:p>
      <w:pPr>
        <w:pStyle w:val="Heading2"/>
        <w:spacing w:after="150" w:before="300"/>
      </w:pPr>
      <w:r>
        <w:t xml:space="preserve">8.11 Data Versioning</w:t>
      </w:r>
    </w:p>
    <w:p>
      <w:pPr>
        <w:spacing w:after="160" w:line="276"/>
      </w:pPr>
      <w:r>
        <w:t xml:space="preserve">Model artefacts are versioned (model_version is part of the Residual primary key and appears in TrustScore evidence and SignoffToken records). Documentation follows a strict 'never edit in place' discipline: methodology and blueprint documents are versioned (v1.0, v1.1, v1.2 ...) with explicit supersession notes, visible in the trust-score-methodology and audit-methodology document series. Raw data itself is immutable by policy (data/README.md: 'if a raw file is wrong, that is a finding, not something to fix by hand').</w:t>
      </w:r>
    </w:p>
    <w:p>
      <w:pPr>
        <w:pStyle w:val="Heading2"/>
        <w:spacing w:after="150" w:before="300"/>
      </w:pPr>
      <w:r>
        <w:t xml:space="preserve">8.12 Data Export</w:t>
      </w:r>
    </w:p>
    <w:p>
      <w:pPr>
        <w:spacing w:after="160" w:line="276"/>
      </w:pPr>
      <w:r>
        <w:t xml:space="preserve">The regulatory export (FR-021) is the system's formal data-export capability: CSV, JSON, and a self-contained PDF, each carrying model versions, sign-off records, and a reproducible verification hash. No other bulk-export capability (e.g., a generic dataset-download endpoint for arbitrary API consumers) was found in the reviewed routers.</w:t>
      </w:r>
    </w:p>
    <w:p>
      <w:pPr>
        <w:pStyle w:val="Heading2"/>
        <w:spacing w:after="150" w:before="300"/>
      </w:pPr>
      <w:r>
        <w:t xml:space="preserve">8.13 Data Integrity</w:t>
      </w:r>
    </w:p>
    <w:p>
      <w:pPr>
        <w:spacing w:after="160" w:line="276"/>
      </w:pPr>
      <w:r>
        <w:t xml:space="preserve">Integrity is enforced at the storage layer, not only in application logic: TrustScore.components and TrustScore.reason_codes are non-nullable JSON columns; Reading's primary key (timestamp_utc, row_hash) makes duplicate-content loads collide and de-duplicate while genuinely different readings at the same timestamp both persist; Dispatch has a unique constraint on (event_id, channel, signoff_id) enforcing dispatch idempotency at the database level, not merely in application code.</w:t>
      </w:r>
    </w:p>
    <w:p>
      <w:r>
        <w:br w:type="page"/>
      </w:r>
    </w:p>
    <w:p>
      <w:pPr>
        <w:pStyle w:val="Heading1"/>
        <w:spacing w:after="200" w:before="400"/>
      </w:pPr>
      <w:r>
        <w:t xml:space="preserve">9. AI and Machine Learning Requirements</w:t>
      </w:r>
    </w:p>
    <w:p>
      <w:pPr>
        <w:pStyle w:val="Heading2"/>
        <w:spacing w:after="150" w:before="300"/>
      </w:pPr>
      <w:r>
        <w:t xml:space="preserve">9.1 Models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200"/>
        <w:gridCol w:w="1660"/>
      </w:tblGrid>
      <w:tr>
        <w:trPr>
          <w:tblHeader/>
        </w:trPr>
        <w:tc>
          <w:tcPr>
            <w:tcW w:type="dxa" w:w="1900"/>
            <w:shd w:fill="1B6AB8" w:val="clear"/>
            <w:tcMar>
              <w:top w:type="dxa" w:w="80"/>
              <w:left w:type="dxa" w:w="100"/>
              <w:bottom w:type="dxa" w:w="80"/>
              <w:right w:type="dxa" w:w="100"/>
            </w:tcMar>
            <w:vAlign w:val="top"/>
          </w:tcPr>
          <w:p>
            <w:pPr>
              <w:spacing w:after="0"/>
            </w:pPr>
            <w:r>
              <w:rPr>
                <w:b/>
                <w:bCs/>
                <w:color w:val="FFFFFF"/>
                <w:sz w:val="19"/>
                <w:szCs w:val="19"/>
              </w:rPr>
              <w:t xml:space="preserve">Model</w:t>
            </w:r>
          </w:p>
        </w:tc>
        <w:tc>
          <w:tcPr>
            <w:tcW w:type="dxa" w:w="2600"/>
            <w:shd w:fill="1B6AB8" w:val="clear"/>
            <w:tcMar>
              <w:top w:type="dxa" w:w="80"/>
              <w:left w:type="dxa" w:w="100"/>
              <w:bottom w:type="dxa" w:w="80"/>
              <w:right w:type="dxa" w:w="100"/>
            </w:tcMar>
            <w:vAlign w:val="top"/>
          </w:tcPr>
          <w:p>
            <w:pPr>
              <w:spacing w:after="0"/>
            </w:pPr>
            <w:r>
              <w:rPr>
                <w:b/>
                <w:bCs/>
                <w:color w:val="FFFFFF"/>
                <w:sz w:val="19"/>
                <w:szCs w:val="19"/>
              </w:rPr>
              <w:t xml:space="preserve">Type</w:t>
            </w:r>
          </w:p>
        </w:tc>
        <w:tc>
          <w:tcPr>
            <w:tcW w:type="dxa" w:w="3200"/>
            <w:shd w:fill="1B6AB8" w:val="clear"/>
            <w:tcMar>
              <w:top w:type="dxa" w:w="80"/>
              <w:left w:type="dxa" w:w="100"/>
              <w:bottom w:type="dxa" w:w="80"/>
              <w:right w:type="dxa" w:w="100"/>
            </w:tcMar>
            <w:vAlign w:val="top"/>
          </w:tcPr>
          <w:p>
            <w:pPr>
              <w:spacing w:after="0"/>
            </w:pPr>
            <w:r>
              <w:rPr>
                <w:b/>
                <w:bCs/>
                <w:color w:val="FFFFFF"/>
                <w:sz w:val="19"/>
                <w:szCs w:val="19"/>
              </w:rPr>
              <w:t xml:space="preserve">What It Does</w:t>
            </w:r>
          </w:p>
        </w:tc>
        <w:tc>
          <w:tcPr>
            <w:tcW w:type="dxa" w:w="1660"/>
            <w:shd w:fill="1B6AB8" w:val="clear"/>
            <w:tcMar>
              <w:top w:type="dxa" w:w="80"/>
              <w:left w:type="dxa" w:w="100"/>
              <w:bottom w:type="dxa" w:w="80"/>
              <w:right w:type="dxa" w:w="100"/>
            </w:tcMar>
            <w:vAlign w:val="top"/>
          </w:tcPr>
          <w:p>
            <w:pPr>
              <w:spacing w:after="0"/>
            </w:pPr>
            <w:r>
              <w:rPr>
                <w:b/>
                <w:bCs/>
                <w:color w:val="FFFFFF"/>
                <w:sz w:val="19"/>
                <w:szCs w:val="19"/>
              </w:rPr>
              <w:t xml:space="preserve">Status</w:t>
            </w:r>
          </w:p>
        </w:tc>
      </w:tr>
      <w:tr>
        <w:tc>
          <w:tcPr>
            <w:tcW w:type="dxa" w:w="1900"/>
            <w:tcMar>
              <w:top w:type="dxa" w:w="80"/>
              <w:left w:type="dxa" w:w="100"/>
              <w:bottom w:type="dxa" w:w="80"/>
              <w:right w:type="dxa" w:w="100"/>
            </w:tcMar>
            <w:vAlign w:val="top"/>
          </w:tcPr>
          <w:p>
            <w:pPr>
              <w:spacing w:after="0"/>
            </w:pPr>
            <w:r>
              <w:rPr>
                <w:sz w:val="19"/>
                <w:szCs w:val="19"/>
              </w:rPr>
              <w:t xml:space="preserve">HST-GAT v1</w:t>
            </w:r>
          </w:p>
        </w:tc>
        <w:tc>
          <w:tcPr>
            <w:tcW w:type="dxa" w:w="2600"/>
            <w:tcMar>
              <w:top w:type="dxa" w:w="80"/>
              <w:left w:type="dxa" w:w="100"/>
              <w:bottom w:type="dxa" w:w="80"/>
              <w:right w:type="dxa" w:w="100"/>
            </w:tcMar>
            <w:vAlign w:val="top"/>
          </w:tcPr>
          <w:p>
            <w:pPr>
              <w:spacing w:after="0"/>
            </w:pPr>
            <w:r>
              <w:rPr>
                <w:sz w:val="19"/>
                <w:szCs w:val="19"/>
              </w:rPr>
              <w:t xml:space="preserve">Heterogeneous spatio-temporal graph-attention network (masked autoencoder, 3,299 parameters)</w:t>
            </w:r>
          </w:p>
        </w:tc>
        <w:tc>
          <w:tcPr>
            <w:tcW w:type="dxa" w:w="3200"/>
            <w:tcMar>
              <w:top w:type="dxa" w:w="80"/>
              <w:left w:type="dxa" w:w="100"/>
              <w:bottom w:type="dxa" w:w="80"/>
              <w:right w:type="dxa" w:w="100"/>
            </w:tcMar>
            <w:vAlign w:val="top"/>
          </w:tcPr>
          <w:p>
            <w:pPr>
              <w:spacing w:after="0"/>
            </w:pPr>
            <w:r>
              <w:rPr>
                <w:sz w:val="19"/>
                <w:szCs w:val="19"/>
              </w:rPr>
              <w:t xml:space="preserve">Predicts a mean and variance per (station, hour) for a target pollutant, conditioned on the wind-weighted graph; backs ImputationUncertainty and the --learned adjudication path.</w:t>
            </w:r>
          </w:p>
        </w:tc>
        <w:tc>
          <w:tcPr>
            <w:tcW w:type="dxa" w:w="1660"/>
            <w:tcMar>
              <w:top w:type="dxa" w:w="80"/>
              <w:left w:type="dxa" w:w="100"/>
              <w:bottom w:type="dxa" w:w="80"/>
              <w:right w:type="dxa" w:w="100"/>
            </w:tcMar>
            <w:vAlign w:val="top"/>
          </w:tcPr>
          <w:p>
            <w:pPr>
              <w:spacing w:after="0"/>
            </w:pPr>
            <w:r>
              <w:rPr>
                <w:sz w:val="19"/>
                <w:szCs w:val="19"/>
              </w:rPr>
              <w:t xml:space="preserve">Implemented</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Split conformal calibration</w:t>
            </w:r>
          </w:p>
        </w:tc>
        <w:tc>
          <w:tcPr>
            <w:tcW w:type="dxa" w:w="2600"/>
            <w:shd w:fill="F5F8FC" w:val="clear"/>
            <w:tcMar>
              <w:top w:type="dxa" w:w="80"/>
              <w:left w:type="dxa" w:w="100"/>
              <w:bottom w:type="dxa" w:w="80"/>
              <w:right w:type="dxa" w:w="100"/>
            </w:tcMar>
            <w:vAlign w:val="top"/>
          </w:tcPr>
          <w:p>
            <w:pPr>
              <w:spacing w:after="0"/>
            </w:pPr>
            <w:r>
              <w:rPr>
                <w:sz w:val="19"/>
                <w:szCs w:val="19"/>
              </w:rPr>
              <w:t xml:space="preserve">Statistical calibration over HST-GAT output</w:t>
            </w:r>
          </w:p>
        </w:tc>
        <w:tc>
          <w:tcPr>
            <w:tcW w:type="dxa" w:w="3200"/>
            <w:shd w:fill="F5F8FC" w:val="clear"/>
            <w:tcMar>
              <w:top w:type="dxa" w:w="80"/>
              <w:left w:type="dxa" w:w="100"/>
              <w:bottom w:type="dxa" w:w="80"/>
              <w:right w:type="dxa" w:w="100"/>
            </w:tcMar>
            <w:vAlign w:val="top"/>
          </w:tcPr>
          <w:p>
            <w:pPr>
              <w:spacing w:after="0"/>
            </w:pPr>
            <w:r>
              <w:rPr>
                <w:sz w:val="19"/>
                <w:szCs w:val="19"/>
              </w:rPr>
              <w:t xml:space="preserve">Converts a raw prediction into a coverage-guaranteed interval.</w:t>
            </w:r>
          </w:p>
        </w:tc>
        <w:tc>
          <w:tcPr>
            <w:tcW w:type="dxa" w:w="1660"/>
            <w:shd w:fill="F5F8FC" w:val="clear"/>
            <w:tcMar>
              <w:top w:type="dxa" w:w="80"/>
              <w:left w:type="dxa" w:w="100"/>
              <w:bottom w:type="dxa" w:w="80"/>
              <w:right w:type="dxa" w:w="100"/>
            </w:tcMar>
            <w:vAlign w:val="top"/>
          </w:tcPr>
          <w:p>
            <w:pPr>
              <w:spacing w:after="0"/>
            </w:pPr>
            <w:r>
              <w:rPr>
                <w:sz w:val="19"/>
                <w:szCs w:val="19"/>
              </w:rPr>
              <w:t xml:space="preserve">Implemented</w:t>
            </w:r>
          </w:p>
        </w:tc>
      </w:tr>
      <w:tr>
        <w:tc>
          <w:tcPr>
            <w:tcW w:type="dxa" w:w="1900"/>
            <w:tcMar>
              <w:top w:type="dxa" w:w="80"/>
              <w:left w:type="dxa" w:w="100"/>
              <w:bottom w:type="dxa" w:w="80"/>
              <w:right w:type="dxa" w:w="100"/>
            </w:tcMar>
            <w:vAlign w:val="top"/>
          </w:tcPr>
          <w:p>
            <w:pPr>
              <w:spacing w:after="0"/>
            </w:pPr>
            <w:r>
              <w:rPr>
                <w:sz w:val="19"/>
                <w:szCs w:val="19"/>
              </w:rPr>
              <w:t xml:space="preserve">Deweathering model</w:t>
            </w:r>
          </w:p>
        </w:tc>
        <w:tc>
          <w:tcPr>
            <w:tcW w:type="dxa" w:w="2600"/>
            <w:tcMar>
              <w:top w:type="dxa" w:w="80"/>
              <w:left w:type="dxa" w:w="100"/>
              <w:bottom w:type="dxa" w:w="80"/>
              <w:right w:type="dxa" w:w="100"/>
            </w:tcMar>
            <w:vAlign w:val="top"/>
          </w:tcPr>
          <w:p>
            <w:pPr>
              <w:spacing w:after="0"/>
            </w:pPr>
            <w:r>
              <w:rPr>
                <w:sz w:val="19"/>
                <w:szCs w:val="19"/>
              </w:rPr>
              <w:t xml:space="preserve">Regression over meteorological covariates</w:t>
            </w:r>
          </w:p>
        </w:tc>
        <w:tc>
          <w:tcPr>
            <w:tcW w:type="dxa" w:w="3200"/>
            <w:tcMar>
              <w:top w:type="dxa" w:w="80"/>
              <w:left w:type="dxa" w:w="100"/>
              <w:bottom w:type="dxa" w:w="80"/>
              <w:right w:type="dxa" w:w="100"/>
            </w:tcMar>
            <w:vAlign w:val="top"/>
          </w:tcPr>
          <w:p>
            <w:pPr>
              <w:spacing w:after="0"/>
            </w:pPr>
            <w:r>
              <w:rPr>
                <w:sz w:val="19"/>
                <w:szCs w:val="19"/>
              </w:rPr>
              <w:t xml:space="preserve">Predicts the meteorologically-expected pollutant value; the residual (actual - predicted) is the signal downstream anomaly work uses.</w:t>
            </w:r>
          </w:p>
        </w:tc>
        <w:tc>
          <w:tcPr>
            <w:tcW w:type="dxa" w:w="1660"/>
            <w:tcMar>
              <w:top w:type="dxa" w:w="80"/>
              <w:left w:type="dxa" w:w="100"/>
              <w:bottom w:type="dxa" w:w="80"/>
              <w:right w:type="dxa" w:w="100"/>
            </w:tcMar>
            <w:vAlign w:val="top"/>
          </w:tcPr>
          <w:p>
            <w:pPr>
              <w:spacing w:after="0"/>
            </w:pPr>
            <w:r>
              <w:rPr>
                <w:sz w:val="19"/>
                <w:szCs w:val="19"/>
              </w:rPr>
              <w:t xml:space="preserve">Implemented</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Fault classifier</w:t>
            </w:r>
          </w:p>
        </w:tc>
        <w:tc>
          <w:tcPr>
            <w:tcW w:type="dxa" w:w="2600"/>
            <w:shd w:fill="F5F8FC" w:val="clear"/>
            <w:tcMar>
              <w:top w:type="dxa" w:w="80"/>
              <w:left w:type="dxa" w:w="100"/>
              <w:bottom w:type="dxa" w:w="80"/>
              <w:right w:type="dxa" w:w="100"/>
            </w:tcMar>
            <w:vAlign w:val="top"/>
          </w:tcPr>
          <w:p>
            <w:pPr>
              <w:spacing w:after="0"/>
            </w:pPr>
            <w:r>
              <w:rPr>
                <w:sz w:val="19"/>
                <w:szCs w:val="19"/>
              </w:rPr>
              <w:t xml:space="preserve">Gradient-boosted trees (LightGBM) over engineered features</w:t>
            </w:r>
          </w:p>
        </w:tc>
        <w:tc>
          <w:tcPr>
            <w:tcW w:type="dxa" w:w="3200"/>
            <w:shd w:fill="F5F8FC" w:val="clear"/>
            <w:tcMar>
              <w:top w:type="dxa" w:w="80"/>
              <w:left w:type="dxa" w:w="100"/>
              <w:bottom w:type="dxa" w:w="80"/>
              <w:right w:type="dxa" w:w="100"/>
            </w:tcMar>
            <w:vAlign w:val="top"/>
          </w:tcPr>
          <w:p>
            <w:pPr>
              <w:spacing w:after="0"/>
            </w:pPr>
            <w:r>
              <w:rPr>
                <w:sz w:val="19"/>
                <w:szCs w:val="19"/>
              </w:rPr>
              <w:t xml:space="preserve">Classifies a flagged reading/event as probable sensor fault vs. probable real signal.</w:t>
            </w:r>
          </w:p>
        </w:tc>
        <w:tc>
          <w:tcPr>
            <w:tcW w:type="dxa" w:w="1660"/>
            <w:shd w:fill="F5F8FC" w:val="clear"/>
            <w:tcMar>
              <w:top w:type="dxa" w:w="80"/>
              <w:left w:type="dxa" w:w="100"/>
              <w:bottom w:type="dxa" w:w="80"/>
              <w:right w:type="dxa" w:w="100"/>
            </w:tcMar>
            <w:vAlign w:val="top"/>
          </w:tcPr>
          <w:p>
            <w:pPr>
              <w:spacing w:after="0"/>
            </w:pPr>
            <w:r>
              <w:rPr>
                <w:sz w:val="19"/>
                <w:szCs w:val="19"/>
              </w:rPr>
              <w:t xml:space="preserve">Implemented</w:t>
            </w:r>
          </w:p>
        </w:tc>
      </w:tr>
      <w:tr>
        <w:tc>
          <w:tcPr>
            <w:tcW w:type="dxa" w:w="1900"/>
            <w:tcMar>
              <w:top w:type="dxa" w:w="80"/>
              <w:left w:type="dxa" w:w="100"/>
              <w:bottom w:type="dxa" w:w="80"/>
              <w:right w:type="dxa" w:w="100"/>
            </w:tcMar>
            <w:vAlign w:val="top"/>
          </w:tcPr>
          <w:p>
            <w:pPr>
              <w:spacing w:after="0"/>
            </w:pPr>
            <w:r>
              <w:rPr>
                <w:sz w:val="19"/>
                <w:szCs w:val="19"/>
              </w:rPr>
              <w:t xml:space="preserve">SHAP explainer</w:t>
            </w:r>
          </w:p>
        </w:tc>
        <w:tc>
          <w:tcPr>
            <w:tcW w:type="dxa" w:w="2600"/>
            <w:tcMar>
              <w:top w:type="dxa" w:w="80"/>
              <w:left w:type="dxa" w:w="100"/>
              <w:bottom w:type="dxa" w:w="80"/>
              <w:right w:type="dxa" w:w="100"/>
            </w:tcMar>
            <w:vAlign w:val="top"/>
          </w:tcPr>
          <w:p>
            <w:pPr>
              <w:spacing w:after="0"/>
            </w:pPr>
            <w:r>
              <w:rPr>
                <w:sz w:val="19"/>
                <w:szCs w:val="19"/>
              </w:rPr>
              <w:t xml:space="preserve">Model-agnostic feature attribution (shap library)</w:t>
            </w:r>
          </w:p>
        </w:tc>
        <w:tc>
          <w:tcPr>
            <w:tcW w:type="dxa" w:w="3200"/>
            <w:tcMar>
              <w:top w:type="dxa" w:w="80"/>
              <w:left w:type="dxa" w:w="100"/>
              <w:bottom w:type="dxa" w:w="80"/>
              <w:right w:type="dxa" w:w="100"/>
            </w:tcMar>
            <w:vAlign w:val="top"/>
          </w:tcPr>
          <w:p>
            <w:pPr>
              <w:spacing w:after="0"/>
            </w:pPr>
            <w:r>
              <w:rPr>
                <w:sz w:val="19"/>
                <w:szCs w:val="19"/>
              </w:rPr>
              <w:t xml:space="preserve">Attributes a model-derived finding to its contributing features.</w:t>
            </w:r>
          </w:p>
        </w:tc>
        <w:tc>
          <w:tcPr>
            <w:tcW w:type="dxa" w:w="1660"/>
            <w:tcMar>
              <w:top w:type="dxa" w:w="80"/>
              <w:left w:type="dxa" w:w="100"/>
              <w:bottom w:type="dxa" w:w="80"/>
              <w:right w:type="dxa" w:w="100"/>
            </w:tcMar>
            <w:vAlign w:val="top"/>
          </w:tcPr>
          <w:p>
            <w:pPr>
              <w:spacing w:after="0"/>
            </w:pPr>
            <w:r>
              <w:rPr>
                <w:sz w:val="19"/>
                <w:szCs w:val="19"/>
              </w:rPr>
              <w:t xml:space="preserve">Implemented</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Propagation adjudicator (analytic)</w:t>
            </w:r>
          </w:p>
        </w:tc>
        <w:tc>
          <w:tcPr>
            <w:tcW w:type="dxa" w:w="2600"/>
            <w:shd w:fill="F5F8FC" w:val="clear"/>
            <w:tcMar>
              <w:top w:type="dxa" w:w="80"/>
              <w:left w:type="dxa" w:w="100"/>
              <w:bottom w:type="dxa" w:w="80"/>
              <w:right w:type="dxa" w:w="100"/>
            </w:tcMar>
            <w:vAlign w:val="top"/>
          </w:tcPr>
          <w:p>
            <w:pPr>
              <w:spacing w:after="0"/>
            </w:pPr>
            <w:r>
              <w:rPr>
                <w:sz w:val="19"/>
                <w:szCs w:val="19"/>
              </w:rPr>
              <w:t xml:space="preserve">Physically-grounded wind-expectation model, not a trained model</w:t>
            </w:r>
          </w:p>
        </w:tc>
        <w:tc>
          <w:tcPr>
            <w:tcW w:type="dxa" w:w="3200"/>
            <w:shd w:fill="F5F8FC" w:val="clear"/>
            <w:tcMar>
              <w:top w:type="dxa" w:w="80"/>
              <w:left w:type="dxa" w:w="100"/>
              <w:bottom w:type="dxa" w:w="80"/>
              <w:right w:type="dxa" w:w="100"/>
            </w:tcMar>
            <w:vAlign w:val="top"/>
          </w:tcPr>
          <w:p>
            <w:pPr>
              <w:spacing w:after="0"/>
            </w:pPr>
            <w:r>
              <w:rPr>
                <w:sz w:val="19"/>
                <w:szCs w:val="19"/>
              </w:rPr>
              <w:t xml:space="preserve">The B3 analytic baseline the HST-GAT path can replace behind a feature flag.</w:t>
            </w:r>
          </w:p>
        </w:tc>
        <w:tc>
          <w:tcPr>
            <w:tcW w:type="dxa" w:w="1660"/>
            <w:shd w:fill="F5F8FC" w:val="clear"/>
            <w:tcMar>
              <w:top w:type="dxa" w:w="80"/>
              <w:left w:type="dxa" w:w="100"/>
              <w:bottom w:type="dxa" w:w="80"/>
              <w:right w:type="dxa" w:w="100"/>
            </w:tcMar>
            <w:vAlign w:val="top"/>
          </w:tcPr>
          <w:p>
            <w:pPr>
              <w:spacing w:after="0"/>
            </w:pPr>
            <w:r>
              <w:rPr>
                <w:sz w:val="19"/>
                <w:szCs w:val="19"/>
              </w:rPr>
              <w:t xml:space="preserve">Implemented</w:t>
            </w:r>
          </w:p>
        </w:tc>
      </w:tr>
    </w:tbl>
    <w:p>
      <w:pPr>
        <w:pStyle w:val="Heading2"/>
        <w:spacing w:after="150" w:before="300"/>
      </w:pPr>
      <w:r>
        <w:t xml:space="preserve">9.2 AI Inputs and Outputs</w:t>
      </w:r>
    </w:p>
    <w:p>
      <w:pPr>
        <w:spacing w:after="160" w:line="276"/>
      </w:pPr>
      <w:r>
        <w:t xml:space="preserve">HST-GAT inputs: the wind-conditioned station graph (spatial, wind, weather, road, and transit edge types), per-station historical readings, and a masking schedule during training. Output: a per-(station, hour) mean and variance, and — via split conformal calibration — a coverage-guaranteed interval. Deweathering inputs: pollutant readings and weather covariates; output: a predicted value and residual. Fault classifier inputs: engineered features derived from defects/events; output: a class probability with SHAP attribution.</w:t>
      </w:r>
    </w:p>
    <w:p>
      <w:pPr>
        <w:pStyle w:val="Heading2"/>
        <w:spacing w:after="150" w:before="300"/>
      </w:pPr>
      <w:r>
        <w:t xml:space="preserve">9.3 Processing Flow</w:t>
      </w:r>
    </w:p>
    <w:p>
      <w:pPr>
        <w:spacing w:after="160" w:line="276"/>
      </w:pPr>
      <w:r>
        <w:t xml:space="preserve">Training is triggered explicitly via CLI (`prov models train`, `train-hstgat`, `train-imputation`) or automatically by `make demo-real`, which performs a cheap existence check for any missing cached model artefact (both HST-GAT and the imputation model) and trains it before the demo runs — superseding an earlier design (Phase-14 update) that kept HST-GAT training out of the demo path. At inference time, the trust engine and graph adjudicator call into the trust.imputation and graph.adjudicate bridges respectively, which load the cached artefact and run inference synchronously within the request/CLI-command lifecycle.</w:t>
      </w:r>
    </w:p>
    <w:p>
      <w:pPr>
        <w:pStyle w:val="Heading2"/>
        <w:spacing w:after="150" w:before="300"/>
      </w:pPr>
      <w:r>
        <w:t xml:space="preserve">9.4 Model Configuration</w:t>
      </w:r>
    </w:p>
    <w:p>
      <w:pPr>
        <w:spacing w:after="160" w:line="276"/>
      </w:pPr>
      <w:r>
        <w:t xml:space="preserve">Model behaviour is governed by two configuration files: config/models.yaml (per-model architecture and status, e.g. hstgat and conformal blocks marked status: provisional) and config/graph.yaml (edge-type and wind-weighting parameters). Both are hashed into the reproducibility chain: an AuditRun's config_hash reflects the YAML that produced it, not the Python source, so a documentation-only change never moves a computed number.</w:t>
      </w:r>
    </w:p>
    <w:p>
      <w:pPr>
        <w:pStyle w:val="Heading2"/>
        <w:spacing w:after="150" w:before="300"/>
      </w:pPr>
      <w:r>
        <w:t xml:space="preserve">9.5 Confidence Information</w:t>
      </w:r>
    </w:p>
    <w:p>
      <w:pPr>
        <w:spacing w:after="160" w:line="276"/>
      </w:pPr>
      <w:r>
        <w:t xml:space="preserve">Every model-derived output that feeds a decision carries a confidence signal: HST-GAT predictions carry a predicted variance and, after conformal calibration, a coverage-guaranteed interval; the fault classifier carries a class probability; the adjudicator's AMBIGUOUS verdict is itself an explicit statement of insufficient confidence rather than a forced binary call.</w:t>
      </w:r>
    </w:p>
    <w:p>
      <w:pPr>
        <w:pStyle w:val="Heading2"/>
        <w:spacing w:after="150" w:before="300"/>
      </w:pPr>
      <w:r>
        <w:t xml:space="preserve">9.6 Explainability</w:t>
      </w:r>
    </w:p>
    <w:p>
      <w:pPr>
        <w:spacing w:after="160" w:line="276"/>
      </w:pPr>
      <w:r>
        <w:t xml:space="preserve">Explainability is a first-class, tested requirement (FR-018), not an afterthought: SHAP attribution for classifier-derived findings, attention weights for graph/HST-GAT-derived findings (exported per the model card, not yet rendered on the map — see Section 32), and reason codes for every finding regardless of whether a model produced it. The stated engineering principle, quoted directly from the README, is that the system 'explains every call: reason codes, SHAP attributions, attention-weighted neighbours, and a calibrated confidence interval. Never a bare number.'</w:t>
      </w:r>
    </w:p>
    <w:p>
      <w:pPr>
        <w:pStyle w:val="Heading2"/>
        <w:spacing w:after="150" w:before="300"/>
      </w:pPr>
      <w:r>
        <w:t xml:space="preserve">9.7 Validation</w:t>
      </w:r>
    </w:p>
    <w:p>
      <w:pPr>
        <w:spacing w:after="160" w:line="276"/>
      </w:pPr>
      <w:r>
        <w:t xml:space="preserve">Model-specific invariants are pinned by tests rather than only checked ad hoc: the HST-GAT wind bias recovers a plain heterogeneous GAT exactly when beta=0, and attention to a wind-aligned neighbour increases monotonically as beta increases (both asserted in tests). Training uses forward-chaining (time-blocked) cross-validation to avoid look-ahead leakage, and is documented to be fully seeded and byte-identical on CPU.</w:t>
      </w:r>
    </w:p>
    <w:p>
      <w:pPr>
        <w:pStyle w:val="Heading2"/>
        <w:spacing w:after="150" w:before="300"/>
      </w:pPr>
      <w:r>
        <w:t xml:space="preserve">9.8 Human Review</w:t>
      </w:r>
    </w:p>
    <w:p>
      <w:pPr>
        <w:spacing w:after="160" w:line="276"/>
      </w:pPr>
      <w:r>
        <w:t xml:space="preserve">No model output in Provenance is permitted to trigger a public-facing action on its own. The AMBIGUOUS adjudication verdict explicitly routes to human review, and the sign-off gate (FR-024) is a structural, tested guarantee — not a policy statement — that a human operator must review evidence and record an authorisation before any public dispatch, regardless of how confident any model's output is.</w:t>
      </w:r>
    </w:p>
    <w:p>
      <w:pPr>
        <w:pStyle w:val="Heading2"/>
        <w:spacing w:after="150" w:before="300"/>
      </w:pPr>
      <w:r>
        <w:t xml:space="preserve">9.9 Error Handling and Degradation</w:t>
      </w:r>
    </w:p>
    <w:p>
      <w:pPr>
        <w:spacing w:after="160" w:line="276"/>
      </w:pPr>
      <w:r>
        <w:t xml:space="preserve">Missing model artefacts degrade gracefully rather than blocking the pipeline: a parameter without a trained imputation model falls back to the raw absence-fraction placeholder for that parameter only; a station/event with no cached HST-GAT model uses the analytic adjudicator; the admin drift dashboard shows 'no history yet' for a model-metric panel rather than fabricating a series when no training run has occurred.</w:t>
      </w:r>
    </w:p>
    <w:p>
      <w:pPr>
        <w:pStyle w:val="Heading2"/>
        <w:spacing w:after="150" w:before="300"/>
      </w:pPr>
      <w:r>
        <w:t xml:space="preserve">9.10 Limitations (as documented in the repository itself)</w:t>
      </w:r>
    </w:p>
    <w:p>
      <w:pPr>
        <w:pStyle w:val="ListParagraph"/>
        <w:numPr>
          <w:ilvl w:val="0"/>
          <w:numId w:val="1"/>
        </w:numPr>
        <w:spacing w:after="80" w:line="264"/>
      </w:pPr>
      <w:r>
        <w:t xml:space="preserve">The Trust Score weights are expert-elicited and governance-endorsed, not fitted to labelled outcomes; a logistic refit is a stated v2 plan pending labelled events.</w:t>
      </w:r>
    </w:p>
    <w:p>
      <w:pPr>
        <w:pStyle w:val="ListParagraph"/>
        <w:numPr>
          <w:ilvl w:val="0"/>
          <w:numId w:val="1"/>
        </w:numPr>
        <w:spacing w:after="80" w:line="264"/>
      </w:pPr>
      <w:r>
        <w:t xml:space="preserve">The hand-written HST-GAT model card reports representative metrics from a controlled synthetic corpus; the metrics of a specific deployed run live in a separate, per-training, gitignored auto-generated card.</w:t>
      </w:r>
    </w:p>
    <w:p>
      <w:pPr>
        <w:pStyle w:val="ListParagraph"/>
        <w:numPr>
          <w:ilvl w:val="0"/>
          <w:numId w:val="1"/>
        </w:numPr>
        <w:spacing w:after="80" w:line="264"/>
      </w:pPr>
      <w:r>
        <w:t xml:space="preserve">PopulationExposure normalisation is relative (min-max across the current network), so it is not comparable across two different networks without renormalising.</w:t>
      </w:r>
    </w:p>
    <w:p>
      <w:pPr>
        <w:pStyle w:val="ListParagraph"/>
        <w:numPr>
          <w:ilvl w:val="0"/>
          <w:numId w:val="1"/>
        </w:numPr>
        <w:spacing w:after="80" w:line="264"/>
      </w:pPr>
      <w:r>
        <w:t xml:space="preserve">Model-metric drift panels (R2, coverage, confusion) are single-point until a model has actually been trained at least once in the current environment.</w:t>
      </w:r>
    </w:p>
    <w:p>
      <w:r>
        <w:br w:type="page"/>
      </w:r>
    </w:p>
    <w:p>
      <w:pPr>
        <w:pStyle w:val="Heading1"/>
        <w:spacing w:after="200" w:before="400"/>
      </w:pPr>
      <w:r>
        <w:t xml:space="preserve">10. Provenance and Trust Requirements</w:t>
      </w:r>
    </w:p>
    <w:p>
      <w:pPr>
        <w:spacing w:after="160" w:line="276"/>
      </w:pPr>
      <w:r>
        <w:t xml:space="preserve">Provenance in the data-lineage sense — where a number came from, what happened to it, and why it should or should not be believed — is this product's namesake and central mechanism, not a peripheral feature. This section documents the trust model as implemented.</w:t>
      </w:r>
    </w:p>
    <w:p>
      <w:pPr>
        <w:pStyle w:val="Heading2"/>
        <w:spacing w:after="150" w:before="300"/>
      </w:pPr>
      <w:r>
        <w:t xml:space="preserve">10.1 Conceptual Lifecycle</w:t>
      </w:r>
    </w:p>
    <w:p>
      <w:pPr>
        <w:spacing w:after="60" w:before="120"/>
        <w:jc w:val="center"/>
      </w:pPr>
      <w:r>
        <w:drawing>
          <wp:inline distT="0" distB="0" distL="0" distR="0">
            <wp:extent cx="5905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66750"/>
                    </a:xfrm>
                    <a:prstGeom prst="rect">
                      <a:avLst/>
                    </a:prstGeom>
                  </pic:spPr>
                </pic:pic>
              </a:graphicData>
            </a:graphic>
          </wp:inline>
        </w:drawing>
      </w:r>
    </w:p>
    <w:p>
      <w:pPr>
        <w:spacing w:after="240" w:before="80"/>
        <w:jc w:val="center"/>
      </w:pPr>
      <w:r>
        <w:rPr>
          <w:i/>
          <w:iCs/>
          <w:color w:val="4A5568"/>
          <w:sz w:val="18"/>
          <w:szCs w:val="18"/>
        </w:rPr>
        <w:t xml:space="preserve">Figure 5. Provenance Lifecycle — Source through Audit, as implemented by the ingestion, detector, and scoring pipeline.</w:t>
      </w:r>
    </w:p>
    <w:p>
      <w:pPr>
        <w:pStyle w:val="Heading2"/>
        <w:spacing w:after="150" w:before="300"/>
      </w:pPr>
      <w:r>
        <w:t xml:space="preserve">10.2 Data Origin and Source Identification</w:t>
      </w:r>
    </w:p>
    <w:p>
      <w:pPr>
        <w:spacing w:after="160" w:line="276"/>
      </w:pPr>
      <w:r>
        <w:t xml:space="preserve">Every reading is traceable to a source_file and an ingest_batch_id; every IngestBatch carries the source, path, and checksum of the file it came from. This is Implemented and enforced at the schema level (both columns are non-nullable on Reading).</w:t>
      </w:r>
    </w:p>
    <w:p>
      <w:pPr>
        <w:pStyle w:val="Heading2"/>
        <w:spacing w:after="150" w:before="300"/>
      </w:pPr>
      <w:r>
        <w:t xml:space="preserve">10.3 Data Lineage and Transformation History</w:t>
      </w:r>
    </w:p>
    <w:p>
      <w:pPr>
        <w:spacing w:after="160" w:line="276"/>
      </w:pPr>
      <w:r>
        <w:t xml:space="preserve">Every derived artefact (defect, coverage fact, event, trust score, maintenance item, residual) carries the id of the audit run that produced it, and an AuditRun itself carries the code_version, config_hash, and data_checksum that produced its numbers. This is the mechanism that makes a headline number, such as the 29.1225% defect rate, traceable back to an exact code path and exact input data rather than being a black-box figure.</w:t>
      </w:r>
    </w:p>
    <w:p>
      <w:pPr>
        <w:pStyle w:val="Heading2"/>
        <w:spacing w:after="150" w:before="300"/>
      </w:pPr>
      <w:r>
        <w:t xml:space="preserve">10.4 Validation History</w:t>
      </w:r>
    </w:p>
    <w:p>
      <w:pPr>
        <w:spacing w:after="160" w:line="276"/>
      </w:pPr>
      <w:r>
        <w:t xml:space="preserve">Validation history is captured at two levels: schema-observation manifests (one per raw drop, keyed by checksum) and the detector audit itself, whose full result is serialised into AuditRun.summary so a run can be reconstructed without re-auditing.</w:t>
      </w:r>
    </w:p>
    <w:p>
      <w:pPr>
        <w:pStyle w:val="Heading2"/>
        <w:spacing w:after="150" w:before="300"/>
      </w:pPr>
      <w:r>
        <w:t xml:space="preserve">10.5 Dataset Versions and Processing History</w:t>
      </w:r>
    </w:p>
    <w:p>
      <w:pPr>
        <w:spacing w:after="160" w:line="276"/>
      </w:pPr>
      <w:r>
        <w:t xml:space="preserve">Model artefacts are versioned (model_version); documentation (methodology specs, ADRs, demo scripts) follows an explicit, non-destructive versioning discipline — a new version is a new file stating what it supersedes, never an in-place edit. This documentation practice mirrors, and was clearly designed to mirror, the data-provenance guarantee the product makes about the data itself.</w:t>
      </w:r>
    </w:p>
    <w:p>
      <w:pPr>
        <w:pStyle w:val="Heading2"/>
        <w:spacing w:after="150" w:before="300"/>
      </w:pPr>
      <w:r>
        <w:t xml:space="preserve">10.6 Auditability and Reproducibility</w:t>
      </w:r>
    </w:p>
    <w:p>
      <w:pPr>
        <w:spacing w:after="160" w:line="276"/>
      </w:pPr>
      <w:r>
        <w:t xml:space="preserve">An audit run is reproducible by construction: given the same data_checksum and config_hash, the same code_version should produce the same defect_rate and the same defect set. The regulatory export's verification hash is explicitly tested to be reproducible and stable across unrelated activity (e.g., new sign-offs) on the same run.</w:t>
      </w:r>
    </w:p>
    <w:p>
      <w:pPr>
        <w:pStyle w:val="Heading2"/>
        <w:spacing w:after="150" w:before="300"/>
      </w:pPr>
      <w:r>
        <w:t xml:space="preserve">10.7 Trust Indicators and Reliability Indicators</w:t>
      </w:r>
    </w:p>
    <w:p>
      <w:pPr>
        <w:spacing w:after="160" w:line="276"/>
      </w:pPr>
      <w:r>
        <w:t xml:space="preserve">The Trust Score itself is the system's primary reliability indicator, and it is architected so it can never be presented without its supporting indicators: the four component values (HealthConf, ImputationUncertainty inverse, CrossSensorConsistency, PhysicalPlausibility), at least one reason code, and — where a component is degraded — an explicit degraded flag and note. This is enforced at the database schema level (non-nullable components/reason_codes columns), not only by API-layer discipline.</w:t>
      </w:r>
    </w:p>
    <w:p>
      <w:pPr>
        <w:pStyle w:val="Heading2"/>
        <w:spacing w:after="150" w:before="300"/>
      </w:pPr>
      <w:r>
        <w:t xml:space="preserve">10.8 Distinguishing Implemented Trust Capability from Future Direction</w:t>
      </w:r>
    </w:p>
    <w:p>
      <w:pPr>
        <w:pStyle w:val="ListParagraph"/>
        <w:numPr>
          <w:ilvl w:val="0"/>
          <w:numId w:val="1"/>
        </w:numPr>
        <w:spacing w:after="80" w:line="264"/>
      </w:pPr>
      <w:r>
        <w:t xml:space="preserve">Implemented: the four-component weighted Trust Score, computed and persisted with full explanation; the ImputationUncertainty component modelled by a trained graph-conditioned model (with graceful fallback); a governance-endorsed (not statistically fitted) weight configuration.</w:t>
      </w:r>
    </w:p>
    <w:p>
      <w:pPr>
        <w:pStyle w:val="ListParagraph"/>
        <w:numPr>
          <w:ilvl w:val="0"/>
          <w:numId w:val="1"/>
        </w:numPr>
        <w:spacing w:after="80" w:line="264"/>
      </w:pPr>
      <w:r>
        <w:t xml:space="preserve">Partially Implemented / provisional by the repository's own labelling: station zone_type classification (curated from names/coordinates, explicitly marked status: provisional pending municipal/expert confirmation) and PopulationExposure (a documented, relative proxy, not a calibrated absolute measure).</w:t>
      </w:r>
    </w:p>
    <w:p>
      <w:pPr>
        <w:pStyle w:val="ListParagraph"/>
        <w:numPr>
          <w:ilvl w:val="0"/>
          <w:numId w:val="1"/>
        </w:numPr>
        <w:spacing w:after="80" w:line="264"/>
      </w:pPr>
      <w:r>
        <w:t xml:space="preserve">Proposed / Future: a logistic refit of the trust weights against labelled real events (the v2 plan referenced in the methodology documents, awaiting labelled data that does not yet exist).</w:t>
      </w:r>
    </w:p>
    <w:p>
      <w:r>
        <w:br w:type="page"/>
      </w:r>
    </w:p>
    <w:p>
      <w:pPr>
        <w:pStyle w:val="Heading1"/>
        <w:spacing w:after="200" w:before="400"/>
      </w:pPr>
      <w:r>
        <w:t xml:space="preserve">11. API Requirements</w:t>
      </w:r>
    </w:p>
    <w:p>
      <w:pPr>
        <w:spacing w:after="160" w:line="276"/>
      </w:pPr>
      <w:r>
        <w:t xml:space="preserve">Provenance exposes a single versioned REST API (prefix /v1, plus unauthenticated meta probes) documented via FastAPI's generated OpenAPI schema (consumed by the frontend's openapi-typescript client generation, per apps/web/package.json's gen:types script). All endpoints below were identified directly from the router source files. Authentication is a per-request X-API-Key header resolved to one of four roles (Section 6); unauthenticated requests to a gated endpoint receive an RFC 7807 problem response (401 for a missing/invalid key, 403 for an insufficient role).</w:t>
      </w:r>
    </w:p>
    <w:p>
      <w:pPr>
        <w:pStyle w:val="Heading2"/>
        <w:spacing w:after="150" w:before="300"/>
      </w:pPr>
      <w:r>
        <w:t xml:space="preserve">11.1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B6AB8" w:val="clear"/>
            <w:tcMar>
              <w:top w:type="dxa" w:w="80"/>
              <w:left w:type="dxa" w:w="100"/>
              <w:bottom w:type="dxa" w:w="80"/>
              <w:right w:type="dxa" w:w="100"/>
            </w:tcMar>
            <w:vAlign w:val="top"/>
          </w:tcPr>
          <w:p>
            <w:pPr>
              <w:spacing w:after="0"/>
            </w:pPr>
            <w:r>
              <w:rPr>
                <w:b/>
                <w:bCs/>
                <w:color w:val="FFFFFF"/>
                <w:sz w:val="19"/>
                <w:szCs w:val="19"/>
              </w:rPr>
              <w:t xml:space="preserve">Endpoint</w:t>
            </w:r>
          </w:p>
        </w:tc>
        <w:tc>
          <w:tcPr>
            <w:tcW w:type="dxa" w:w="1400"/>
            <w:shd w:fill="1B6AB8" w:val="clear"/>
            <w:tcMar>
              <w:top w:type="dxa" w:w="80"/>
              <w:left w:type="dxa" w:w="100"/>
              <w:bottom w:type="dxa" w:w="80"/>
              <w:right w:type="dxa" w:w="100"/>
            </w:tcMar>
            <w:vAlign w:val="top"/>
          </w:tcPr>
          <w:p>
            <w:pPr>
              <w:spacing w:after="0"/>
            </w:pPr>
            <w:r>
              <w:rPr>
                <w:b/>
                <w:bCs/>
                <w:color w:val="FFFFFF"/>
                <w:sz w:val="19"/>
                <w:szCs w:val="19"/>
              </w:rPr>
              <w:t xml:space="preserve">Minimum Role</w:t>
            </w:r>
          </w:p>
        </w:tc>
        <w:tc>
          <w:tcPr>
            <w:tcW w:type="dxa" w:w="476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r>
      <w:tr>
        <w:tc>
          <w:tcPr>
            <w:tcW w:type="dxa" w:w="3200"/>
            <w:tcMar>
              <w:top w:type="dxa" w:w="80"/>
              <w:left w:type="dxa" w:w="100"/>
              <w:bottom w:type="dxa" w:w="80"/>
              <w:right w:type="dxa" w:w="100"/>
            </w:tcMar>
            <w:vAlign w:val="top"/>
          </w:tcPr>
          <w:p>
            <w:pPr>
              <w:spacing w:after="0"/>
            </w:pPr>
            <w:r>
              <w:rPr>
                <w:sz w:val="19"/>
                <w:szCs w:val="19"/>
              </w:rPr>
              <w:t xml:space="preserve">GET /healthz</w:t>
            </w:r>
          </w:p>
        </w:tc>
        <w:tc>
          <w:tcPr>
            <w:tcW w:type="dxa" w:w="1400"/>
            <w:tcMar>
              <w:top w:type="dxa" w:w="80"/>
              <w:left w:type="dxa" w:w="100"/>
              <w:bottom w:type="dxa" w:w="80"/>
              <w:right w:type="dxa" w:w="100"/>
            </w:tcMar>
            <w:vAlign w:val="top"/>
          </w:tcPr>
          <w:p>
            <w:pPr>
              <w:spacing w:after="0"/>
            </w:pPr>
            <w:r>
              <w:rPr>
                <w:sz w:val="19"/>
                <w:szCs w:val="19"/>
              </w:rPr>
              <w:t xml:space="preserve">None</w:t>
            </w:r>
          </w:p>
        </w:tc>
        <w:tc>
          <w:tcPr>
            <w:tcW w:type="dxa" w:w="4760"/>
            <w:tcMar>
              <w:top w:type="dxa" w:w="80"/>
              <w:left w:type="dxa" w:w="100"/>
              <w:bottom w:type="dxa" w:w="80"/>
              <w:right w:type="dxa" w:w="100"/>
            </w:tcMar>
            <w:vAlign w:val="top"/>
          </w:tcPr>
          <w:p>
            <w:pPr>
              <w:spacing w:after="0"/>
            </w:pPr>
            <w:r>
              <w:rPr>
                <w:sz w:val="19"/>
                <w:szCs w:val="19"/>
              </w:rPr>
              <w:t xml:space="preserve">Liveness probe.</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/readyz</w:t>
            </w:r>
          </w:p>
        </w:tc>
        <w:tc>
          <w:tcPr>
            <w:tcW w:type="dxa" w:w="1400"/>
            <w:shd w:fill="F5F8FC" w:val="clear"/>
            <w:tcMar>
              <w:top w:type="dxa" w:w="80"/>
              <w:left w:type="dxa" w:w="100"/>
              <w:bottom w:type="dxa" w:w="80"/>
              <w:right w:type="dxa" w:w="100"/>
            </w:tcMar>
            <w:vAlign w:val="top"/>
          </w:tcPr>
          <w:p>
            <w:pPr>
              <w:spacing w:after="0"/>
            </w:pPr>
            <w:r>
              <w:rPr>
                <w:sz w:val="19"/>
                <w:szCs w:val="19"/>
              </w:rPr>
              <w:t xml:space="preserve">None</w:t>
            </w:r>
          </w:p>
        </w:tc>
        <w:tc>
          <w:tcPr>
            <w:tcW w:type="dxa" w:w="4760"/>
            <w:shd w:fill="F5F8FC" w:val="clear"/>
            <w:tcMar>
              <w:top w:type="dxa" w:w="80"/>
              <w:left w:type="dxa" w:w="100"/>
              <w:bottom w:type="dxa" w:w="80"/>
              <w:right w:type="dxa" w:w="100"/>
            </w:tcMar>
            <w:vAlign w:val="top"/>
          </w:tcPr>
          <w:p>
            <w:pPr>
              <w:spacing w:after="0"/>
            </w:pPr>
            <w:r>
              <w:rPr>
                <w:sz w:val="19"/>
                <w:szCs w:val="19"/>
              </w:rPr>
              <w:t xml:space="preserve">Readiness probe (DB reachability).</w:t>
            </w:r>
          </w:p>
        </w:tc>
      </w:tr>
      <w:tr>
        <w:tc>
          <w:tcPr>
            <w:tcW w:type="dxa" w:w="3200"/>
            <w:tcMar>
              <w:top w:type="dxa" w:w="80"/>
              <w:left w:type="dxa" w:w="100"/>
              <w:bottom w:type="dxa" w:w="80"/>
              <w:right w:type="dxa" w:w="100"/>
            </w:tcMar>
            <w:vAlign w:val="top"/>
          </w:tcPr>
          <w:p>
            <w:pPr>
              <w:spacing w:after="0"/>
            </w:pPr>
            <w:r>
              <w:rPr>
                <w:sz w:val="19"/>
                <w:szCs w:val="19"/>
              </w:rPr>
              <w:t xml:space="preserve">GET /version</w:t>
            </w:r>
          </w:p>
        </w:tc>
        <w:tc>
          <w:tcPr>
            <w:tcW w:type="dxa" w:w="1400"/>
            <w:tcMar>
              <w:top w:type="dxa" w:w="80"/>
              <w:left w:type="dxa" w:w="100"/>
              <w:bottom w:type="dxa" w:w="80"/>
              <w:right w:type="dxa" w:w="100"/>
            </w:tcMar>
            <w:vAlign w:val="top"/>
          </w:tcPr>
          <w:p>
            <w:pPr>
              <w:spacing w:after="0"/>
            </w:pPr>
            <w:r>
              <w:rPr>
                <w:sz w:val="19"/>
                <w:szCs w:val="19"/>
              </w:rPr>
              <w:t xml:space="preserve">None</w:t>
            </w:r>
          </w:p>
        </w:tc>
        <w:tc>
          <w:tcPr>
            <w:tcW w:type="dxa" w:w="4760"/>
            <w:tcMar>
              <w:top w:type="dxa" w:w="80"/>
              <w:left w:type="dxa" w:w="100"/>
              <w:bottom w:type="dxa" w:w="80"/>
              <w:right w:type="dxa" w:w="100"/>
            </w:tcMar>
            <w:vAlign w:val="top"/>
          </w:tcPr>
          <w:p>
            <w:pPr>
              <w:spacing w:after="0"/>
            </w:pPr>
            <w:r>
              <w:rPr>
                <w:sz w:val="19"/>
                <w:szCs w:val="19"/>
              </w:rPr>
              <w:t xml:space="preserve">Build/version metadata (git SHA).</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/metrics</w:t>
            </w:r>
          </w:p>
        </w:tc>
        <w:tc>
          <w:tcPr>
            <w:tcW w:type="dxa" w:w="1400"/>
            <w:shd w:fill="F5F8FC" w:val="clear"/>
            <w:tcMar>
              <w:top w:type="dxa" w:w="80"/>
              <w:left w:type="dxa" w:w="100"/>
              <w:bottom w:type="dxa" w:w="80"/>
              <w:right w:type="dxa" w:w="100"/>
            </w:tcMar>
            <w:vAlign w:val="top"/>
          </w:tcPr>
          <w:p>
            <w:pPr>
              <w:spacing w:after="0"/>
            </w:pPr>
            <w:r>
              <w:rPr>
                <w:sz w:val="19"/>
                <w:szCs w:val="19"/>
              </w:rPr>
              <w:t xml:space="preserve">None</w:t>
            </w:r>
          </w:p>
        </w:tc>
        <w:tc>
          <w:tcPr>
            <w:tcW w:type="dxa" w:w="4760"/>
            <w:shd w:fill="F5F8FC" w:val="clear"/>
            <w:tcMar>
              <w:top w:type="dxa" w:w="80"/>
              <w:left w:type="dxa" w:w="100"/>
              <w:bottom w:type="dxa" w:w="80"/>
              <w:right w:type="dxa" w:w="100"/>
            </w:tcMar>
            <w:vAlign w:val="top"/>
          </w:tcPr>
          <w:p>
            <w:pPr>
              <w:spacing w:after="0"/>
            </w:pPr>
            <w:r>
              <w:rPr>
                <w:sz w:val="19"/>
                <w:szCs w:val="19"/>
              </w:rPr>
              <w:t xml:space="preserve">Prometheus scrape endpoint.</w:t>
            </w:r>
          </w:p>
        </w:tc>
      </w:tr>
      <w:tr>
        <w:tc>
          <w:tcPr>
            <w:tcW w:type="dxa" w:w="3200"/>
            <w:tcMar>
              <w:top w:type="dxa" w:w="80"/>
              <w:left w:type="dxa" w:w="100"/>
              <w:bottom w:type="dxa" w:w="80"/>
              <w:right w:type="dxa" w:w="100"/>
            </w:tcMar>
            <w:vAlign w:val="top"/>
          </w:tcPr>
          <w:p>
            <w:pPr>
              <w:spacing w:after="0"/>
            </w:pPr>
            <w:r>
              <w:rPr>
                <w:sz w:val="19"/>
                <w:szCs w:val="19"/>
              </w:rPr>
              <w:t xml:space="preserve">GET /v1/stations</w:t>
            </w:r>
          </w:p>
        </w:tc>
        <w:tc>
          <w:tcPr>
            <w:tcW w:type="dxa" w:w="1400"/>
            <w:tcMar>
              <w:top w:type="dxa" w:w="80"/>
              <w:left w:type="dxa" w:w="100"/>
              <w:bottom w:type="dxa" w:w="80"/>
              <w:right w:type="dxa" w:w="100"/>
            </w:tcMar>
            <w:vAlign w:val="top"/>
          </w:tcPr>
          <w:p>
            <w:pPr>
              <w:spacing w:after="0"/>
            </w:pPr>
            <w:r>
              <w:rPr>
                <w:sz w:val="19"/>
                <w:szCs w:val="19"/>
              </w:rPr>
              <w:t xml:space="preserve">public_read</w:t>
            </w:r>
          </w:p>
        </w:tc>
        <w:tc>
          <w:tcPr>
            <w:tcW w:type="dxa" w:w="4760"/>
            <w:tcMar>
              <w:top w:type="dxa" w:w="80"/>
              <w:left w:type="dxa" w:w="100"/>
              <w:bottom w:type="dxa" w:w="80"/>
              <w:right w:type="dxa" w:w="100"/>
            </w:tcMar>
            <w:vAlign w:val="top"/>
          </w:tcPr>
          <w:p>
            <w:pPr>
              <w:spacing w:after="0"/>
            </w:pPr>
            <w:r>
              <w:rPr>
                <w:sz w:val="19"/>
                <w:szCs w:val="19"/>
              </w:rPr>
              <w:t xml:space="preserve">Paginated station list.</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/v1/stations/{station_id}</w:t>
            </w:r>
          </w:p>
        </w:tc>
        <w:tc>
          <w:tcPr>
            <w:tcW w:type="dxa" w:w="1400"/>
            <w:shd w:fill="F5F8FC" w:val="clear"/>
            <w:tcMar>
              <w:top w:type="dxa" w:w="80"/>
              <w:left w:type="dxa" w:w="100"/>
              <w:bottom w:type="dxa" w:w="80"/>
              <w:right w:type="dxa" w:w="100"/>
            </w:tcMar>
            <w:vAlign w:val="top"/>
          </w:tcPr>
          <w:p>
            <w:pPr>
              <w:spacing w:after="0"/>
            </w:pPr>
            <w:r>
              <w:rPr>
                <w:sz w:val="19"/>
                <w:szCs w:val="19"/>
              </w:rPr>
              <w:t xml:space="preserve">public_read</w:t>
            </w:r>
          </w:p>
        </w:tc>
        <w:tc>
          <w:tcPr>
            <w:tcW w:type="dxa" w:w="4760"/>
            <w:shd w:fill="F5F8FC" w:val="clear"/>
            <w:tcMar>
              <w:top w:type="dxa" w:w="80"/>
              <w:left w:type="dxa" w:w="100"/>
              <w:bottom w:type="dxa" w:w="80"/>
              <w:right w:type="dxa" w:w="100"/>
            </w:tcMar>
            <w:vAlign w:val="top"/>
          </w:tcPr>
          <w:p>
            <w:pPr>
              <w:spacing w:after="0"/>
            </w:pPr>
            <w:r>
              <w:rPr>
                <w:sz w:val="19"/>
                <w:szCs w:val="19"/>
              </w:rPr>
              <w:t xml:space="preserve">Single station detail.</w:t>
            </w:r>
          </w:p>
        </w:tc>
      </w:tr>
      <w:tr>
        <w:tc>
          <w:tcPr>
            <w:tcW w:type="dxa" w:w="3200"/>
            <w:tcMar>
              <w:top w:type="dxa" w:w="80"/>
              <w:left w:type="dxa" w:w="100"/>
              <w:bottom w:type="dxa" w:w="80"/>
              <w:right w:type="dxa" w:w="100"/>
            </w:tcMar>
            <w:vAlign w:val="top"/>
          </w:tcPr>
          <w:p>
            <w:pPr>
              <w:spacing w:after="0"/>
            </w:pPr>
            <w:r>
              <w:rPr>
                <w:sz w:val="19"/>
                <w:szCs w:val="19"/>
              </w:rPr>
              <w:t xml:space="preserve">GET /v1/reference/bus-stops</w:t>
            </w:r>
          </w:p>
        </w:tc>
        <w:tc>
          <w:tcPr>
            <w:tcW w:type="dxa" w:w="1400"/>
            <w:tcMar>
              <w:top w:type="dxa" w:w="80"/>
              <w:left w:type="dxa" w:w="100"/>
              <w:bottom w:type="dxa" w:w="80"/>
              <w:right w:type="dxa" w:w="100"/>
            </w:tcMar>
            <w:vAlign w:val="top"/>
          </w:tcPr>
          <w:p>
            <w:pPr>
              <w:spacing w:after="0"/>
            </w:pPr>
            <w:r>
              <w:rPr>
                <w:sz w:val="19"/>
                <w:szCs w:val="19"/>
              </w:rPr>
              <w:t xml:space="preserve">public_read</w:t>
            </w:r>
          </w:p>
        </w:tc>
        <w:tc>
          <w:tcPr>
            <w:tcW w:type="dxa" w:w="4760"/>
            <w:tcMar>
              <w:top w:type="dxa" w:w="80"/>
              <w:left w:type="dxa" w:w="100"/>
              <w:bottom w:type="dxa" w:w="80"/>
              <w:right w:type="dxa" w:w="100"/>
            </w:tcMar>
            <w:vAlign w:val="top"/>
          </w:tcPr>
          <w:p>
            <w:pPr>
              <w:spacing w:after="0"/>
            </w:pPr>
            <w:r>
              <w:rPr>
                <w:sz w:val="19"/>
                <w:szCs w:val="19"/>
              </w:rPr>
              <w:t xml:space="preserve">Reference transit stop layer.</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/v1/reference/traffic-counters</w:t>
            </w:r>
          </w:p>
        </w:tc>
        <w:tc>
          <w:tcPr>
            <w:tcW w:type="dxa" w:w="1400"/>
            <w:shd w:fill="F5F8FC" w:val="clear"/>
            <w:tcMar>
              <w:top w:type="dxa" w:w="80"/>
              <w:left w:type="dxa" w:w="100"/>
              <w:bottom w:type="dxa" w:w="80"/>
              <w:right w:type="dxa" w:w="100"/>
            </w:tcMar>
            <w:vAlign w:val="top"/>
          </w:tcPr>
          <w:p>
            <w:pPr>
              <w:spacing w:after="0"/>
            </w:pPr>
            <w:r>
              <w:rPr>
                <w:sz w:val="19"/>
                <w:szCs w:val="19"/>
              </w:rPr>
              <w:t xml:space="preserve">public_read</w:t>
            </w:r>
          </w:p>
        </w:tc>
        <w:tc>
          <w:tcPr>
            <w:tcW w:type="dxa" w:w="4760"/>
            <w:shd w:fill="F5F8FC" w:val="clear"/>
            <w:tcMar>
              <w:top w:type="dxa" w:w="80"/>
              <w:left w:type="dxa" w:w="100"/>
              <w:bottom w:type="dxa" w:w="80"/>
              <w:right w:type="dxa" w:w="100"/>
            </w:tcMar>
            <w:vAlign w:val="top"/>
          </w:tcPr>
          <w:p>
            <w:pPr>
              <w:spacing w:after="0"/>
            </w:pPr>
            <w:r>
              <w:rPr>
                <w:sz w:val="19"/>
                <w:szCs w:val="19"/>
              </w:rPr>
              <w:t xml:space="preserve">Reference traffic counter layer.</w:t>
            </w:r>
          </w:p>
        </w:tc>
      </w:tr>
      <w:tr>
        <w:tc>
          <w:tcPr>
            <w:tcW w:type="dxa" w:w="3200"/>
            <w:tcMar>
              <w:top w:type="dxa" w:w="80"/>
              <w:left w:type="dxa" w:w="100"/>
              <w:bottom w:type="dxa" w:w="80"/>
              <w:right w:type="dxa" w:w="100"/>
            </w:tcMar>
            <w:vAlign w:val="top"/>
          </w:tcPr>
          <w:p>
            <w:pPr>
              <w:spacing w:after="0"/>
            </w:pPr>
            <w:r>
              <w:rPr>
                <w:sz w:val="19"/>
                <w:szCs w:val="19"/>
              </w:rPr>
              <w:t xml:space="preserve">GET /v1/readings</w:t>
            </w:r>
          </w:p>
        </w:tc>
        <w:tc>
          <w:tcPr>
            <w:tcW w:type="dxa" w:w="1400"/>
            <w:tcMar>
              <w:top w:type="dxa" w:w="80"/>
              <w:left w:type="dxa" w:w="100"/>
              <w:bottom w:type="dxa" w:w="80"/>
              <w:right w:type="dxa" w:w="100"/>
            </w:tcMar>
            <w:vAlign w:val="top"/>
          </w:tcPr>
          <w:p>
            <w:pPr>
              <w:spacing w:after="0"/>
            </w:pPr>
            <w:r>
              <w:rPr>
                <w:sz w:val="19"/>
                <w:szCs w:val="19"/>
              </w:rPr>
              <w:t xml:space="preserve">researcher</w:t>
            </w:r>
          </w:p>
        </w:tc>
        <w:tc>
          <w:tcPr>
            <w:tcW w:type="dxa" w:w="4760"/>
            <w:tcMar>
              <w:top w:type="dxa" w:w="80"/>
              <w:left w:type="dxa" w:w="100"/>
              <w:bottom w:type="dxa" w:w="80"/>
              <w:right w:type="dxa" w:w="100"/>
            </w:tcMar>
            <w:vAlign w:val="top"/>
          </w:tcPr>
          <w:p>
            <w:pPr>
              <w:spacing w:after="0"/>
            </w:pPr>
            <w:r>
              <w:rPr>
                <w:sz w:val="19"/>
                <w:szCs w:val="19"/>
              </w:rPr>
              <w:t xml:space="preserve">Paginated raw/flagged readings, filterable.</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/v1/defects</w:t>
            </w:r>
          </w:p>
        </w:tc>
        <w:tc>
          <w:tcPr>
            <w:tcW w:type="dxa" w:w="14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4760"/>
            <w:shd w:fill="F5F8FC" w:val="clear"/>
            <w:tcMar>
              <w:top w:type="dxa" w:w="80"/>
              <w:left w:type="dxa" w:w="100"/>
              <w:bottom w:type="dxa" w:w="80"/>
              <w:right w:type="dxa" w:w="100"/>
            </w:tcMar>
            <w:vAlign w:val="top"/>
          </w:tcPr>
          <w:p>
            <w:pPr>
              <w:spacing w:after="0"/>
            </w:pPr>
            <w:r>
              <w:rPr>
                <w:sz w:val="19"/>
                <w:szCs w:val="19"/>
              </w:rPr>
              <w:t xml:space="preserve">Paginated defect ledger.</w:t>
            </w:r>
          </w:p>
        </w:tc>
      </w:tr>
      <w:tr>
        <w:tc>
          <w:tcPr>
            <w:tcW w:type="dxa" w:w="3200"/>
            <w:tcMar>
              <w:top w:type="dxa" w:w="80"/>
              <w:left w:type="dxa" w:w="100"/>
              <w:bottom w:type="dxa" w:w="80"/>
              <w:right w:type="dxa" w:w="100"/>
            </w:tcMar>
            <w:vAlign w:val="top"/>
          </w:tcPr>
          <w:p>
            <w:pPr>
              <w:spacing w:after="0"/>
            </w:pPr>
            <w:r>
              <w:rPr>
                <w:sz w:val="19"/>
                <w:szCs w:val="19"/>
              </w:rPr>
              <w:t xml:space="preserve">GET /v1/trust/{station_id}</w:t>
            </w:r>
          </w:p>
        </w:tc>
        <w:tc>
          <w:tcPr>
            <w:tcW w:type="dxa" w:w="1400"/>
            <w:tcMar>
              <w:top w:type="dxa" w:w="80"/>
              <w:left w:type="dxa" w:w="100"/>
              <w:bottom w:type="dxa" w:w="80"/>
              <w:right w:type="dxa" w:w="100"/>
            </w:tcMar>
            <w:vAlign w:val="top"/>
          </w:tcPr>
          <w:p>
            <w:pPr>
              <w:spacing w:after="0"/>
            </w:pPr>
            <w:r>
              <w:rPr>
                <w:sz w:val="19"/>
                <w:szCs w:val="19"/>
              </w:rPr>
              <w:t xml:space="preserve">public_read</w:t>
            </w:r>
          </w:p>
        </w:tc>
        <w:tc>
          <w:tcPr>
            <w:tcW w:type="dxa" w:w="4760"/>
            <w:tcMar>
              <w:top w:type="dxa" w:w="80"/>
              <w:left w:type="dxa" w:w="100"/>
              <w:bottom w:type="dxa" w:w="80"/>
              <w:right w:type="dxa" w:w="100"/>
            </w:tcMar>
            <w:vAlign w:val="top"/>
          </w:tcPr>
          <w:p>
            <w:pPr>
              <w:spacing w:after="0"/>
            </w:pPr>
            <w:r>
              <w:rPr>
                <w:sz w:val="19"/>
                <w:szCs w:val="19"/>
              </w:rPr>
              <w:t xml:space="preserve">Trust score / series with component breakdown.</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/v1/quality/summary</w:t>
            </w:r>
          </w:p>
        </w:tc>
        <w:tc>
          <w:tcPr>
            <w:tcW w:type="dxa" w:w="1400"/>
            <w:shd w:fill="F5F8FC" w:val="clear"/>
            <w:tcMar>
              <w:top w:type="dxa" w:w="80"/>
              <w:left w:type="dxa" w:w="100"/>
              <w:bottom w:type="dxa" w:w="80"/>
              <w:right w:type="dxa" w:w="100"/>
            </w:tcMar>
            <w:vAlign w:val="top"/>
          </w:tcPr>
          <w:p>
            <w:pPr>
              <w:spacing w:after="0"/>
            </w:pPr>
            <w:r>
              <w:rPr>
                <w:sz w:val="19"/>
                <w:szCs w:val="19"/>
              </w:rPr>
              <w:t xml:space="preserve">public_read</w:t>
            </w:r>
          </w:p>
        </w:tc>
        <w:tc>
          <w:tcPr>
            <w:tcW w:type="dxa" w:w="4760"/>
            <w:shd w:fill="F5F8FC" w:val="clear"/>
            <w:tcMar>
              <w:top w:type="dxa" w:w="80"/>
              <w:left w:type="dxa" w:w="100"/>
              <w:bottom w:type="dxa" w:w="80"/>
              <w:right w:type="dxa" w:w="100"/>
            </w:tcMar>
            <w:vAlign w:val="top"/>
          </w:tcPr>
          <w:p>
            <w:pPr>
              <w:spacing w:after="0"/>
            </w:pPr>
            <w:r>
              <w:rPr>
                <w:sz w:val="19"/>
                <w:szCs w:val="19"/>
              </w:rPr>
              <w:t xml:space="preserve">Network-wide quality summary.</w:t>
            </w:r>
          </w:p>
        </w:tc>
      </w:tr>
      <w:tr>
        <w:tc>
          <w:tcPr>
            <w:tcW w:type="dxa" w:w="3200"/>
            <w:tcMar>
              <w:top w:type="dxa" w:w="80"/>
              <w:left w:type="dxa" w:w="100"/>
              <w:bottom w:type="dxa" w:w="80"/>
              <w:right w:type="dxa" w:w="100"/>
            </w:tcMar>
            <w:vAlign w:val="top"/>
          </w:tcPr>
          <w:p>
            <w:pPr>
              <w:spacing w:after="0"/>
            </w:pPr>
            <w:r>
              <w:rPr>
                <w:sz w:val="19"/>
                <w:szCs w:val="19"/>
              </w:rPr>
              <w:t xml:space="preserve">GET /v1/events</w:t>
            </w:r>
          </w:p>
        </w:tc>
        <w:tc>
          <w:tcPr>
            <w:tcW w:type="dxa" w:w="1400"/>
            <w:tcMar>
              <w:top w:type="dxa" w:w="80"/>
              <w:left w:type="dxa" w:w="100"/>
              <w:bottom w:type="dxa" w:w="80"/>
              <w:right w:type="dxa" w:w="100"/>
            </w:tcMar>
            <w:vAlign w:val="top"/>
          </w:tcPr>
          <w:p>
            <w:pPr>
              <w:spacing w:after="0"/>
            </w:pPr>
            <w:r>
              <w:rPr>
                <w:sz w:val="19"/>
                <w:szCs w:val="19"/>
              </w:rPr>
              <w:t xml:space="preserve">public_read</w:t>
            </w:r>
          </w:p>
        </w:tc>
        <w:tc>
          <w:tcPr>
            <w:tcW w:type="dxa" w:w="4760"/>
            <w:tcMar>
              <w:top w:type="dxa" w:w="80"/>
              <w:left w:type="dxa" w:w="100"/>
              <w:bottom w:type="dxa" w:w="80"/>
              <w:right w:type="dxa" w:w="100"/>
            </w:tcMar>
            <w:vAlign w:val="top"/>
          </w:tcPr>
          <w:p>
            <w:pPr>
              <w:spacing w:after="0"/>
            </w:pPr>
            <w:r>
              <w:rPr>
                <w:sz w:val="19"/>
                <w:szCs w:val="19"/>
              </w:rPr>
              <w:t xml:space="preserve">Paginated candidate/adjudicated events.</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/v1/audit/runs</w:t>
            </w:r>
          </w:p>
        </w:tc>
        <w:tc>
          <w:tcPr>
            <w:tcW w:type="dxa" w:w="14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4760"/>
            <w:shd w:fill="F5F8FC" w:val="clear"/>
            <w:tcMar>
              <w:top w:type="dxa" w:w="80"/>
              <w:left w:type="dxa" w:w="100"/>
              <w:bottom w:type="dxa" w:w="80"/>
              <w:right w:type="dxa" w:w="100"/>
            </w:tcMar>
            <w:vAlign w:val="top"/>
          </w:tcPr>
          <w:p>
            <w:pPr>
              <w:spacing w:after="0"/>
            </w:pPr>
            <w:r>
              <w:rPr>
                <w:sz w:val="19"/>
                <w:szCs w:val="19"/>
              </w:rPr>
              <w:t xml:space="preserve">Paginated audit run list.</w:t>
            </w:r>
          </w:p>
        </w:tc>
      </w:tr>
      <w:tr>
        <w:tc>
          <w:tcPr>
            <w:tcW w:type="dxa" w:w="3200"/>
            <w:tcMar>
              <w:top w:type="dxa" w:w="80"/>
              <w:left w:type="dxa" w:w="100"/>
              <w:bottom w:type="dxa" w:w="80"/>
              <w:right w:type="dxa" w:w="100"/>
            </w:tcMar>
            <w:vAlign w:val="top"/>
          </w:tcPr>
          <w:p>
            <w:pPr>
              <w:spacing w:after="0"/>
            </w:pPr>
            <w:r>
              <w:rPr>
                <w:sz w:val="19"/>
                <w:szCs w:val="19"/>
              </w:rPr>
              <w:t xml:space="preserve">GET /v1/audit/runs/{run_id}</w:t>
            </w:r>
          </w:p>
        </w:tc>
        <w:tc>
          <w:tcPr>
            <w:tcW w:type="dxa" w:w="1400"/>
            <w:tcMar>
              <w:top w:type="dxa" w:w="80"/>
              <w:left w:type="dxa" w:w="100"/>
              <w:bottom w:type="dxa" w:w="80"/>
              <w:right w:type="dxa" w:w="100"/>
            </w:tcMar>
            <w:vAlign w:val="top"/>
          </w:tcPr>
          <w:p>
            <w:pPr>
              <w:spacing w:after="0"/>
            </w:pPr>
            <w:r>
              <w:rPr>
                <w:sz w:val="19"/>
                <w:szCs w:val="19"/>
              </w:rPr>
              <w:t xml:space="preserve">researcher</w:t>
            </w:r>
          </w:p>
        </w:tc>
        <w:tc>
          <w:tcPr>
            <w:tcW w:type="dxa" w:w="4760"/>
            <w:tcMar>
              <w:top w:type="dxa" w:w="80"/>
              <w:left w:type="dxa" w:w="100"/>
              <w:bottom w:type="dxa" w:w="80"/>
              <w:right w:type="dxa" w:w="100"/>
            </w:tcMar>
            <w:vAlign w:val="top"/>
          </w:tcPr>
          <w:p>
            <w:pPr>
              <w:spacing w:after="0"/>
            </w:pPr>
            <w:r>
              <w:rPr>
                <w:sz w:val="19"/>
                <w:szCs w:val="19"/>
              </w:rPr>
              <w:t xml:space="preserve">Single audit run detail.</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/v1/export/audit-trail</w:t>
            </w:r>
          </w:p>
        </w:tc>
        <w:tc>
          <w:tcPr>
            <w:tcW w:type="dxa" w:w="14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4760"/>
            <w:shd w:fill="F5F8FC" w:val="clear"/>
            <w:tcMar>
              <w:top w:type="dxa" w:w="80"/>
              <w:left w:type="dxa" w:w="100"/>
              <w:bottom w:type="dxa" w:w="80"/>
              <w:right w:type="dxa" w:w="100"/>
            </w:tcMar>
            <w:vAlign w:val="top"/>
          </w:tcPr>
          <w:p>
            <w:pPr>
              <w:spacing w:after="0"/>
            </w:pPr>
            <w:r>
              <w:rPr>
                <w:sz w:val="19"/>
                <w:szCs w:val="19"/>
              </w:rPr>
              <w:t xml:space="preserve">Regulatory export (CSV/JSON/PDF).</w:t>
            </w:r>
          </w:p>
        </w:tc>
      </w:tr>
      <w:tr>
        <w:tc>
          <w:tcPr>
            <w:tcW w:type="dxa" w:w="3200"/>
            <w:tcMar>
              <w:top w:type="dxa" w:w="80"/>
              <w:left w:type="dxa" w:w="100"/>
              <w:bottom w:type="dxa" w:w="80"/>
              <w:right w:type="dxa" w:w="100"/>
            </w:tcMar>
            <w:vAlign w:val="top"/>
          </w:tcPr>
          <w:p>
            <w:pPr>
              <w:spacing w:after="0"/>
            </w:pPr>
            <w:r>
              <w:rPr>
                <w:sz w:val="19"/>
                <w:szCs w:val="19"/>
              </w:rPr>
              <w:t xml:space="preserve">GET /v1/explain/{defect_id}</w:t>
            </w:r>
          </w:p>
        </w:tc>
        <w:tc>
          <w:tcPr>
            <w:tcW w:type="dxa" w:w="1400"/>
            <w:tcMar>
              <w:top w:type="dxa" w:w="80"/>
              <w:left w:type="dxa" w:w="100"/>
              <w:bottom w:type="dxa" w:w="80"/>
              <w:right w:type="dxa" w:w="100"/>
            </w:tcMar>
            <w:vAlign w:val="top"/>
          </w:tcPr>
          <w:p>
            <w:pPr>
              <w:spacing w:after="0"/>
            </w:pPr>
            <w:r>
              <w:rPr>
                <w:sz w:val="19"/>
                <w:szCs w:val="19"/>
              </w:rPr>
              <w:t xml:space="preserve">researcher</w:t>
            </w:r>
          </w:p>
        </w:tc>
        <w:tc>
          <w:tcPr>
            <w:tcW w:type="dxa" w:w="4760"/>
            <w:tcMar>
              <w:top w:type="dxa" w:w="80"/>
              <w:left w:type="dxa" w:w="100"/>
              <w:bottom w:type="dxa" w:w="80"/>
              <w:right w:type="dxa" w:w="100"/>
            </w:tcMar>
            <w:vAlign w:val="top"/>
          </w:tcPr>
          <w:p>
            <w:pPr>
              <w:spacing w:after="0"/>
            </w:pPr>
            <w:r>
              <w:rPr>
                <w:sz w:val="19"/>
                <w:szCs w:val="19"/>
              </w:rPr>
              <w:t xml:space="preserve">Reason-coded, attributed explanation.</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/v1/deweather/{station_id}</w:t>
            </w:r>
          </w:p>
        </w:tc>
        <w:tc>
          <w:tcPr>
            <w:tcW w:type="dxa" w:w="14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4760"/>
            <w:shd w:fill="F5F8FC" w:val="clear"/>
            <w:tcMar>
              <w:top w:type="dxa" w:w="80"/>
              <w:left w:type="dxa" w:w="100"/>
              <w:bottom w:type="dxa" w:w="80"/>
              <w:right w:type="dxa" w:w="100"/>
            </w:tcMar>
            <w:vAlign w:val="top"/>
          </w:tcPr>
          <w:p>
            <w:pPr>
              <w:spacing w:after="0"/>
            </w:pPr>
            <w:r>
              <w:rPr>
                <w:sz w:val="19"/>
                <w:szCs w:val="19"/>
              </w:rPr>
              <w:t xml:space="preserve">Deweathered series / residuals.</w:t>
            </w:r>
          </w:p>
        </w:tc>
      </w:tr>
      <w:tr>
        <w:tc>
          <w:tcPr>
            <w:tcW w:type="dxa" w:w="3200"/>
            <w:tcMar>
              <w:top w:type="dxa" w:w="80"/>
              <w:left w:type="dxa" w:w="100"/>
              <w:bottom w:type="dxa" w:w="80"/>
              <w:right w:type="dxa" w:w="100"/>
            </w:tcMar>
            <w:vAlign w:val="top"/>
          </w:tcPr>
          <w:p>
            <w:pPr>
              <w:spacing w:after="0"/>
            </w:pPr>
            <w:r>
              <w:rPr>
                <w:sz w:val="19"/>
                <w:szCs w:val="19"/>
              </w:rPr>
              <w:t xml:space="preserve">GET /v1/graph/attention</w:t>
            </w:r>
          </w:p>
        </w:tc>
        <w:tc>
          <w:tcPr>
            <w:tcW w:type="dxa" w:w="1400"/>
            <w:tcMar>
              <w:top w:type="dxa" w:w="80"/>
              <w:left w:type="dxa" w:w="100"/>
              <w:bottom w:type="dxa" w:w="80"/>
              <w:right w:type="dxa" w:w="100"/>
            </w:tcMar>
            <w:vAlign w:val="top"/>
          </w:tcPr>
          <w:p>
            <w:pPr>
              <w:spacing w:after="0"/>
            </w:pPr>
            <w:r>
              <w:rPr>
                <w:sz w:val="19"/>
                <w:szCs w:val="19"/>
              </w:rPr>
              <w:t xml:space="preserve">researcher</w:t>
            </w:r>
          </w:p>
        </w:tc>
        <w:tc>
          <w:tcPr>
            <w:tcW w:type="dxa" w:w="4760"/>
            <w:tcMar>
              <w:top w:type="dxa" w:w="80"/>
              <w:left w:type="dxa" w:w="100"/>
              <w:bottom w:type="dxa" w:w="80"/>
              <w:right w:type="dxa" w:w="100"/>
            </w:tcMar>
            <w:vAlign w:val="top"/>
          </w:tcPr>
          <w:p>
            <w:pPr>
              <w:spacing w:after="0"/>
            </w:pPr>
            <w:r>
              <w:rPr>
                <w:sz w:val="19"/>
                <w:szCs w:val="19"/>
              </w:rPr>
              <w:t xml:space="preserve">HST-GAT attention overlay.</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/v1/maintenance</w:t>
            </w:r>
          </w:p>
        </w:tc>
        <w:tc>
          <w:tcPr>
            <w:tcW w:type="dxa" w:w="14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4760"/>
            <w:shd w:fill="F5F8FC" w:val="clear"/>
            <w:tcMar>
              <w:top w:type="dxa" w:w="80"/>
              <w:left w:type="dxa" w:w="100"/>
              <w:bottom w:type="dxa" w:w="80"/>
              <w:right w:type="dxa" w:w="100"/>
            </w:tcMar>
            <w:vAlign w:val="top"/>
          </w:tcPr>
          <w:p>
            <w:pPr>
              <w:spacing w:after="0"/>
            </w:pPr>
            <w:r>
              <w:rPr>
                <w:sz w:val="19"/>
                <w:szCs w:val="19"/>
              </w:rPr>
              <w:t xml:space="preserve">Ranked maintenance queue.</w:t>
            </w:r>
          </w:p>
        </w:tc>
      </w:tr>
      <w:tr>
        <w:tc>
          <w:tcPr>
            <w:tcW w:type="dxa" w:w="3200"/>
            <w:tcMar>
              <w:top w:type="dxa" w:w="80"/>
              <w:left w:type="dxa" w:w="100"/>
              <w:bottom w:type="dxa" w:w="80"/>
              <w:right w:type="dxa" w:w="100"/>
            </w:tcMar>
            <w:vAlign w:val="top"/>
          </w:tcPr>
          <w:p>
            <w:pPr>
              <w:spacing w:after="0"/>
            </w:pPr>
            <w:r>
              <w:rPr>
                <w:sz w:val="19"/>
                <w:szCs w:val="19"/>
              </w:rPr>
              <w:t xml:space="preserve">GET /v1/maintenance/{item_id}</w:t>
            </w:r>
          </w:p>
        </w:tc>
        <w:tc>
          <w:tcPr>
            <w:tcW w:type="dxa" w:w="1400"/>
            <w:tcMar>
              <w:top w:type="dxa" w:w="80"/>
              <w:left w:type="dxa" w:w="100"/>
              <w:bottom w:type="dxa" w:w="80"/>
              <w:right w:type="dxa" w:w="100"/>
            </w:tcMar>
            <w:vAlign w:val="top"/>
          </w:tcPr>
          <w:p>
            <w:pPr>
              <w:spacing w:after="0"/>
            </w:pPr>
            <w:r>
              <w:rPr>
                <w:sz w:val="19"/>
                <w:szCs w:val="19"/>
              </w:rPr>
              <w:t xml:space="preserve">operator</w:t>
            </w:r>
          </w:p>
        </w:tc>
        <w:tc>
          <w:tcPr>
            <w:tcW w:type="dxa" w:w="4760"/>
            <w:tcMar>
              <w:top w:type="dxa" w:w="80"/>
              <w:left w:type="dxa" w:w="100"/>
              <w:bottom w:type="dxa" w:w="80"/>
              <w:right w:type="dxa" w:w="100"/>
            </w:tcMar>
            <w:vAlign w:val="top"/>
          </w:tcPr>
          <w:p>
            <w:pPr>
              <w:spacing w:after="0"/>
            </w:pPr>
            <w:r>
              <w:rPr>
                <w:sz w:val="19"/>
                <w:szCs w:val="19"/>
              </w:rPr>
              <w:t xml:space="preserve">Maintenance item detail.</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POST /v1/maintenance/rebuild</w:t>
            </w:r>
          </w:p>
        </w:tc>
        <w:tc>
          <w:tcPr>
            <w:tcW w:type="dxa" w:w="14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4760"/>
            <w:shd w:fill="F5F8FC" w:val="clear"/>
            <w:tcMar>
              <w:top w:type="dxa" w:w="80"/>
              <w:left w:type="dxa" w:w="100"/>
              <w:bottom w:type="dxa" w:w="80"/>
              <w:right w:type="dxa" w:w="100"/>
            </w:tcMar>
            <w:vAlign w:val="top"/>
          </w:tcPr>
          <w:p>
            <w:pPr>
              <w:spacing w:after="0"/>
            </w:pPr>
            <w:r>
              <w:rPr>
                <w:sz w:val="19"/>
                <w:szCs w:val="19"/>
              </w:rPr>
              <w:t xml:space="preserve">Rebuild the queue from the latest run.</w:t>
            </w:r>
          </w:p>
        </w:tc>
      </w:tr>
      <w:tr>
        <w:tc>
          <w:tcPr>
            <w:tcW w:type="dxa" w:w="3200"/>
            <w:tcMar>
              <w:top w:type="dxa" w:w="80"/>
              <w:left w:type="dxa" w:w="100"/>
              <w:bottom w:type="dxa" w:w="80"/>
              <w:right w:type="dxa" w:w="100"/>
            </w:tcMar>
            <w:vAlign w:val="top"/>
          </w:tcPr>
          <w:p>
            <w:pPr>
              <w:spacing w:after="0"/>
            </w:pPr>
            <w:r>
              <w:rPr>
                <w:sz w:val="19"/>
                <w:szCs w:val="19"/>
              </w:rPr>
              <w:t xml:space="preserve">POST /v1/maintenance/{item_id}/transition</w:t>
            </w:r>
          </w:p>
        </w:tc>
        <w:tc>
          <w:tcPr>
            <w:tcW w:type="dxa" w:w="1400"/>
            <w:tcMar>
              <w:top w:type="dxa" w:w="80"/>
              <w:left w:type="dxa" w:w="100"/>
              <w:bottom w:type="dxa" w:w="80"/>
              <w:right w:type="dxa" w:w="100"/>
            </w:tcMar>
            <w:vAlign w:val="top"/>
          </w:tcPr>
          <w:p>
            <w:pPr>
              <w:spacing w:after="0"/>
            </w:pPr>
            <w:r>
              <w:rPr>
                <w:sz w:val="19"/>
                <w:szCs w:val="19"/>
              </w:rPr>
              <w:t xml:space="preserve">operator</w:t>
            </w:r>
          </w:p>
        </w:tc>
        <w:tc>
          <w:tcPr>
            <w:tcW w:type="dxa" w:w="4760"/>
            <w:tcMar>
              <w:top w:type="dxa" w:w="80"/>
              <w:left w:type="dxa" w:w="100"/>
              <w:bottom w:type="dxa" w:w="80"/>
              <w:right w:type="dxa" w:w="100"/>
            </w:tcMar>
            <w:vAlign w:val="top"/>
          </w:tcPr>
          <w:p>
            <w:pPr>
              <w:spacing w:after="0"/>
            </w:pPr>
            <w:r>
              <w:rPr>
                <w:sz w:val="19"/>
                <w:szCs w:val="19"/>
              </w:rPr>
              <w:t xml:space="preserve">Advance a ticket's lifecycle state.</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/v1/alerts</w:t>
            </w:r>
          </w:p>
        </w:tc>
        <w:tc>
          <w:tcPr>
            <w:tcW w:type="dxa" w:w="14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4760"/>
            <w:shd w:fill="F5F8FC" w:val="clear"/>
            <w:tcMar>
              <w:top w:type="dxa" w:w="80"/>
              <w:left w:type="dxa" w:w="100"/>
              <w:bottom w:type="dxa" w:w="80"/>
              <w:right w:type="dxa" w:w="100"/>
            </w:tcMar>
            <w:vAlign w:val="top"/>
          </w:tcPr>
          <w:p>
            <w:pPr>
              <w:spacing w:after="0"/>
            </w:pPr>
            <w:r>
              <w:rPr>
                <w:sz w:val="19"/>
                <w:szCs w:val="19"/>
              </w:rPr>
              <w:t xml:space="preserve">Risk-ranked alert candidates.</w:t>
            </w:r>
          </w:p>
        </w:tc>
      </w:tr>
      <w:tr>
        <w:tc>
          <w:tcPr>
            <w:tcW w:type="dxa" w:w="3200"/>
            <w:tcMar>
              <w:top w:type="dxa" w:w="80"/>
              <w:left w:type="dxa" w:w="100"/>
              <w:bottom w:type="dxa" w:w="80"/>
              <w:right w:type="dxa" w:w="100"/>
            </w:tcMar>
            <w:vAlign w:val="top"/>
          </w:tcPr>
          <w:p>
            <w:pPr>
              <w:spacing w:after="0"/>
            </w:pPr>
            <w:r>
              <w:rPr>
                <w:sz w:val="19"/>
                <w:szCs w:val="19"/>
              </w:rPr>
              <w:t xml:space="preserve">POST /v1/decision/signoff</w:t>
            </w:r>
          </w:p>
        </w:tc>
        <w:tc>
          <w:tcPr>
            <w:tcW w:type="dxa" w:w="1400"/>
            <w:tcMar>
              <w:top w:type="dxa" w:w="80"/>
              <w:left w:type="dxa" w:w="100"/>
              <w:bottom w:type="dxa" w:w="80"/>
              <w:right w:type="dxa" w:w="100"/>
            </w:tcMar>
            <w:vAlign w:val="top"/>
          </w:tcPr>
          <w:p>
            <w:pPr>
              <w:spacing w:after="0"/>
            </w:pPr>
            <w:r>
              <w:rPr>
                <w:sz w:val="19"/>
                <w:szCs w:val="19"/>
              </w:rPr>
              <w:t xml:space="preserve">operator</w:t>
            </w:r>
          </w:p>
        </w:tc>
        <w:tc>
          <w:tcPr>
            <w:tcW w:type="dxa" w:w="4760"/>
            <w:tcMar>
              <w:top w:type="dxa" w:w="80"/>
              <w:left w:type="dxa" w:w="100"/>
              <w:bottom w:type="dxa" w:w="80"/>
              <w:right w:type="dxa" w:w="100"/>
            </w:tcMar>
            <w:vAlign w:val="top"/>
          </w:tcPr>
          <w:p>
            <w:pPr>
              <w:spacing w:after="0"/>
            </w:pPr>
            <w:r>
              <w:rPr>
                <w:sz w:val="19"/>
                <w:szCs w:val="19"/>
              </w:rPr>
              <w:t xml:space="preserve">Record a human sign-off token.</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POST /v1/decision/dispatch</w:t>
            </w:r>
          </w:p>
        </w:tc>
        <w:tc>
          <w:tcPr>
            <w:tcW w:type="dxa" w:w="14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4760"/>
            <w:shd w:fill="F5F8FC" w:val="clear"/>
            <w:tcMar>
              <w:top w:type="dxa" w:w="80"/>
              <w:left w:type="dxa" w:w="100"/>
              <w:bottom w:type="dxa" w:w="80"/>
              <w:right w:type="dxa" w:w="100"/>
            </w:tcMar>
            <w:vAlign w:val="top"/>
          </w:tcPr>
          <w:p>
            <w:pPr>
              <w:spacing w:after="0"/>
            </w:pPr>
            <w:r>
              <w:rPr>
                <w:sz w:val="19"/>
                <w:szCs w:val="19"/>
              </w:rPr>
              <w:t xml:space="preserve">Dispatch a public alert (sign-off gated, idempotent).</w:t>
            </w:r>
          </w:p>
        </w:tc>
      </w:tr>
      <w:tr>
        <w:tc>
          <w:tcPr>
            <w:tcW w:type="dxa" w:w="3200"/>
            <w:tcMar>
              <w:top w:type="dxa" w:w="80"/>
              <w:left w:type="dxa" w:w="100"/>
              <w:bottom w:type="dxa" w:w="80"/>
              <w:right w:type="dxa" w:w="100"/>
            </w:tcMar>
            <w:vAlign w:val="top"/>
          </w:tcPr>
          <w:p>
            <w:pPr>
              <w:spacing w:after="0"/>
            </w:pPr>
            <w:r>
              <w:rPr>
                <w:sz w:val="19"/>
                <w:szCs w:val="19"/>
              </w:rPr>
              <w:t xml:space="preserve">GET /v1/admin/status</w:t>
            </w:r>
          </w:p>
        </w:tc>
        <w:tc>
          <w:tcPr>
            <w:tcW w:type="dxa" w:w="1400"/>
            <w:tcMar>
              <w:top w:type="dxa" w:w="80"/>
              <w:left w:type="dxa" w:w="100"/>
              <w:bottom w:type="dxa" w:w="80"/>
              <w:right w:type="dxa" w:w="100"/>
            </w:tcMar>
            <w:vAlign w:val="top"/>
          </w:tcPr>
          <w:p>
            <w:pPr>
              <w:spacing w:after="0"/>
            </w:pPr>
            <w:r>
              <w:rPr>
                <w:sz w:val="19"/>
                <w:szCs w:val="19"/>
              </w:rPr>
              <w:t xml:space="preserve">admin</w:t>
            </w:r>
          </w:p>
        </w:tc>
        <w:tc>
          <w:tcPr>
            <w:tcW w:type="dxa" w:w="4760"/>
            <w:tcMar>
              <w:top w:type="dxa" w:w="80"/>
              <w:left w:type="dxa" w:w="100"/>
              <w:bottom w:type="dxa" w:w="80"/>
              <w:right w:type="dxa" w:w="100"/>
            </w:tcMar>
            <w:vAlign w:val="top"/>
          </w:tcPr>
          <w:p>
            <w:pPr>
              <w:spacing w:after="0"/>
            </w:pPr>
            <w:r>
              <w:rPr>
                <w:sz w:val="19"/>
                <w:szCs w:val="19"/>
              </w:rPr>
              <w:t xml:space="preserve">System/model/config status.</w:t>
            </w:r>
          </w:p>
        </w:tc>
      </w:tr>
      <w:tr>
        <w:tc>
          <w:tcPr>
            <w:tcW w:type="dxa" w:w="3200"/>
            <w:shd w:fill="F5F8FC" w:val="clear"/>
            <w:tcMar>
              <w:top w:type="dxa" w:w="80"/>
              <w:left w:type="dxa" w:w="100"/>
              <w:bottom w:type="dxa" w:w="80"/>
              <w:right w:type="dxa" w:w="100"/>
            </w:tcMar>
            <w:vAlign w:val="top"/>
          </w:tcPr>
          <w:p>
            <w:pPr>
              <w:spacing w:after="0"/>
            </w:pPr>
            <w:r>
              <w:rPr>
                <w:sz w:val="19"/>
                <w:szCs w:val="19"/>
              </w:rPr>
              <w:t xml:space="preserve">GET /v1/admin/model-drift</w:t>
            </w:r>
          </w:p>
        </w:tc>
        <w:tc>
          <w:tcPr>
            <w:tcW w:type="dxa" w:w="1400"/>
            <w:shd w:fill="F5F8FC" w:val="clear"/>
            <w:tcMar>
              <w:top w:type="dxa" w:w="80"/>
              <w:left w:type="dxa" w:w="100"/>
              <w:bottom w:type="dxa" w:w="80"/>
              <w:right w:type="dxa" w:w="100"/>
            </w:tcMar>
            <w:vAlign w:val="top"/>
          </w:tcPr>
          <w:p>
            <w:pPr>
              <w:spacing w:after="0"/>
            </w:pPr>
            <w:r>
              <w:rPr>
                <w:sz w:val="19"/>
                <w:szCs w:val="19"/>
              </w:rPr>
              <w:t xml:space="preserve">admin</w:t>
            </w:r>
          </w:p>
        </w:tc>
        <w:tc>
          <w:tcPr>
            <w:tcW w:type="dxa" w:w="4760"/>
            <w:shd w:fill="F5F8FC" w:val="clear"/>
            <w:tcMar>
              <w:top w:type="dxa" w:w="80"/>
              <w:left w:type="dxa" w:w="100"/>
              <w:bottom w:type="dxa" w:w="80"/>
              <w:right w:type="dxa" w:w="100"/>
            </w:tcMar>
            <w:vAlign w:val="top"/>
          </w:tcPr>
          <w:p>
            <w:pPr>
              <w:spacing w:after="0"/>
            </w:pPr>
            <w:r>
              <w:rPr>
                <w:sz w:val="19"/>
                <w:szCs w:val="19"/>
              </w:rPr>
              <w:t xml:space="preserve">Model-plane drift series.</w:t>
            </w:r>
          </w:p>
        </w:tc>
      </w:tr>
      <w:tr>
        <w:tc>
          <w:tcPr>
            <w:tcW w:type="dxa" w:w="3200"/>
            <w:tcMar>
              <w:top w:type="dxa" w:w="80"/>
              <w:left w:type="dxa" w:w="100"/>
              <w:bottom w:type="dxa" w:w="80"/>
              <w:right w:type="dxa" w:w="100"/>
            </w:tcMar>
            <w:vAlign w:val="top"/>
          </w:tcPr>
          <w:p>
            <w:pPr>
              <w:spacing w:after="0"/>
            </w:pPr>
            <w:r>
              <w:rPr>
                <w:sz w:val="19"/>
                <w:szCs w:val="19"/>
              </w:rPr>
              <w:t xml:space="preserve">POST /v1/admin/retrain</w:t>
            </w:r>
          </w:p>
        </w:tc>
        <w:tc>
          <w:tcPr>
            <w:tcW w:type="dxa" w:w="1400"/>
            <w:tcMar>
              <w:top w:type="dxa" w:w="80"/>
              <w:left w:type="dxa" w:w="100"/>
              <w:bottom w:type="dxa" w:w="80"/>
              <w:right w:type="dxa" w:w="100"/>
            </w:tcMar>
            <w:vAlign w:val="top"/>
          </w:tcPr>
          <w:p>
            <w:pPr>
              <w:spacing w:after="0"/>
            </w:pPr>
            <w:r>
              <w:rPr>
                <w:sz w:val="19"/>
                <w:szCs w:val="19"/>
              </w:rPr>
              <w:t xml:space="preserve">admin</w:t>
            </w:r>
          </w:p>
        </w:tc>
        <w:tc>
          <w:tcPr>
            <w:tcW w:type="dxa" w:w="4760"/>
            <w:tcMar>
              <w:top w:type="dxa" w:w="80"/>
              <w:left w:type="dxa" w:w="100"/>
              <w:bottom w:type="dxa" w:w="80"/>
              <w:right w:type="dxa" w:w="100"/>
            </w:tcMar>
            <w:vAlign w:val="top"/>
          </w:tcPr>
          <w:p>
            <w:pPr>
              <w:spacing w:after="0"/>
            </w:pPr>
            <w:r>
              <w:rPr>
                <w:sz w:val="19"/>
                <w:szCs w:val="19"/>
              </w:rPr>
              <w:t xml:space="preserve">Trigger model retraining.</w:t>
            </w:r>
          </w:p>
        </w:tc>
      </w:tr>
    </w:tbl>
    <w:p>
      <w:pPr>
        <w:pStyle w:val="Heading2"/>
        <w:spacing w:after="150" w:before="300"/>
      </w:pPr>
      <w:r>
        <w:t xml:space="preserve">11.2 Request/Response Conventions</w:t>
      </w:r>
    </w:p>
    <w:p>
      <w:pPr>
        <w:pStyle w:val="ListParagraph"/>
        <w:numPr>
          <w:ilvl w:val="0"/>
          <w:numId w:val="1"/>
        </w:numPr>
        <w:spacing w:after="80" w:line="264"/>
      </w:pPr>
      <w:r>
        <w:t xml:space="preserve">Collection endpoints return a Page[...] wrapper (pagination.py) supporting offset/limit-style paging.</w:t>
      </w:r>
    </w:p>
    <w:p>
      <w:pPr>
        <w:pStyle w:val="ListParagraph"/>
        <w:numPr>
          <w:ilvl w:val="0"/>
          <w:numId w:val="1"/>
        </w:numPr>
        <w:spacing w:after="80" w:line="264"/>
      </w:pPr>
      <w:r>
        <w:t xml:space="preserve">Every error response is an RFC 7807 Problem Details object (errors.py), including a stable `type` URI, so a client can branch on error category rather than parsing free text.</w:t>
      </w:r>
    </w:p>
    <w:p>
      <w:pPr>
        <w:pStyle w:val="ListParagraph"/>
        <w:numPr>
          <w:ilvl w:val="0"/>
          <w:numId w:val="1"/>
        </w:numPr>
        <w:spacing w:after="80" w:line="264"/>
      </w:pPr>
      <w:r>
        <w:t xml:space="preserve">An HTTP 400 is returned (via a global OverflowError handler) for an integer path parameter outside SQLite's 64-bit range, a real defect found and fixed via the Phase-7 schemathesis fuzz run.</w:t>
      </w:r>
    </w:p>
    <w:p>
      <w:pPr>
        <w:pStyle w:val="ListParagraph"/>
        <w:numPr>
          <w:ilvl w:val="0"/>
          <w:numId w:val="1"/>
        </w:numPr>
        <w:spacing w:after="80" w:line="264"/>
      </w:pPr>
      <w:r>
        <w:t xml:space="preserve">CORS is restricted to an explicit origin allow-list; only GET, POST, and OPTIONS are permitted; only X-API-Key, Accept, and Content-Type headers are accepted; X-Request-ID is exposed for client-side correlation.</w:t>
      </w:r>
    </w:p>
    <w:p>
      <w:pPr>
        <w:pStyle w:val="Heading2"/>
        <w:spacing w:after="150" w:before="300"/>
      </w:pPr>
      <w:r>
        <w:t xml:space="preserve">11.3 API Testing</w:t>
      </w:r>
    </w:p>
    <w:p>
      <w:pPr>
        <w:spacing w:after="160" w:line="276"/>
      </w:pPr>
      <w:r>
        <w:t xml:space="preserve">The API surface is fuzz-tested end-to-end with schemathesis (property-based testing against the OpenAPI schema itself), in addition to router-level unit and integration tests, and a dedicated RBAC matrix test exercising every endpoint against every role.</w:t>
      </w:r>
    </w:p>
    <w:p>
      <w:r>
        <w:br w:type="page"/>
      </w:r>
    </w:p>
    <w:p>
      <w:pPr>
        <w:pStyle w:val="Heading1"/>
        <w:spacing w:after="200" w:before="400"/>
      </w:pPr>
      <w:r>
        <w:t xml:space="preserve">12. User Interface Requirements</w:t>
      </w:r>
    </w:p>
    <w:p>
      <w:pPr>
        <w:pStyle w:val="Heading2"/>
        <w:spacing w:after="150" w:before="300"/>
      </w:pPr>
      <w:r>
        <w:t xml:space="preserve">12.1 Screens and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00"/>
        <w:gridCol w:w="2060"/>
      </w:tblGrid>
      <w:tr>
        <w:trPr>
          <w:tblHeader/>
        </w:trPr>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Screen / Feature</w:t>
            </w:r>
          </w:p>
        </w:tc>
        <w:tc>
          <w:tcPr>
            <w:tcW w:type="dxa" w:w="320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c>
          <w:tcPr>
            <w:tcW w:type="dxa" w:w="1700"/>
            <w:shd w:fill="1B6AB8" w:val="clear"/>
            <w:tcMar>
              <w:top w:type="dxa" w:w="80"/>
              <w:left w:type="dxa" w:w="100"/>
              <w:bottom w:type="dxa" w:w="80"/>
              <w:right w:type="dxa" w:w="100"/>
            </w:tcMar>
            <w:vAlign w:val="top"/>
          </w:tcPr>
          <w:p>
            <w:pPr>
              <w:spacing w:after="0"/>
            </w:pPr>
            <w:r>
              <w:rPr>
                <w:b/>
                <w:bCs/>
                <w:color w:val="FFFFFF"/>
                <w:sz w:val="19"/>
                <w:szCs w:val="19"/>
              </w:rPr>
              <w:t xml:space="preserve">Primary User</w:t>
            </w:r>
          </w:p>
        </w:tc>
        <w:tc>
          <w:tcPr>
            <w:tcW w:type="dxa" w:w="2060"/>
            <w:shd w:fill="1B6AB8" w:val="clear"/>
            <w:tcMar>
              <w:top w:type="dxa" w:w="80"/>
              <w:left w:type="dxa" w:w="100"/>
              <w:bottom w:type="dxa" w:w="80"/>
              <w:right w:type="dxa" w:w="100"/>
            </w:tcMar>
            <w:vAlign w:val="top"/>
          </w:tcPr>
          <w:p>
            <w:pPr>
              <w:spacing w:after="0"/>
            </w:pPr>
            <w:r>
              <w:rPr>
                <w:b/>
                <w:bCs/>
                <w:color w:val="FFFFFF"/>
                <w:sz w:val="19"/>
                <w:szCs w:val="19"/>
              </w:rPr>
              <w:t xml:space="preserve">Status</w:t>
            </w:r>
          </w:p>
        </w:tc>
      </w:tr>
      <w:tr>
        <w:tc>
          <w:tcPr>
            <w:tcW w:type="dxa" w:w="2400"/>
            <w:tcMar>
              <w:top w:type="dxa" w:w="80"/>
              <w:left w:type="dxa" w:w="100"/>
              <w:bottom w:type="dxa" w:w="80"/>
              <w:right w:type="dxa" w:w="100"/>
            </w:tcMar>
            <w:vAlign w:val="top"/>
          </w:tcPr>
          <w:p>
            <w:pPr>
              <w:spacing w:after="0"/>
            </w:pPr>
            <w:r>
              <w:rPr>
                <w:sz w:val="19"/>
                <w:szCs w:val="19"/>
              </w:rPr>
              <w:t xml:space="preserve">Network Map (features/map)</w:t>
            </w:r>
          </w:p>
        </w:tc>
        <w:tc>
          <w:tcPr>
            <w:tcW w:type="dxa" w:w="3200"/>
            <w:tcMar>
              <w:top w:type="dxa" w:w="80"/>
              <w:left w:type="dxa" w:w="100"/>
              <w:bottom w:type="dxa" w:w="80"/>
              <w:right w:type="dxa" w:w="100"/>
            </w:tcMar>
            <w:vAlign w:val="top"/>
          </w:tcPr>
          <w:p>
            <w:pPr>
              <w:spacing w:after="0"/>
            </w:pPr>
            <w:r>
              <w:rPr>
                <w:sz w:val="19"/>
                <w:szCs w:val="19"/>
              </w:rPr>
              <w:t xml:space="preserve">Station markers, wind edges, HST-GAT attention overlay on a MapLibre GL basemap.</w:t>
            </w:r>
          </w:p>
        </w:tc>
        <w:tc>
          <w:tcPr>
            <w:tcW w:type="dxa" w:w="1700"/>
            <w:tcMar>
              <w:top w:type="dxa" w:w="80"/>
              <w:left w:type="dxa" w:w="100"/>
              <w:bottom w:type="dxa" w:w="80"/>
              <w:right w:type="dxa" w:w="100"/>
            </w:tcMar>
            <w:vAlign w:val="top"/>
          </w:tcPr>
          <w:p>
            <w:pPr>
              <w:spacing w:after="0"/>
            </w:pPr>
            <w:r>
              <w:rPr>
                <w:sz w:val="19"/>
                <w:szCs w:val="19"/>
              </w:rPr>
              <w:t xml:space="preserve">All roles</w:t>
            </w:r>
          </w:p>
        </w:tc>
        <w:tc>
          <w:tcPr>
            <w:tcW w:type="dxa" w:w="2060"/>
            <w:tcMar>
              <w:top w:type="dxa" w:w="80"/>
              <w:left w:type="dxa" w:w="100"/>
              <w:bottom w:type="dxa" w:w="80"/>
              <w:right w:type="dxa" w:w="100"/>
            </w:tcMar>
            <w:vAlign w:val="top"/>
          </w:tcPr>
          <w:p>
            <w:pPr>
              <w:spacing w:after="0"/>
            </w:pPr>
            <w:r>
              <w:rPr>
                <w:sz w:val="19"/>
                <w:szCs w:val="19"/>
              </w:rPr>
              <w:t xml:space="preserve">Implemented (attention overlay exported but not yet rendered on the map — see Section 32)</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Event Timeline (features/timeline)</w:t>
            </w:r>
          </w:p>
        </w:tc>
        <w:tc>
          <w:tcPr>
            <w:tcW w:type="dxa" w:w="3200"/>
            <w:shd w:fill="F5F8FC" w:val="clear"/>
            <w:tcMar>
              <w:top w:type="dxa" w:w="80"/>
              <w:left w:type="dxa" w:w="100"/>
              <w:bottom w:type="dxa" w:w="80"/>
              <w:right w:type="dxa" w:w="100"/>
            </w:tcMar>
            <w:vAlign w:val="top"/>
          </w:tcPr>
          <w:p>
            <w:pPr>
              <w:spacing w:after="0"/>
            </w:pPr>
            <w:r>
              <w:rPr>
                <w:sz w:val="19"/>
                <w:szCs w:val="19"/>
              </w:rPr>
              <w:t xml:space="preserve">Chronological candidate/adjudicated events with adjudication detail drill-down.</w:t>
            </w:r>
          </w:p>
        </w:tc>
        <w:tc>
          <w:tcPr>
            <w:tcW w:type="dxa" w:w="1700"/>
            <w:shd w:fill="F5F8FC" w:val="clear"/>
            <w:tcMar>
              <w:top w:type="dxa" w:w="80"/>
              <w:left w:type="dxa" w:w="100"/>
              <w:bottom w:type="dxa" w:w="80"/>
              <w:right w:type="dxa" w:w="100"/>
            </w:tcMar>
            <w:vAlign w:val="top"/>
          </w:tcPr>
          <w:p>
            <w:pPr>
              <w:spacing w:after="0"/>
            </w:pPr>
            <w:r>
              <w:rPr>
                <w:sz w:val="19"/>
                <w:szCs w:val="19"/>
              </w:rPr>
              <w:t xml:space="preserve">Researcher, Operator</w:t>
            </w:r>
          </w:p>
        </w:tc>
        <w:tc>
          <w:tcPr>
            <w:tcW w:type="dxa" w:w="2060"/>
            <w:shd w:fill="F5F8FC" w:val="clear"/>
            <w:tcMar>
              <w:top w:type="dxa" w:w="80"/>
              <w:left w:type="dxa" w:w="100"/>
              <w:bottom w:type="dxa" w:w="80"/>
              <w:right w:type="dxa" w:w="100"/>
            </w:tcMar>
            <w:vAlign w:val="top"/>
          </w:tcPr>
          <w:p>
            <w:pPr>
              <w:spacing w:after="0"/>
            </w:pPr>
            <w:r>
              <w:rPr>
                <w:sz w:val="19"/>
                <w:szCs w:val="19"/>
              </w:rPr>
              <w:t xml:space="preserve">Implemented</w:t>
            </w:r>
          </w:p>
        </w:tc>
      </w:tr>
      <w:tr>
        <w:tc>
          <w:tcPr>
            <w:tcW w:type="dxa" w:w="2400"/>
            <w:tcMar>
              <w:top w:type="dxa" w:w="80"/>
              <w:left w:type="dxa" w:w="100"/>
              <w:bottom w:type="dxa" w:w="80"/>
              <w:right w:type="dxa" w:w="100"/>
            </w:tcMar>
            <w:vAlign w:val="top"/>
          </w:tcPr>
          <w:p>
            <w:pPr>
              <w:spacing w:after="0"/>
            </w:pPr>
            <w:r>
              <w:rPr>
                <w:sz w:val="19"/>
                <w:szCs w:val="19"/>
              </w:rPr>
              <w:t xml:space="preserve">Station Detail Panel (features/station)</w:t>
            </w:r>
          </w:p>
        </w:tc>
        <w:tc>
          <w:tcPr>
            <w:tcW w:type="dxa" w:w="3200"/>
            <w:tcMar>
              <w:top w:type="dxa" w:w="80"/>
              <w:left w:type="dxa" w:w="100"/>
              <w:bottom w:type="dxa" w:w="80"/>
              <w:right w:type="dxa" w:w="100"/>
            </w:tcMar>
            <w:vAlign w:val="top"/>
          </w:tcPr>
          <w:p>
            <w:pPr>
              <w:spacing w:after="0"/>
            </w:pPr>
            <w:r>
              <w:rPr>
                <w:sz w:val="19"/>
                <w:szCs w:val="19"/>
              </w:rPr>
              <w:t xml:space="preserve">Per-station trust breakdown, sparkline series, factor breakdown.</w:t>
            </w:r>
          </w:p>
        </w:tc>
        <w:tc>
          <w:tcPr>
            <w:tcW w:type="dxa" w:w="1700"/>
            <w:tcMar>
              <w:top w:type="dxa" w:w="80"/>
              <w:left w:type="dxa" w:w="100"/>
              <w:bottom w:type="dxa" w:w="80"/>
              <w:right w:type="dxa" w:w="100"/>
            </w:tcMar>
            <w:vAlign w:val="top"/>
          </w:tcPr>
          <w:p>
            <w:pPr>
              <w:spacing w:after="0"/>
            </w:pPr>
            <w:r>
              <w:rPr>
                <w:sz w:val="19"/>
                <w:szCs w:val="19"/>
              </w:rPr>
              <w:t xml:space="preserve">All roles</w:t>
            </w:r>
          </w:p>
        </w:tc>
        <w:tc>
          <w:tcPr>
            <w:tcW w:type="dxa" w:w="2060"/>
            <w:tcMar>
              <w:top w:type="dxa" w:w="80"/>
              <w:left w:type="dxa" w:w="100"/>
              <w:bottom w:type="dxa" w:w="80"/>
              <w:right w:type="dxa" w:w="100"/>
            </w:tcMar>
            <w:vAlign w:val="top"/>
          </w:tcPr>
          <w:p>
            <w:pPr>
              <w:spacing w:after="0"/>
            </w:pPr>
            <w:r>
              <w:rPr>
                <w:sz w:val="19"/>
                <w:szCs w:val="19"/>
              </w:rPr>
              <w:t xml:space="preserve">Implemented</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Quality Monitor (features/quality)</w:t>
            </w:r>
          </w:p>
        </w:tc>
        <w:tc>
          <w:tcPr>
            <w:tcW w:type="dxa" w:w="3200"/>
            <w:shd w:fill="F5F8FC" w:val="clear"/>
            <w:tcMar>
              <w:top w:type="dxa" w:w="80"/>
              <w:left w:type="dxa" w:w="100"/>
              <w:bottom w:type="dxa" w:w="80"/>
              <w:right w:type="dxa" w:w="100"/>
            </w:tcMar>
            <w:vAlign w:val="top"/>
          </w:tcPr>
          <w:p>
            <w:pPr>
              <w:spacing w:after="0"/>
            </w:pPr>
            <w:r>
              <w:rPr>
                <w:sz w:val="19"/>
                <w:szCs w:val="19"/>
              </w:rPr>
              <w:t xml:space="preserve">Network-wide data-quality summary view.</w:t>
            </w:r>
          </w:p>
        </w:tc>
        <w:tc>
          <w:tcPr>
            <w:tcW w:type="dxa" w:w="1700"/>
            <w:shd w:fill="F5F8FC" w:val="clear"/>
            <w:tcMar>
              <w:top w:type="dxa" w:w="80"/>
              <w:left w:type="dxa" w:w="100"/>
              <w:bottom w:type="dxa" w:w="80"/>
              <w:right w:type="dxa" w:w="100"/>
            </w:tcMar>
            <w:vAlign w:val="top"/>
          </w:tcPr>
          <w:p>
            <w:pPr>
              <w:spacing w:after="0"/>
            </w:pPr>
            <w:r>
              <w:rPr>
                <w:sz w:val="19"/>
                <w:szCs w:val="19"/>
              </w:rPr>
              <w:t xml:space="preserve">Researcher</w:t>
            </w:r>
          </w:p>
        </w:tc>
        <w:tc>
          <w:tcPr>
            <w:tcW w:type="dxa" w:w="2060"/>
            <w:shd w:fill="F5F8FC" w:val="clear"/>
            <w:tcMar>
              <w:top w:type="dxa" w:w="80"/>
              <w:left w:type="dxa" w:w="100"/>
              <w:bottom w:type="dxa" w:w="80"/>
              <w:right w:type="dxa" w:w="100"/>
            </w:tcMar>
            <w:vAlign w:val="top"/>
          </w:tcPr>
          <w:p>
            <w:pPr>
              <w:spacing w:after="0"/>
            </w:pPr>
            <w:r>
              <w:rPr>
                <w:sz w:val="19"/>
                <w:szCs w:val="19"/>
              </w:rPr>
              <w:t xml:space="preserve">Implemented</w:t>
            </w:r>
          </w:p>
        </w:tc>
      </w:tr>
      <w:tr>
        <w:tc>
          <w:tcPr>
            <w:tcW w:type="dxa" w:w="2400"/>
            <w:tcMar>
              <w:top w:type="dxa" w:w="80"/>
              <w:left w:type="dxa" w:w="100"/>
              <w:bottom w:type="dxa" w:w="80"/>
              <w:right w:type="dxa" w:w="100"/>
            </w:tcMar>
            <w:vAlign w:val="top"/>
          </w:tcPr>
          <w:p>
            <w:pPr>
              <w:spacing w:after="0"/>
            </w:pPr>
            <w:r>
              <w:rPr>
                <w:sz w:val="19"/>
                <w:szCs w:val="19"/>
              </w:rPr>
              <w:t xml:space="preserve">Audit Report View (features/audit)</w:t>
            </w:r>
          </w:p>
        </w:tc>
        <w:tc>
          <w:tcPr>
            <w:tcW w:type="dxa" w:w="3200"/>
            <w:tcMar>
              <w:top w:type="dxa" w:w="80"/>
              <w:left w:type="dxa" w:w="100"/>
              <w:bottom w:type="dxa" w:w="80"/>
              <w:right w:type="dxa" w:w="100"/>
            </w:tcMar>
            <w:vAlign w:val="top"/>
          </w:tcPr>
          <w:p>
            <w:pPr>
              <w:spacing w:after="0"/>
            </w:pPr>
            <w:r>
              <w:rPr>
                <w:sz w:val="19"/>
                <w:szCs w:val="19"/>
              </w:rPr>
              <w:t xml:space="preserve">Rendered audit run detail.</w:t>
            </w:r>
          </w:p>
        </w:tc>
        <w:tc>
          <w:tcPr>
            <w:tcW w:type="dxa" w:w="1700"/>
            <w:tcMar>
              <w:top w:type="dxa" w:w="80"/>
              <w:left w:type="dxa" w:w="100"/>
              <w:bottom w:type="dxa" w:w="80"/>
              <w:right w:type="dxa" w:w="100"/>
            </w:tcMar>
            <w:vAlign w:val="top"/>
          </w:tcPr>
          <w:p>
            <w:pPr>
              <w:spacing w:after="0"/>
            </w:pPr>
            <w:r>
              <w:rPr>
                <w:sz w:val="19"/>
                <w:szCs w:val="19"/>
              </w:rPr>
              <w:t xml:space="preserve">Researcher</w:t>
            </w:r>
          </w:p>
        </w:tc>
        <w:tc>
          <w:tcPr>
            <w:tcW w:type="dxa" w:w="2060"/>
            <w:tcMar>
              <w:top w:type="dxa" w:w="80"/>
              <w:left w:type="dxa" w:w="100"/>
              <w:bottom w:type="dxa" w:w="80"/>
              <w:right w:type="dxa" w:w="100"/>
            </w:tcMar>
            <w:vAlign w:val="top"/>
          </w:tcPr>
          <w:p>
            <w:pPr>
              <w:spacing w:after="0"/>
            </w:pPr>
            <w:r>
              <w:rPr>
                <w:sz w:val="19"/>
                <w:szCs w:val="19"/>
              </w:rPr>
              <w:t xml:space="preserve">Implemented</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Evidence Panel (features/evidence)</w:t>
            </w:r>
          </w:p>
        </w:tc>
        <w:tc>
          <w:tcPr>
            <w:tcW w:type="dxa" w:w="3200"/>
            <w:shd w:fill="F5F8FC" w:val="clear"/>
            <w:tcMar>
              <w:top w:type="dxa" w:w="80"/>
              <w:left w:type="dxa" w:w="100"/>
              <w:bottom w:type="dxa" w:w="80"/>
              <w:right w:type="dxa" w:w="100"/>
            </w:tcMar>
            <w:vAlign w:val="top"/>
          </w:tcPr>
          <w:p>
            <w:pPr>
              <w:spacing w:after="0"/>
            </w:pPr>
            <w:r>
              <w:rPr>
                <w:sz w:val="19"/>
                <w:szCs w:val="19"/>
              </w:rPr>
              <w:t xml:space="preserve">Structured evidence display for a defect/event.</w:t>
            </w:r>
          </w:p>
        </w:tc>
        <w:tc>
          <w:tcPr>
            <w:tcW w:type="dxa" w:w="1700"/>
            <w:shd w:fill="F5F8FC" w:val="clear"/>
            <w:tcMar>
              <w:top w:type="dxa" w:w="80"/>
              <w:left w:type="dxa" w:w="100"/>
              <w:bottom w:type="dxa" w:w="80"/>
              <w:right w:type="dxa" w:w="100"/>
            </w:tcMar>
            <w:vAlign w:val="top"/>
          </w:tcPr>
          <w:p>
            <w:pPr>
              <w:spacing w:after="0"/>
            </w:pPr>
            <w:r>
              <w:rPr>
                <w:sz w:val="19"/>
                <w:szCs w:val="19"/>
              </w:rPr>
              <w:t xml:space="preserve">Researcher, Operator</w:t>
            </w:r>
          </w:p>
        </w:tc>
        <w:tc>
          <w:tcPr>
            <w:tcW w:type="dxa" w:w="2060"/>
            <w:shd w:fill="F5F8FC" w:val="clear"/>
            <w:tcMar>
              <w:top w:type="dxa" w:w="80"/>
              <w:left w:type="dxa" w:w="100"/>
              <w:bottom w:type="dxa" w:w="80"/>
              <w:right w:type="dxa" w:w="100"/>
            </w:tcMar>
            <w:vAlign w:val="top"/>
          </w:tcPr>
          <w:p>
            <w:pPr>
              <w:spacing w:after="0"/>
            </w:pPr>
            <w:r>
              <w:rPr>
                <w:sz w:val="19"/>
                <w:szCs w:val="19"/>
              </w:rPr>
              <w:t xml:space="preserve">Implemented</w:t>
            </w:r>
          </w:p>
        </w:tc>
      </w:tr>
      <w:tr>
        <w:tc>
          <w:tcPr>
            <w:tcW w:type="dxa" w:w="2400"/>
            <w:tcMar>
              <w:top w:type="dxa" w:w="80"/>
              <w:left w:type="dxa" w:w="100"/>
              <w:bottom w:type="dxa" w:w="80"/>
              <w:right w:type="dxa" w:w="100"/>
            </w:tcMar>
            <w:vAlign w:val="top"/>
          </w:tcPr>
          <w:p>
            <w:pPr>
              <w:spacing w:after="0"/>
            </w:pPr>
            <w:r>
              <w:rPr>
                <w:sz w:val="19"/>
                <w:szCs w:val="19"/>
              </w:rPr>
              <w:t xml:space="preserve">Sign-In Gate / Screen (features/shell)</w:t>
            </w:r>
          </w:p>
        </w:tc>
        <w:tc>
          <w:tcPr>
            <w:tcW w:type="dxa" w:w="3200"/>
            <w:tcMar>
              <w:top w:type="dxa" w:w="80"/>
              <w:left w:type="dxa" w:w="100"/>
              <w:bottom w:type="dxa" w:w="80"/>
              <w:right w:type="dxa" w:w="100"/>
            </w:tcMar>
            <w:vAlign w:val="top"/>
          </w:tcPr>
          <w:p>
            <w:pPr>
              <w:spacing w:after="0"/>
            </w:pPr>
            <w:r>
              <w:rPr>
                <w:sz w:val="19"/>
                <w:szCs w:val="19"/>
              </w:rPr>
              <w:t xml:space="preserve">API-key based session entry.</w:t>
            </w:r>
          </w:p>
        </w:tc>
        <w:tc>
          <w:tcPr>
            <w:tcW w:type="dxa" w:w="1700"/>
            <w:tcMar>
              <w:top w:type="dxa" w:w="80"/>
              <w:left w:type="dxa" w:w="100"/>
              <w:bottom w:type="dxa" w:w="80"/>
              <w:right w:type="dxa" w:w="100"/>
            </w:tcMar>
            <w:vAlign w:val="top"/>
          </w:tcPr>
          <w:p>
            <w:pPr>
              <w:spacing w:after="0"/>
            </w:pPr>
            <w:r>
              <w:rPr>
                <w:sz w:val="19"/>
                <w:szCs w:val="19"/>
              </w:rPr>
              <w:t xml:space="preserve">All roles</w:t>
            </w:r>
          </w:p>
        </w:tc>
        <w:tc>
          <w:tcPr>
            <w:tcW w:type="dxa" w:w="2060"/>
            <w:tcMar>
              <w:top w:type="dxa" w:w="80"/>
              <w:left w:type="dxa" w:w="100"/>
              <w:bottom w:type="dxa" w:w="80"/>
              <w:right w:type="dxa" w:w="100"/>
            </w:tcMar>
            <w:vAlign w:val="top"/>
          </w:tcPr>
          <w:p>
            <w:pPr>
              <w:spacing w:after="0"/>
            </w:pPr>
            <w:r>
              <w:rPr>
                <w:sz w:val="19"/>
                <w:szCs w:val="19"/>
              </w:rPr>
              <w:t xml:space="preserve">Implemented</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Alert Centre (features/alerts)</w:t>
            </w:r>
          </w:p>
        </w:tc>
        <w:tc>
          <w:tcPr>
            <w:tcW w:type="dxa" w:w="3200"/>
            <w:shd w:fill="F5F8FC" w:val="clear"/>
            <w:tcMar>
              <w:top w:type="dxa" w:w="80"/>
              <w:left w:type="dxa" w:w="100"/>
              <w:bottom w:type="dxa" w:w="80"/>
              <w:right w:type="dxa" w:w="100"/>
            </w:tcMar>
            <w:vAlign w:val="top"/>
          </w:tcPr>
          <w:p>
            <w:pPr>
              <w:spacing w:after="0"/>
            </w:pPr>
            <w:r>
              <w:rPr>
                <w:sz w:val="19"/>
                <w:szCs w:val="19"/>
              </w:rPr>
              <w:t xml:space="preserve">Risk-ranked alert list, alert detail, sign-off panel.</w:t>
            </w:r>
          </w:p>
        </w:tc>
        <w:tc>
          <w:tcPr>
            <w:tcW w:type="dxa" w:w="1700"/>
            <w:shd w:fill="F5F8FC" w:val="clear"/>
            <w:tcMar>
              <w:top w:type="dxa" w:w="80"/>
              <w:left w:type="dxa" w:w="100"/>
              <w:bottom w:type="dxa" w:w="80"/>
              <w:right w:type="dxa" w:w="100"/>
            </w:tcMar>
            <w:vAlign w:val="top"/>
          </w:tcPr>
          <w:p>
            <w:pPr>
              <w:spacing w:after="0"/>
            </w:pPr>
            <w:r>
              <w:rPr>
                <w:sz w:val="19"/>
                <w:szCs w:val="19"/>
              </w:rPr>
              <w:t xml:space="preserve">Operator</w:t>
            </w:r>
          </w:p>
        </w:tc>
        <w:tc>
          <w:tcPr>
            <w:tcW w:type="dxa" w:w="2060"/>
            <w:shd w:fill="F5F8FC" w:val="clear"/>
            <w:tcMar>
              <w:top w:type="dxa" w:w="80"/>
              <w:left w:type="dxa" w:w="100"/>
              <w:bottom w:type="dxa" w:w="80"/>
              <w:right w:type="dxa" w:w="100"/>
            </w:tcMar>
            <w:vAlign w:val="top"/>
          </w:tcPr>
          <w:p>
            <w:pPr>
              <w:spacing w:after="0"/>
            </w:pPr>
            <w:r>
              <w:rPr>
                <w:sz w:val="19"/>
                <w:szCs w:val="19"/>
              </w:rPr>
              <w:t xml:space="preserve">Implemented in code, not yet exercised via full E2E browser walk (see Section 32)</w:t>
            </w:r>
          </w:p>
        </w:tc>
      </w:tr>
      <w:tr>
        <w:tc>
          <w:tcPr>
            <w:tcW w:type="dxa" w:w="2400"/>
            <w:tcMar>
              <w:top w:type="dxa" w:w="80"/>
              <w:left w:type="dxa" w:w="100"/>
              <w:bottom w:type="dxa" w:w="80"/>
              <w:right w:type="dxa" w:w="100"/>
            </w:tcMar>
            <w:vAlign w:val="top"/>
          </w:tcPr>
          <w:p>
            <w:pPr>
              <w:spacing w:after="0"/>
            </w:pPr>
            <w:r>
              <w:rPr>
                <w:sz w:val="19"/>
                <w:szCs w:val="19"/>
              </w:rPr>
              <w:t xml:space="preserve">Maintenance Queue (features/alerts/MaintenanceQueue)</w:t>
            </w:r>
          </w:p>
        </w:tc>
        <w:tc>
          <w:tcPr>
            <w:tcW w:type="dxa" w:w="3200"/>
            <w:tcMar>
              <w:top w:type="dxa" w:w="80"/>
              <w:left w:type="dxa" w:w="100"/>
              <w:bottom w:type="dxa" w:w="80"/>
              <w:right w:type="dxa" w:w="100"/>
            </w:tcMar>
            <w:vAlign w:val="top"/>
          </w:tcPr>
          <w:p>
            <w:pPr>
              <w:spacing w:after="0"/>
            </w:pPr>
            <w:r>
              <w:rPr>
                <w:sz w:val="19"/>
                <w:szCs w:val="19"/>
              </w:rPr>
              <w:t xml:space="preserve">Prioritised, transitionable maintenance ticket list.</w:t>
            </w:r>
          </w:p>
        </w:tc>
        <w:tc>
          <w:tcPr>
            <w:tcW w:type="dxa" w:w="1700"/>
            <w:tcMar>
              <w:top w:type="dxa" w:w="80"/>
              <w:left w:type="dxa" w:w="100"/>
              <w:bottom w:type="dxa" w:w="80"/>
              <w:right w:type="dxa" w:w="100"/>
            </w:tcMar>
            <w:vAlign w:val="top"/>
          </w:tcPr>
          <w:p>
            <w:pPr>
              <w:spacing w:after="0"/>
            </w:pPr>
            <w:r>
              <w:rPr>
                <w:sz w:val="19"/>
                <w:szCs w:val="19"/>
              </w:rPr>
              <w:t xml:space="preserve">Operator</w:t>
            </w:r>
          </w:p>
        </w:tc>
        <w:tc>
          <w:tcPr>
            <w:tcW w:type="dxa" w:w="2060"/>
            <w:tcMar>
              <w:top w:type="dxa" w:w="80"/>
              <w:left w:type="dxa" w:w="100"/>
              <w:bottom w:type="dxa" w:w="80"/>
              <w:right w:type="dxa" w:w="100"/>
            </w:tcMar>
            <w:vAlign w:val="top"/>
          </w:tcPr>
          <w:p>
            <w:pPr>
              <w:spacing w:after="0"/>
            </w:pPr>
            <w:r>
              <w:rPr>
                <w:sz w:val="19"/>
                <w:szCs w:val="19"/>
              </w:rPr>
              <w:t xml:space="preserve">Implemented in code; same caveat as Alert Centre</w:t>
            </w:r>
          </w:p>
        </w:tc>
      </w:tr>
      <w:tr>
        <w:tc>
          <w:tcPr>
            <w:tcW w:type="dxa" w:w="2400"/>
            <w:shd w:fill="F5F8FC" w:val="clear"/>
            <w:tcMar>
              <w:top w:type="dxa" w:w="80"/>
              <w:left w:type="dxa" w:w="100"/>
              <w:bottom w:type="dxa" w:w="80"/>
              <w:right w:type="dxa" w:w="100"/>
            </w:tcMar>
            <w:vAlign w:val="top"/>
          </w:tcPr>
          <w:p>
            <w:pPr>
              <w:spacing w:after="0"/>
            </w:pPr>
            <w:r>
              <w:rPr>
                <w:sz w:val="19"/>
                <w:szCs w:val="19"/>
              </w:rPr>
              <w:t xml:space="preserve">Admin Dashboard (features/admin)</w:t>
            </w:r>
          </w:p>
        </w:tc>
        <w:tc>
          <w:tcPr>
            <w:tcW w:type="dxa" w:w="3200"/>
            <w:shd w:fill="F5F8FC" w:val="clear"/>
            <w:tcMar>
              <w:top w:type="dxa" w:w="80"/>
              <w:left w:type="dxa" w:w="100"/>
              <w:bottom w:type="dxa" w:w="80"/>
              <w:right w:type="dxa" w:w="100"/>
            </w:tcMar>
            <w:vAlign w:val="top"/>
          </w:tcPr>
          <w:p>
            <w:pPr>
              <w:spacing w:after="0"/>
            </w:pPr>
            <w:r>
              <w:rPr>
                <w:sz w:val="19"/>
                <w:szCs w:val="19"/>
              </w:rPr>
              <w:t xml:space="preserve">System status, model-drift panels, RBAC matrix view.</w:t>
            </w:r>
          </w:p>
        </w:tc>
        <w:tc>
          <w:tcPr>
            <w:tcW w:type="dxa" w:w="1700"/>
            <w:shd w:fill="F5F8FC" w:val="clear"/>
            <w:tcMar>
              <w:top w:type="dxa" w:w="80"/>
              <w:left w:type="dxa" w:w="100"/>
              <w:bottom w:type="dxa" w:w="80"/>
              <w:right w:type="dxa" w:w="100"/>
            </w:tcMar>
            <w:vAlign w:val="top"/>
          </w:tcPr>
          <w:p>
            <w:pPr>
              <w:spacing w:after="0"/>
            </w:pPr>
            <w:r>
              <w:rPr>
                <w:sz w:val="19"/>
                <w:szCs w:val="19"/>
              </w:rPr>
              <w:t xml:space="preserve">Admin</w:t>
            </w:r>
          </w:p>
        </w:tc>
        <w:tc>
          <w:tcPr>
            <w:tcW w:type="dxa" w:w="2060"/>
            <w:shd w:fill="F5F8FC" w:val="clear"/>
            <w:tcMar>
              <w:top w:type="dxa" w:w="80"/>
              <w:left w:type="dxa" w:w="100"/>
              <w:bottom w:type="dxa" w:w="80"/>
              <w:right w:type="dxa" w:w="100"/>
            </w:tcMar>
            <w:vAlign w:val="top"/>
          </w:tcPr>
          <w:p>
            <w:pPr>
              <w:spacing w:after="0"/>
            </w:pPr>
            <w:r>
              <w:rPr>
                <w:sz w:val="19"/>
                <w:szCs w:val="19"/>
              </w:rPr>
              <w:t xml:space="preserve">Implemented in code; same caveat as Alert Centre</w:t>
            </w:r>
          </w:p>
        </w:tc>
      </w:tr>
    </w:tbl>
    <w:p>
      <w:pPr>
        <w:spacing w:after="200" w:before="80"/>
      </w:pPr>
      <w:r>
        <w:rPr>
          <w:b/>
          <w:bCs/>
          <w:i/>
          <w:iCs/>
          <w:sz w:val="20"/>
          <w:szCs w:val="20"/>
        </w:rPr>
        <w:t xml:space="preserve">Note: </w:t>
      </w:r>
      <w:r>
        <w:rPr>
          <w:i/>
          <w:iCs/>
          <w:color w:val="4A5568"/>
          <w:sz w:val="20"/>
          <w:szCs w:val="20"/>
        </w:rPr>
        <w:t xml:space="preserve">Per docs/phase-reports/phase-7-ops.md, the operational features (maintenance queue, Alert Centre, admin dashboard, sign-off/dispatch flow) are 'fully implemented and tested at the API/CLI layer, but not yet rendered as new dashboard screens' at the time of the Phase-7 freeze, to avoid churning pinned visual-regression baselines during that freeze. This SRS records both the underlying component files present in the repository and this explicitly documented rendering caveat; see Section 32 (Gap Analysis) for the resolution options the repository itself proposes.</w:t>
      </w:r>
    </w:p>
    <w:p>
      <w:pPr>
        <w:pStyle w:val="Heading2"/>
        <w:spacing w:after="150" w:before="300"/>
      </w:pPr>
      <w:r>
        <w:t xml:space="preserve">12.2 Forms and Actions</w:t>
      </w:r>
    </w:p>
    <w:p>
      <w:pPr>
        <w:pStyle w:val="ListParagraph"/>
        <w:numPr>
          <w:ilvl w:val="0"/>
          <w:numId w:val="1"/>
        </w:numPr>
        <w:spacing w:after="80" w:line="264"/>
      </w:pPr>
      <w:r>
        <w:t xml:space="preserve">Sign-in: API key entry (SignInScreen/SignInGate).</w:t>
      </w:r>
    </w:p>
    <w:p>
      <w:pPr>
        <w:pStyle w:val="ListParagraph"/>
        <w:numPr>
          <w:ilvl w:val="0"/>
          <w:numId w:val="1"/>
        </w:numPr>
        <w:spacing w:after="80" w:line="264"/>
      </w:pPr>
      <w:r>
        <w:t xml:space="preserve">Maintenance transition: status change with an operator note (MaintenanceQueue -&gt; POST /v1/maintenance/{id}/transition).</w:t>
      </w:r>
    </w:p>
    <w:p>
      <w:pPr>
        <w:pStyle w:val="ListParagraph"/>
        <w:numPr>
          <w:ilvl w:val="0"/>
          <w:numId w:val="1"/>
        </w:numPr>
        <w:spacing w:after="80" w:line="264"/>
      </w:pPr>
      <w:r>
        <w:t xml:space="preserve">Sign-off: evidence review and authorisation (SignoffPanel -&gt; POST /v1/decision/signoff).</w:t>
      </w:r>
    </w:p>
    <w:p>
      <w:pPr>
        <w:pStyle w:val="Heading2"/>
        <w:spacing w:after="150" w:before="300"/>
      </w:pPr>
      <w:r>
        <w:t xml:space="preserve">12.3 Tables, Charts, and Maps</w:t>
      </w:r>
    </w:p>
    <w:p>
      <w:pPr>
        <w:pStyle w:val="ListParagraph"/>
        <w:numPr>
          <w:ilvl w:val="0"/>
          <w:numId w:val="1"/>
        </w:numPr>
        <w:spacing w:after="80" w:line="264"/>
      </w:pPr>
      <w:r>
        <w:t xml:space="preserve">DataTable — the shared tabular component used across defect, reading, and event lists.</w:t>
      </w:r>
    </w:p>
    <w:p>
      <w:pPr>
        <w:pStyle w:val="ListParagraph"/>
        <w:numPr>
          <w:ilvl w:val="0"/>
          <w:numId w:val="1"/>
        </w:numPr>
        <w:spacing w:after="80" w:line="264"/>
      </w:pPr>
      <w:r>
        <w:t xml:space="preserve">Sparkline and TrustBreakdown/FactorBreakdown — Recharts-based trust visualisation.</w:t>
      </w:r>
    </w:p>
    <w:p>
      <w:pPr>
        <w:pStyle w:val="ListParagraph"/>
        <w:numPr>
          <w:ilvl w:val="0"/>
          <w:numId w:val="1"/>
        </w:numPr>
        <w:spacing w:after="80" w:line="264"/>
      </w:pPr>
      <w:r>
        <w:t xml:space="preserve">NetworkMap/MapOverlays/windEdges/stationMarkers — MapLibre GL-based spatial visualisation with a wind-edge overlay.</w:t>
      </w:r>
    </w:p>
    <w:p>
      <w:pPr>
        <w:pStyle w:val="Heading2"/>
        <w:spacing w:after="150" w:before="300"/>
      </w:pPr>
      <w:r>
        <w:t xml:space="preserve">12.4 Loading, Empty, and Error States</w:t>
      </w:r>
    </w:p>
    <w:p>
      <w:pPr>
        <w:spacing w:after="160" w:line="276"/>
      </w:pPr>
      <w:r>
        <w:t xml:space="preserve">A dedicated shared module (src/components/States.tsx, StateGlyph.tsx) defines the loading/empty/error presentation used consistently across data-bound views, so an unavailable API response renders a documented state rather than an unhandled blank screen or crash.</w:t>
      </w:r>
    </w:p>
    <w:p>
      <w:pPr>
        <w:pStyle w:val="Heading2"/>
        <w:spacing w:after="150" w:before="300"/>
      </w:pPr>
      <w:r>
        <w:t xml:space="preserve">12.5 Responsive Behaviour and Accessibility</w:t>
      </w:r>
    </w:p>
    <w:p>
      <w:pPr>
        <w:spacing w:after="160" w:line="276"/>
      </w:pPr>
      <w:r>
        <w:t xml:space="preserve">Tailwind CSS (apps/web dependency) is used for styling, which supports responsive layout, though no explicit responsive-breakpoint test suite was found in the reviewed frontend tests. Accessibility is addressed through automated axe-core scanning integrated into the Playwright end-to-end suite (@axe-core/playwright dependency); no documented WCAG conformance target (e.g., AA) was found — see NFR-017.</w:t>
      </w:r>
    </w:p>
    <w:p>
      <w:r>
        <w:br w:type="page"/>
      </w:r>
    </w:p>
    <w:p>
      <w:pPr>
        <w:pStyle w:val="Heading1"/>
        <w:spacing w:after="200" w:before="400"/>
      </w:pPr>
      <w:r>
        <w:t xml:space="preserve">13. Non-Functional Requirements</w:t>
      </w:r>
    </w:p>
    <w:p>
      <w:pPr>
        <w:spacing w:after="160" w:line="276"/>
      </w:pPr>
      <w:r>
        <w:t xml:space="preserve">Requirements below are grouped by IEEE 29148 non-functional category and numbered NFR-001 onward. Where no numeric target could be established from the repository, this is stated explicitly as 'TBD — Product/Engineering Decision Required' rather than an invented figure.</w:t>
      </w:r>
    </w:p>
    <w:p>
      <w:pPr>
        <w:pStyle w:val="Heading2"/>
        <w:spacing w:after="150" w:before="300"/>
      </w:pPr>
      <w:r>
        <w:t xml:space="preserve">13.1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NFR-001</w:t>
            </w:r>
          </w:p>
        </w:tc>
        <w:tc>
          <w:tcPr>
            <w:tcW w:type="dxa" w:w="5900"/>
            <w:tcMar>
              <w:top w:type="dxa" w:w="80"/>
              <w:left w:type="dxa" w:w="100"/>
              <w:bottom w:type="dxa" w:w="80"/>
              <w:right w:type="dxa" w:w="100"/>
            </w:tcMar>
            <w:vAlign w:val="top"/>
          </w:tcPr>
          <w:p>
            <w:pPr>
              <w:spacing w:after="0"/>
            </w:pPr>
            <w:r>
              <w:rPr>
                <w:sz w:val="19"/>
                <w:szCs w:val="19"/>
              </w:rPr>
              <w:t xml:space="preserve">The system shall serve read endpoints (stations, trust, readings, defects) against the demo corpus (149,683 readings, 18 stations, 30 days) with response times suitable for interactive dashboard use under the load-smoke scenario (50 concurrent clients, all succeeding).</w:t>
            </w:r>
          </w:p>
        </w:tc>
        <w:tc>
          <w:tcPr>
            <w:tcW w:type="dxa" w:w="2260"/>
            <w:shd w:fill="FEF6E7" w:val="clear"/>
            <w:tcMar>
              <w:top w:type="dxa" w:w="80"/>
              <w:left w:type="dxa" w:w="100"/>
              <w:bottom w:type="dxa" w:w="80"/>
              <w:right w:type="dxa" w:w="100"/>
            </w:tcMar>
            <w:vAlign w:val="top"/>
          </w:tcPr>
          <w:p>
            <w:pPr>
              <w:spacing w:after="0"/>
            </w:pPr>
            <w:r>
              <w:rPr>
                <w:sz w:val="19"/>
                <w:szCs w:val="19"/>
              </w:rPr>
              <w:t xml:space="preserve">Partially Implemented
docs/phase-reports/phase-7-ops.md (load smoke test); no published numeric latency SLO.</w:t>
            </w:r>
          </w:p>
        </w:tc>
      </w:tr>
      <w:tr>
        <w:tc>
          <w:tcPr>
            <w:tcW w:type="dxa" w:w="1200"/>
            <w:tcMar>
              <w:top w:type="dxa" w:w="80"/>
              <w:left w:type="dxa" w:w="100"/>
              <w:bottom w:type="dxa" w:w="80"/>
              <w:right w:type="dxa" w:w="100"/>
            </w:tcMar>
            <w:vAlign w:val="top"/>
          </w:tcPr>
          <w:p>
            <w:pPr>
              <w:spacing w:after="0"/>
            </w:pPr>
            <w:r>
              <w:rPr>
                <w:sz w:val="19"/>
                <w:szCs w:val="19"/>
              </w:rPr>
              <w:t xml:space="preserve">NFR-002</w:t>
            </w:r>
          </w:p>
        </w:tc>
        <w:tc>
          <w:tcPr>
            <w:tcW w:type="dxa" w:w="5900"/>
            <w:tcMar>
              <w:top w:type="dxa" w:w="80"/>
              <w:left w:type="dxa" w:w="100"/>
              <w:bottom w:type="dxa" w:w="80"/>
              <w:right w:type="dxa" w:w="100"/>
            </w:tcMar>
            <w:vAlign w:val="top"/>
          </w:tcPr>
          <w:p>
            <w:pPr>
              <w:spacing w:after="0"/>
            </w:pPr>
            <w:r>
              <w:rPr>
                <w:sz w:val="19"/>
                <w:szCs w:val="19"/>
              </w:rPr>
              <w:t xml:space="preserve">Numeric response-time and throughput targets beyond the load-smoke pass/fail check are TBD — Product/Engineering Decision Required.</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No SLA/SLO document found in the repository.</w:t>
            </w:r>
          </w:p>
        </w:tc>
      </w:tr>
    </w:tbl>
    <w:p>
      <w:pPr>
        <w:spacing w:after="200"/>
      </w:pPr>
    </w:p>
    <w:p>
      <w:pPr>
        <w:pStyle w:val="Heading2"/>
        <w:spacing w:after="150" w:before="300"/>
      </w:pPr>
      <w:r>
        <w:t xml:space="preserve">13.2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NFR-003</w:t>
            </w:r>
          </w:p>
        </w:tc>
        <w:tc>
          <w:tcPr>
            <w:tcW w:type="dxa" w:w="5900"/>
            <w:tcMar>
              <w:top w:type="dxa" w:w="80"/>
              <w:left w:type="dxa" w:w="100"/>
              <w:bottom w:type="dxa" w:w="80"/>
              <w:right w:type="dxa" w:w="100"/>
            </w:tcMar>
            <w:vAlign w:val="top"/>
          </w:tcPr>
          <w:p>
            <w:pPr>
              <w:spacing w:after="0"/>
            </w:pPr>
            <w:r>
              <w:rPr>
                <w:sz w:val="19"/>
                <w:szCs w:val="19"/>
              </w:rPr>
              <w:t xml:space="preserve">The database layer shall use TimescaleDB hypertables (readings, trust_scores, residuals chunked by day) to support time-range queries at greater station counts and longer retention without a schema change.</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infra/alembic/versions/0001_initial.py; src/provenance/io/db/models.py docstrings on hypertable design.</w:t>
            </w:r>
          </w:p>
        </w:tc>
      </w:tr>
      <w:tr>
        <w:tc>
          <w:tcPr>
            <w:tcW w:type="dxa" w:w="1200"/>
            <w:tcMar>
              <w:top w:type="dxa" w:w="80"/>
              <w:left w:type="dxa" w:w="100"/>
              <w:bottom w:type="dxa" w:w="80"/>
              <w:right w:type="dxa" w:w="100"/>
            </w:tcMar>
            <w:vAlign w:val="top"/>
          </w:tcPr>
          <w:p>
            <w:pPr>
              <w:spacing w:after="0"/>
            </w:pPr>
            <w:r>
              <w:rPr>
                <w:sz w:val="19"/>
                <w:szCs w:val="19"/>
              </w:rPr>
              <w:t xml:space="preserve">NFR-004</w:t>
            </w:r>
          </w:p>
        </w:tc>
        <w:tc>
          <w:tcPr>
            <w:tcW w:type="dxa" w:w="5900"/>
            <w:tcMar>
              <w:top w:type="dxa" w:w="80"/>
              <w:left w:type="dxa" w:w="100"/>
              <w:bottom w:type="dxa" w:w="80"/>
              <w:right w:type="dxa" w:w="100"/>
            </w:tcMar>
            <w:vAlign w:val="top"/>
          </w:tcPr>
          <w:p>
            <w:pPr>
              <w:spacing w:after="0"/>
            </w:pPr>
            <w:r>
              <w:rPr>
                <w:sz w:val="19"/>
                <w:szCs w:val="19"/>
              </w:rPr>
              <w:t xml:space="preserve">Horizontal scaling beyond a single Docker Compose deployment (e.g., Kubernetes, connection pooling at scale) is a stated future direction and is not implemented.</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infra/k8s/README.md ('deliberately empty ... the stated production path, not the demo path').</w:t>
            </w:r>
          </w:p>
        </w:tc>
      </w:tr>
    </w:tbl>
    <w:p>
      <w:pPr>
        <w:spacing w:after="200"/>
      </w:pPr>
    </w:p>
    <w:p>
      <w:pPr>
        <w:pStyle w:val="Heading2"/>
        <w:spacing w:after="150" w:before="300"/>
      </w:pPr>
      <w:r>
        <w:t xml:space="preserve">13.3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NFR-005</w:t>
            </w:r>
          </w:p>
        </w:tc>
        <w:tc>
          <w:tcPr>
            <w:tcW w:type="dxa" w:w="5900"/>
            <w:tcMar>
              <w:top w:type="dxa" w:w="80"/>
              <w:left w:type="dxa" w:w="100"/>
              <w:bottom w:type="dxa" w:w="80"/>
              <w:right w:type="dxa" w:w="100"/>
            </w:tcMar>
            <w:vAlign w:val="top"/>
          </w:tcPr>
          <w:p>
            <w:pPr>
              <w:spacing w:after="0"/>
            </w:pPr>
            <w:r>
              <w:rPr>
                <w:sz w:val="19"/>
                <w:szCs w:val="19"/>
              </w:rPr>
              <w:t xml:space="preserve">The API shall expose unauthenticated liveness and readiness probes (/healthz, /readyz) suitable for container orchestration health checks.</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src/provenance/api/routers/meta.py; infra/compose/docker-compose.yml (api healthcheck).</w:t>
            </w:r>
          </w:p>
        </w:tc>
      </w:tr>
      <w:tr>
        <w:tc>
          <w:tcPr>
            <w:tcW w:type="dxa" w:w="1200"/>
            <w:tcMar>
              <w:top w:type="dxa" w:w="80"/>
              <w:left w:type="dxa" w:w="100"/>
              <w:bottom w:type="dxa" w:w="80"/>
              <w:right w:type="dxa" w:w="100"/>
            </w:tcMar>
            <w:vAlign w:val="top"/>
          </w:tcPr>
          <w:p>
            <w:pPr>
              <w:spacing w:after="0"/>
            </w:pPr>
            <w:r>
              <w:rPr>
                <w:sz w:val="19"/>
                <w:szCs w:val="19"/>
              </w:rPr>
              <w:t xml:space="preserve">NFR-006</w:t>
            </w:r>
          </w:p>
        </w:tc>
        <w:tc>
          <w:tcPr>
            <w:tcW w:type="dxa" w:w="5900"/>
            <w:tcMar>
              <w:top w:type="dxa" w:w="80"/>
              <w:left w:type="dxa" w:w="100"/>
              <w:bottom w:type="dxa" w:w="80"/>
              <w:right w:type="dxa" w:w="100"/>
            </w:tcMar>
            <w:vAlign w:val="top"/>
          </w:tcPr>
          <w:p>
            <w:pPr>
              <w:spacing w:after="0"/>
            </w:pPr>
            <w:r>
              <w:rPr>
                <w:sz w:val="19"/>
                <w:szCs w:val="19"/>
              </w:rPr>
              <w:t xml:space="preserve">A formal uptime/availability target (e.g., 99.9%) for a production deployment is TBD — Product/Engineering Decision Required.</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No SLA found; the project targets a competition demo, not a hosted production service.</w:t>
            </w:r>
          </w:p>
        </w:tc>
      </w:tr>
    </w:tbl>
    <w:p>
      <w:pPr>
        <w:spacing w:after="200"/>
      </w:pPr>
    </w:p>
    <w:p>
      <w:pPr>
        <w:pStyle w:val="Heading2"/>
        <w:spacing w:after="150" w:before="300"/>
      </w:pPr>
      <w:r>
        <w:t xml:space="preserve">13.4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NFR-007</w:t>
            </w:r>
          </w:p>
        </w:tc>
        <w:tc>
          <w:tcPr>
            <w:tcW w:type="dxa" w:w="5900"/>
            <w:tcMar>
              <w:top w:type="dxa" w:w="80"/>
              <w:left w:type="dxa" w:w="100"/>
              <w:bottom w:type="dxa" w:w="80"/>
              <w:right w:type="dxa" w:w="100"/>
            </w:tcMar>
            <w:vAlign w:val="top"/>
          </w:tcPr>
          <w:p>
            <w:pPr>
              <w:spacing w:after="0"/>
            </w:pPr>
            <w:r>
              <w:rPr>
                <w:sz w:val="19"/>
                <w:szCs w:val="19"/>
              </w:rPr>
              <w:t xml:space="preserve">Data ingestion shall be idempotent (byte-identical re-load is a no-op) and audit runs shall be reproducible, keyed by code_version, config_hash, and data_checksum.</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src/provenance/io/db/loader.py; src/provenance/io/db/models.py (AuditRun fields).</w:t>
            </w:r>
          </w:p>
        </w:tc>
      </w:tr>
      <w:tr>
        <w:tc>
          <w:tcPr>
            <w:tcW w:type="dxa" w:w="1200"/>
            <w:tcMar>
              <w:top w:type="dxa" w:w="80"/>
              <w:left w:type="dxa" w:w="100"/>
              <w:bottom w:type="dxa" w:w="80"/>
              <w:right w:type="dxa" w:w="100"/>
            </w:tcMar>
            <w:vAlign w:val="top"/>
          </w:tcPr>
          <w:p>
            <w:pPr>
              <w:spacing w:after="0"/>
            </w:pPr>
            <w:r>
              <w:rPr>
                <w:sz w:val="19"/>
                <w:szCs w:val="19"/>
              </w:rPr>
              <w:t xml:space="preserve">NFR-008</w:t>
            </w:r>
          </w:p>
        </w:tc>
        <w:tc>
          <w:tcPr>
            <w:tcW w:type="dxa" w:w="5900"/>
            <w:tcMar>
              <w:top w:type="dxa" w:w="80"/>
              <w:left w:type="dxa" w:w="100"/>
              <w:bottom w:type="dxa" w:w="80"/>
              <w:right w:type="dxa" w:w="100"/>
            </w:tcMar>
            <w:vAlign w:val="top"/>
          </w:tcPr>
          <w:p>
            <w:pPr>
              <w:spacing w:after="0"/>
            </w:pPr>
            <w:r>
              <w:rPr>
                <w:sz w:val="19"/>
                <w:szCs w:val="19"/>
              </w:rPr>
              <w:t xml:space="preserve">Public-facing dispatch shall be idempotent under retry and under concurrency, verified by dedicated tests.</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src/provenance/api/decision/channels.py; docs/phase-reports/phase-7-ops.md (dispatch idempotency test).</w:t>
            </w:r>
          </w:p>
        </w:tc>
      </w:tr>
    </w:tbl>
    <w:p>
      <w:pPr>
        <w:spacing w:after="200"/>
      </w:pPr>
    </w:p>
    <w:p>
      <w:pPr>
        <w:pStyle w:val="Heading2"/>
        <w:spacing w:after="150" w:before="300"/>
      </w:pPr>
      <w:r>
        <w:t xml:space="preserve">13.5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NFR-009</w:t>
            </w:r>
          </w:p>
        </w:tc>
        <w:tc>
          <w:tcPr>
            <w:tcW w:type="dxa" w:w="5900"/>
            <w:tcMar>
              <w:top w:type="dxa" w:w="80"/>
              <w:left w:type="dxa" w:w="100"/>
              <w:bottom w:type="dxa" w:w="80"/>
              <w:right w:type="dxa" w:w="100"/>
            </w:tcMar>
            <w:vAlign w:val="top"/>
          </w:tcPr>
          <w:p>
            <w:pPr>
              <w:spacing w:after="0"/>
            </w:pPr>
            <w:r>
              <w:rPr>
                <w:sz w:val="19"/>
                <w:szCs w:val="19"/>
              </w:rPr>
              <w:t xml:space="preserve">Every non-meta API endpoint shall require a valid API key resolved to one of four hierarchical roles, enforced by a single shared dependency (`require(role)`).</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src/provenance/api/auth.py; src/provenance/api/deps.py.</w:t>
            </w:r>
          </w:p>
        </w:tc>
      </w:tr>
      <w:tr>
        <w:tc>
          <w:tcPr>
            <w:tcW w:type="dxa" w:w="1200"/>
            <w:tcMar>
              <w:top w:type="dxa" w:w="80"/>
              <w:left w:type="dxa" w:w="100"/>
              <w:bottom w:type="dxa" w:w="80"/>
              <w:right w:type="dxa" w:w="100"/>
            </w:tcMar>
            <w:vAlign w:val="top"/>
          </w:tcPr>
          <w:p>
            <w:pPr>
              <w:spacing w:after="0"/>
            </w:pPr>
            <w:r>
              <w:rPr>
                <w:sz w:val="19"/>
                <w:szCs w:val="19"/>
              </w:rPr>
              <w:t xml:space="preserve">NFR-010</w:t>
            </w:r>
          </w:p>
        </w:tc>
        <w:tc>
          <w:tcPr>
            <w:tcW w:type="dxa" w:w="5900"/>
            <w:tcMar>
              <w:top w:type="dxa" w:w="80"/>
              <w:left w:type="dxa" w:w="100"/>
              <w:bottom w:type="dxa" w:w="80"/>
              <w:right w:type="dxa" w:w="100"/>
            </w:tcMar>
            <w:vAlign w:val="top"/>
          </w:tcPr>
          <w:p>
            <w:pPr>
              <w:spacing w:after="0"/>
            </w:pPr>
            <w:r>
              <w:rPr>
                <w:sz w:val="19"/>
                <w:szCs w:val="19"/>
              </w:rPr>
              <w:t xml:space="preserve">Cross-origin requests shall be restricted to an explicit allow-list of origins; the API shall never use a wildcard CORS origin given header-based authentication.</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src/provenance/api/app.py (CORSMiddleware configuration and rationale comment).</w:t>
            </w:r>
          </w:p>
        </w:tc>
      </w:tr>
      <w:tr>
        <w:tc>
          <w:tcPr>
            <w:tcW w:type="dxa" w:w="1200"/>
            <w:tcMar>
              <w:top w:type="dxa" w:w="80"/>
              <w:left w:type="dxa" w:w="100"/>
              <w:bottom w:type="dxa" w:w="80"/>
              <w:right w:type="dxa" w:w="100"/>
            </w:tcMar>
            <w:vAlign w:val="top"/>
          </w:tcPr>
          <w:p>
            <w:pPr>
              <w:spacing w:after="0"/>
            </w:pPr>
            <w:r>
              <w:rPr>
                <w:sz w:val="19"/>
                <w:szCs w:val="19"/>
              </w:rPr>
              <w:t xml:space="preserve">NFR-011</w:t>
            </w:r>
          </w:p>
        </w:tc>
        <w:tc>
          <w:tcPr>
            <w:tcW w:type="dxa" w:w="5900"/>
            <w:tcMar>
              <w:top w:type="dxa" w:w="80"/>
              <w:left w:type="dxa" w:w="100"/>
              <w:bottom w:type="dxa" w:w="80"/>
              <w:right w:type="dxa" w:w="100"/>
            </w:tcMar>
            <w:vAlign w:val="top"/>
          </w:tcPr>
          <w:p>
            <w:pPr>
              <w:spacing w:after="0"/>
            </w:pPr>
            <w:r>
              <w:rPr>
                <w:sz w:val="19"/>
                <w:szCs w:val="19"/>
              </w:rPr>
              <w:t xml:space="preserve">A full transition to OIDC-based authentication (the RBAC matrix is already OIDC-shaped) is a recorded future migration, not yet implemented.</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docs/decisions/0004-api-auth-phase2.md; docs/decisions/0010-signoff-and-rbac-phase7.md.</w:t>
            </w:r>
          </w:p>
        </w:tc>
      </w:tr>
    </w:tbl>
    <w:p>
      <w:pPr>
        <w:spacing w:after="200"/>
      </w:pPr>
    </w:p>
    <w:p>
      <w:pPr>
        <w:pStyle w:val="Heading2"/>
        <w:spacing w:after="150" w:before="300"/>
      </w:pPr>
      <w:r>
        <w:t xml:space="preserve">13.6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NFR-012</w:t>
            </w:r>
          </w:p>
        </w:tc>
        <w:tc>
          <w:tcPr>
            <w:tcW w:type="dxa" w:w="5900"/>
            <w:tcMar>
              <w:top w:type="dxa" w:w="80"/>
              <w:left w:type="dxa" w:w="100"/>
              <w:bottom w:type="dxa" w:w="80"/>
              <w:right w:type="dxa" w:w="100"/>
            </w:tcMar>
            <w:vAlign w:val="top"/>
          </w:tcPr>
          <w:p>
            <w:pPr>
              <w:spacing w:after="0"/>
            </w:pPr>
            <w:r>
              <w:rPr>
                <w:sz w:val="19"/>
                <w:szCs w:val="19"/>
              </w:rPr>
              <w:t xml:space="preserve">The system shall not commit raw or interim environmental datasets to source control; data directories are git-ignored and enforced by a CI check, and only manifests/checksums are shared.</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data/README.md; .gitignore (data/raw, interim, processed).</w:t>
            </w:r>
          </w:p>
        </w:tc>
      </w:tr>
    </w:tbl>
    <w:p>
      <w:pPr>
        <w:spacing w:after="200"/>
      </w:pPr>
    </w:p>
    <w:p>
      <w:pPr>
        <w:pStyle w:val="Heading2"/>
        <w:spacing w:after="150" w:before="300"/>
      </w:pPr>
      <w:r>
        <w:t xml:space="preserve">13.7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NFR-013</w:t>
            </w:r>
          </w:p>
        </w:tc>
        <w:tc>
          <w:tcPr>
            <w:tcW w:type="dxa" w:w="5900"/>
            <w:tcMar>
              <w:top w:type="dxa" w:w="80"/>
              <w:left w:type="dxa" w:w="100"/>
              <w:bottom w:type="dxa" w:w="80"/>
              <w:right w:type="dxa" w:w="100"/>
            </w:tcMar>
            <w:vAlign w:val="top"/>
          </w:tcPr>
          <w:p>
            <w:pPr>
              <w:spacing w:after="0"/>
            </w:pPr>
            <w:r>
              <w:rPr>
                <w:sz w:val="19"/>
                <w:szCs w:val="19"/>
              </w:rPr>
              <w:t xml:space="preserve">The backend shall enforce strict static typing (mypy --strict) and linting (ruff) as a merge gate, and shall maintain a minimum automated test coverage of 88% (measured 90.57% at the phase-7 freeze).</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Makefile (`make check`); pyproject.toml ([tool.ruff], mypy config); .github/workflows/ci.yml; docs/phase-reports/phase-7-ops.md.</w:t>
            </w:r>
          </w:p>
        </w:tc>
      </w:tr>
      <w:tr>
        <w:tc>
          <w:tcPr>
            <w:tcW w:type="dxa" w:w="1200"/>
            <w:tcMar>
              <w:top w:type="dxa" w:w="80"/>
              <w:left w:type="dxa" w:w="100"/>
              <w:bottom w:type="dxa" w:w="80"/>
              <w:right w:type="dxa" w:w="100"/>
            </w:tcMar>
            <w:vAlign w:val="top"/>
          </w:tcPr>
          <w:p>
            <w:pPr>
              <w:spacing w:after="0"/>
            </w:pPr>
            <w:r>
              <w:rPr>
                <w:sz w:val="19"/>
                <w:szCs w:val="19"/>
              </w:rPr>
              <w:t xml:space="preserve">NFR-014</w:t>
            </w:r>
          </w:p>
        </w:tc>
        <w:tc>
          <w:tcPr>
            <w:tcW w:type="dxa" w:w="5900"/>
            <w:tcMar>
              <w:top w:type="dxa" w:w="80"/>
              <w:left w:type="dxa" w:w="100"/>
              <w:bottom w:type="dxa" w:w="80"/>
              <w:right w:type="dxa" w:w="100"/>
            </w:tcMar>
            <w:vAlign w:val="top"/>
          </w:tcPr>
          <w:p>
            <w:pPr>
              <w:spacing w:after="0"/>
            </w:pPr>
            <w:r>
              <w:rPr>
                <w:sz w:val="19"/>
                <w:szCs w:val="19"/>
              </w:rPr>
              <w:t xml:space="preserve">A structural architecture test suite shall enforce module-layering rules (e.g., `io` may not import `graph` or `models` directly) so the pipeline's stated dependency order (io -&gt; schema -&gt; grid -&gt; detectors -&gt; audit -&gt; trust -&gt; graph -&gt; models -&gt; explain) cannot silently invert.</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tests/architecture/; src/provenance/trust/imputation.py (layering rationale comment).</w:t>
            </w:r>
          </w:p>
        </w:tc>
      </w:tr>
    </w:tbl>
    <w:p>
      <w:pPr>
        <w:spacing w:after="200"/>
      </w:pPr>
    </w:p>
    <w:p>
      <w:pPr>
        <w:pStyle w:val="Heading2"/>
        <w:spacing w:after="150" w:before="300"/>
      </w:pPr>
      <w:r>
        <w:t xml:space="preserve">13.8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NFR-015</w:t>
            </w:r>
          </w:p>
        </w:tc>
        <w:tc>
          <w:tcPr>
            <w:tcW w:type="dxa" w:w="5900"/>
            <w:tcMar>
              <w:top w:type="dxa" w:w="80"/>
              <w:left w:type="dxa" w:w="100"/>
              <w:bottom w:type="dxa" w:w="80"/>
              <w:right w:type="dxa" w:w="100"/>
            </w:tcMar>
            <w:vAlign w:val="top"/>
          </w:tcPr>
          <w:p>
            <w:pPr>
              <w:spacing w:after="0"/>
            </w:pPr>
            <w:r>
              <w:rPr>
                <w:sz w:val="19"/>
                <w:szCs w:val="19"/>
              </w:rPr>
              <w:t xml:space="preserve">The dashboard shall define explicit, reusable loading, empty, and error states for every data-bound view rather than an unhandled blank screen.</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apps/web/src/components/{States,StateGlyph}.tsx.</w:t>
            </w:r>
          </w:p>
        </w:tc>
      </w:tr>
    </w:tbl>
    <w:p>
      <w:pPr>
        <w:spacing w:after="200"/>
      </w:pPr>
    </w:p>
    <w:p>
      <w:pPr>
        <w:pStyle w:val="Heading2"/>
        <w:spacing w:after="150" w:before="300"/>
      </w:pPr>
      <w:r>
        <w:t xml:space="preserve">13.9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NFR-016</w:t>
            </w:r>
          </w:p>
        </w:tc>
        <w:tc>
          <w:tcPr>
            <w:tcW w:type="dxa" w:w="5900"/>
            <w:tcMar>
              <w:top w:type="dxa" w:w="80"/>
              <w:left w:type="dxa" w:w="100"/>
              <w:bottom w:type="dxa" w:w="80"/>
              <w:right w:type="dxa" w:w="100"/>
            </w:tcMar>
            <w:vAlign w:val="top"/>
          </w:tcPr>
          <w:p>
            <w:pPr>
              <w:spacing w:after="0"/>
            </w:pPr>
            <w:r>
              <w:rPr>
                <w:sz w:val="19"/>
                <w:szCs w:val="19"/>
              </w:rPr>
              <w:t xml:space="preserve">The frontend test suite shall include automated accessibility scanning (axe-core) as part of the Playwright end-to-end suite.</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apps/web/package.json (@axe-core/playwright dependency).</w:t>
            </w:r>
          </w:p>
        </w:tc>
      </w:tr>
      <w:tr>
        <w:tc>
          <w:tcPr>
            <w:tcW w:type="dxa" w:w="1200"/>
            <w:tcMar>
              <w:top w:type="dxa" w:w="80"/>
              <w:left w:type="dxa" w:w="100"/>
              <w:bottom w:type="dxa" w:w="80"/>
              <w:right w:type="dxa" w:w="100"/>
            </w:tcMar>
            <w:vAlign w:val="top"/>
          </w:tcPr>
          <w:p>
            <w:pPr>
              <w:spacing w:after="0"/>
            </w:pPr>
            <w:r>
              <w:rPr>
                <w:sz w:val="19"/>
                <w:szCs w:val="19"/>
              </w:rPr>
              <w:t xml:space="preserve">NFR-017</w:t>
            </w:r>
          </w:p>
        </w:tc>
        <w:tc>
          <w:tcPr>
            <w:tcW w:type="dxa" w:w="5900"/>
            <w:tcMar>
              <w:top w:type="dxa" w:w="80"/>
              <w:left w:type="dxa" w:w="100"/>
              <w:bottom w:type="dxa" w:w="80"/>
              <w:right w:type="dxa" w:w="100"/>
            </w:tcMar>
            <w:vAlign w:val="top"/>
          </w:tcPr>
          <w:p>
            <w:pPr>
              <w:spacing w:after="0"/>
            </w:pPr>
            <w:r>
              <w:rPr>
                <w:sz w:val="19"/>
                <w:szCs w:val="19"/>
              </w:rPr>
              <w:t xml:space="preserve">A documented accessibility conformance target (e.g., WCAG 2.1 AA) is not established in the repository.</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Unable to verify from available project evidence.</w:t>
            </w:r>
          </w:p>
        </w:tc>
      </w:tr>
    </w:tbl>
    <w:p>
      <w:pPr>
        <w:spacing w:after="200"/>
      </w:pPr>
    </w:p>
    <w:p>
      <w:pPr>
        <w:pStyle w:val="Heading2"/>
        <w:spacing w:after="150" w:before="300"/>
      </w:pPr>
      <w:r>
        <w:t xml:space="preserve">13.10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NFR-018</w:t>
            </w:r>
          </w:p>
        </w:tc>
        <w:tc>
          <w:tcPr>
            <w:tcW w:type="dxa" w:w="5900"/>
            <w:tcMar>
              <w:top w:type="dxa" w:w="80"/>
              <w:left w:type="dxa" w:w="100"/>
              <w:bottom w:type="dxa" w:w="80"/>
              <w:right w:type="dxa" w:w="100"/>
            </w:tcMar>
            <w:vAlign w:val="top"/>
          </w:tcPr>
          <w:p>
            <w:pPr>
              <w:spacing w:after="0"/>
            </w:pPr>
            <w:r>
              <w:rPr>
                <w:sz w:val="19"/>
                <w:szCs w:val="19"/>
              </w:rPr>
              <w:t xml:space="preserve">The backend shall run on Python 3.12 and the frontend on Node-based tooling (Vite 5, React 18, TypeScript 5.5), pinned in pyproject.toml and package.json.</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pyproject.toml (requires-python &gt;=3.12); apps/web/package.json.</w:t>
            </w:r>
          </w:p>
        </w:tc>
      </w:tr>
      <w:tr>
        <w:tc>
          <w:tcPr>
            <w:tcW w:type="dxa" w:w="1200"/>
            <w:tcMar>
              <w:top w:type="dxa" w:w="80"/>
              <w:left w:type="dxa" w:w="100"/>
              <w:bottom w:type="dxa" w:w="80"/>
              <w:right w:type="dxa" w:w="100"/>
            </w:tcMar>
            <w:vAlign w:val="top"/>
          </w:tcPr>
          <w:p>
            <w:pPr>
              <w:spacing w:after="0"/>
            </w:pPr>
            <w:r>
              <w:rPr>
                <w:sz w:val="19"/>
                <w:szCs w:val="19"/>
              </w:rPr>
              <w:t xml:space="preserve">NFR-019</w:t>
            </w:r>
          </w:p>
        </w:tc>
        <w:tc>
          <w:tcPr>
            <w:tcW w:type="dxa" w:w="5900"/>
            <w:tcMar>
              <w:top w:type="dxa" w:w="80"/>
              <w:left w:type="dxa" w:w="100"/>
              <w:bottom w:type="dxa" w:w="80"/>
              <w:right w:type="dxa" w:w="100"/>
            </w:tcMar>
            <w:vAlign w:val="top"/>
          </w:tcPr>
          <w:p>
            <w:pPr>
              <w:spacing w:after="0"/>
            </w:pPr>
            <w:r>
              <w:rPr>
                <w:sz w:val="19"/>
                <w:szCs w:val="19"/>
              </w:rPr>
              <w:t xml:space="preserve">The neural stack (torch, torch-geometric) shall run CPU-only in CI and support Apple Silicon (MPS) locally, with a documented single-threaded OpenMP workaround for a known macOS libomp collision.</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src/provenance/api/app.py (OMP_NUM_THREADS rationale); docs/decisions/0009-pyg-install.md.</w:t>
            </w:r>
          </w:p>
        </w:tc>
      </w:tr>
    </w:tbl>
    <w:p>
      <w:pPr>
        <w:spacing w:after="200"/>
      </w:pPr>
    </w:p>
    <w:p>
      <w:pPr>
        <w:pStyle w:val="Heading2"/>
        <w:spacing w:after="150" w:before="300"/>
      </w:pPr>
      <w:r>
        <w:t xml:space="preserve">13.11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NFR-020</w:t>
            </w:r>
          </w:p>
        </w:tc>
        <w:tc>
          <w:tcPr>
            <w:tcW w:type="dxa" w:w="5900"/>
            <w:tcMar>
              <w:top w:type="dxa" w:w="80"/>
              <w:left w:type="dxa" w:w="100"/>
              <w:bottom w:type="dxa" w:w="80"/>
              <w:right w:type="dxa" w:w="100"/>
            </w:tcMar>
            <w:vAlign w:val="top"/>
          </w:tcPr>
          <w:p>
            <w:pPr>
              <w:spacing w:after="0"/>
            </w:pPr>
            <w:r>
              <w:rPr>
                <w:sz w:val="19"/>
                <w:szCs w:val="19"/>
              </w:rPr>
              <w:t xml:space="preserve">The application shall be containerised (separate API and web Dockerfiles) and orchestrated locally via Docker Compose with health-checked service dependencies.</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infra/docker/{api,web}.Dockerfile; infra/compose/docker-compose.yml.</w:t>
            </w:r>
          </w:p>
        </w:tc>
      </w:tr>
      <w:tr>
        <w:tc>
          <w:tcPr>
            <w:tcW w:type="dxa" w:w="1200"/>
            <w:tcMar>
              <w:top w:type="dxa" w:w="80"/>
              <w:left w:type="dxa" w:w="100"/>
              <w:bottom w:type="dxa" w:w="80"/>
              <w:right w:type="dxa" w:w="100"/>
            </w:tcMar>
            <w:vAlign w:val="top"/>
          </w:tcPr>
          <w:p>
            <w:pPr>
              <w:spacing w:after="0"/>
            </w:pPr>
            <w:r>
              <w:rPr>
                <w:sz w:val="19"/>
                <w:szCs w:val="19"/>
              </w:rPr>
              <w:t xml:space="preserve">NFR-021</w:t>
            </w:r>
          </w:p>
        </w:tc>
        <w:tc>
          <w:tcPr>
            <w:tcW w:type="dxa" w:w="5900"/>
            <w:tcMar>
              <w:top w:type="dxa" w:w="80"/>
              <w:left w:type="dxa" w:w="100"/>
              <w:bottom w:type="dxa" w:w="80"/>
              <w:right w:type="dxa" w:w="100"/>
            </w:tcMar>
            <w:vAlign w:val="top"/>
          </w:tcPr>
          <w:p>
            <w:pPr>
              <w:spacing w:after="0"/>
            </w:pPr>
            <w:r>
              <w:rPr>
                <w:sz w:val="19"/>
                <w:szCs w:val="19"/>
              </w:rPr>
              <w:t xml:space="preserve">A Kubernetes deployment manifest set is a stated future production path and is not present beyond a placeholder directory.</w:t>
            </w:r>
          </w:p>
        </w:tc>
        <w:tc>
          <w:tcPr>
            <w:tcW w:type="dxa" w:w="2260"/>
            <w:shd w:fill="FDEAEA" w:val="clear"/>
            <w:tcMar>
              <w:top w:type="dxa" w:w="80"/>
              <w:left w:type="dxa" w:w="100"/>
              <w:bottom w:type="dxa" w:w="80"/>
              <w:right w:type="dxa" w:w="100"/>
            </w:tcMar>
            <w:vAlign w:val="top"/>
          </w:tcPr>
          <w:p>
            <w:pPr>
              <w:spacing w:after="0"/>
            </w:pPr>
            <w:r>
              <w:rPr>
                <w:sz w:val="19"/>
                <w:szCs w:val="19"/>
              </w:rPr>
              <w:t xml:space="preserve">Proposed / Future
infra/k8s/README.md.</w:t>
            </w:r>
          </w:p>
        </w:tc>
      </w:tr>
    </w:tbl>
    <w:p>
      <w:pPr>
        <w:spacing w:after="200"/>
      </w:pPr>
    </w:p>
    <w:p>
      <w:pPr>
        <w:pStyle w:val="Heading2"/>
        <w:spacing w:after="150" w:before="300"/>
      </w:pPr>
      <w:r>
        <w:t xml:space="preserve">13.12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NFR-022</w:t>
            </w:r>
          </w:p>
        </w:tc>
        <w:tc>
          <w:tcPr>
            <w:tcW w:type="dxa" w:w="5900"/>
            <w:tcMar>
              <w:top w:type="dxa" w:w="80"/>
              <w:left w:type="dxa" w:w="100"/>
              <w:bottom w:type="dxa" w:w="80"/>
              <w:right w:type="dxa" w:w="100"/>
            </w:tcMar>
            <w:vAlign w:val="top"/>
          </w:tcPr>
          <w:p>
            <w:pPr>
              <w:spacing w:after="0"/>
            </w:pPr>
            <w:r>
              <w:rPr>
                <w:sz w:val="19"/>
                <w:szCs w:val="19"/>
              </w:rPr>
              <w:t xml:space="preserve">The API shall expose a Prometheus-compatible /metrics endpoint timing every request, and shall attach a request-correlating X-Request-ID header via dedicated middleware.</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src/provenance/api/metrics.py; src/provenance/api/logging.py; infra/monitoring/prometheus.yml.</w:t>
            </w:r>
          </w:p>
        </w:tc>
      </w:tr>
      <w:tr>
        <w:tc>
          <w:tcPr>
            <w:tcW w:type="dxa" w:w="1200"/>
            <w:tcMar>
              <w:top w:type="dxa" w:w="80"/>
              <w:left w:type="dxa" w:w="100"/>
              <w:bottom w:type="dxa" w:w="80"/>
              <w:right w:type="dxa" w:w="100"/>
            </w:tcMar>
            <w:vAlign w:val="top"/>
          </w:tcPr>
          <w:p>
            <w:pPr>
              <w:spacing w:after="0"/>
            </w:pPr>
            <w:r>
              <w:rPr>
                <w:sz w:val="19"/>
                <w:szCs w:val="19"/>
              </w:rPr>
              <w:t xml:space="preserve">NFR-023</w:t>
            </w:r>
          </w:p>
        </w:tc>
        <w:tc>
          <w:tcPr>
            <w:tcW w:type="dxa" w:w="5900"/>
            <w:tcMar>
              <w:top w:type="dxa" w:w="80"/>
              <w:left w:type="dxa" w:w="100"/>
              <w:bottom w:type="dxa" w:w="80"/>
              <w:right w:type="dxa" w:w="100"/>
            </w:tcMar>
            <w:vAlign w:val="top"/>
          </w:tcPr>
          <w:p>
            <w:pPr>
              <w:spacing w:after="0"/>
            </w:pPr>
            <w:r>
              <w:rPr>
                <w:sz w:val="19"/>
                <w:szCs w:val="19"/>
              </w:rPr>
              <w:t xml:space="preserve">The system shall separate infrastructure-plane monitoring (request latency, error rate) from model-plane monitoring (R2/coverage/confusion, defect-rate drift) as two distinct Grafana dashboards.</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infra/monitoring/grafana-service-health.json; infra/monitoring/grafana-model-drift.json; docs/monitoring-v1.0-two-planes.md.</w:t>
            </w:r>
          </w:p>
        </w:tc>
      </w:tr>
    </w:tbl>
    <w:p>
      <w:pPr>
        <w:spacing w:after="200"/>
      </w:pPr>
    </w:p>
    <w:p>
      <w:pPr>
        <w:pStyle w:val="Heading2"/>
        <w:spacing w:after="150" w:before="300"/>
      </w:pPr>
      <w:r>
        <w:t xml:space="preserve">13.13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00"/>
        <w:gridCol w:w="2260"/>
      </w:tblGrid>
      <w:tr>
        <w:trPr>
          <w:tblHeader/>
        </w:trPr>
        <w:tc>
          <w:tcPr>
            <w:tcW w:type="dxa" w:w="1200"/>
            <w:shd w:fill="1B6AB8" w:val="clear"/>
            <w:tcMar>
              <w:top w:type="dxa" w:w="80"/>
              <w:left w:type="dxa" w:w="100"/>
              <w:bottom w:type="dxa" w:w="80"/>
              <w:right w:type="dxa" w:w="100"/>
            </w:tcMar>
            <w:vAlign w:val="top"/>
          </w:tcPr>
          <w:p>
            <w:pPr>
              <w:spacing w:after="0"/>
            </w:pPr>
            <w:r>
              <w:rPr>
                <w:b/>
                <w:bCs/>
                <w:color w:val="FFFFFF"/>
                <w:sz w:val="19"/>
                <w:szCs w:val="19"/>
              </w:rPr>
              <w:t xml:space="preserve">ID</w:t>
            </w:r>
          </w:p>
        </w:tc>
        <w:tc>
          <w:tcPr>
            <w:tcW w:type="dxa" w:w="59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260"/>
            <w:shd w:fill="1B6AB8" w:val="clear"/>
            <w:tcMar>
              <w:top w:type="dxa" w:w="80"/>
              <w:left w:type="dxa" w:w="100"/>
              <w:bottom w:type="dxa" w:w="80"/>
              <w:right w:type="dxa" w:w="100"/>
            </w:tcMar>
            <w:vAlign w:val="top"/>
          </w:tcPr>
          <w:p>
            <w:pPr>
              <w:spacing w:after="0"/>
            </w:pPr>
            <w:r>
              <w:rPr>
                <w:b/>
                <w:bCs/>
                <w:color w:val="FFFFFF"/>
                <w:sz w:val="19"/>
                <w:szCs w:val="19"/>
              </w:rPr>
              <w:t xml:space="preserve">Status / Evidence</w:t>
            </w:r>
          </w:p>
        </w:tc>
      </w:tr>
      <w:tr>
        <w:tc>
          <w:tcPr>
            <w:tcW w:type="dxa" w:w="1200"/>
            <w:tcMar>
              <w:top w:type="dxa" w:w="80"/>
              <w:left w:type="dxa" w:w="100"/>
              <w:bottom w:type="dxa" w:w="80"/>
              <w:right w:type="dxa" w:w="100"/>
            </w:tcMar>
            <w:vAlign w:val="top"/>
          </w:tcPr>
          <w:p>
            <w:pPr>
              <w:spacing w:after="0"/>
            </w:pPr>
            <w:r>
              <w:rPr>
                <w:sz w:val="19"/>
                <w:szCs w:val="19"/>
              </w:rPr>
              <w:t xml:space="preserve">NFR-024</w:t>
            </w:r>
          </w:p>
        </w:tc>
        <w:tc>
          <w:tcPr>
            <w:tcW w:type="dxa" w:w="5900"/>
            <w:tcMar>
              <w:top w:type="dxa" w:w="80"/>
              <w:left w:type="dxa" w:w="100"/>
              <w:bottom w:type="dxa" w:w="80"/>
              <w:right w:type="dxa" w:w="100"/>
            </w:tcMar>
            <w:vAlign w:val="top"/>
          </w:tcPr>
          <w:p>
            <w:pPr>
              <w:spacing w:after="0"/>
            </w:pPr>
            <w:r>
              <w:rPr>
                <w:sz w:val="19"/>
                <w:szCs w:val="19"/>
              </w:rPr>
              <w:t xml:space="preserve">Every persisted TrustScore row shall carry non-nullable component and reason-code columns, enforcing at the storage layer the same 'never a bare number' guarantee the API serialiser enforces on output.</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src/provenance/io/db/models.py (TrustScore: components, reason_codes not nullable).</w:t>
            </w:r>
          </w:p>
        </w:tc>
      </w:tr>
      <w:tr>
        <w:tc>
          <w:tcPr>
            <w:tcW w:type="dxa" w:w="1200"/>
            <w:tcMar>
              <w:top w:type="dxa" w:w="80"/>
              <w:left w:type="dxa" w:w="100"/>
              <w:bottom w:type="dxa" w:w="80"/>
              <w:right w:type="dxa" w:w="100"/>
            </w:tcMar>
            <w:vAlign w:val="top"/>
          </w:tcPr>
          <w:p>
            <w:pPr>
              <w:spacing w:after="0"/>
            </w:pPr>
            <w:r>
              <w:rPr>
                <w:sz w:val="19"/>
                <w:szCs w:val="19"/>
              </w:rPr>
              <w:t xml:space="preserve">NFR-025</w:t>
            </w:r>
          </w:p>
        </w:tc>
        <w:tc>
          <w:tcPr>
            <w:tcW w:type="dxa" w:w="5900"/>
            <w:tcMar>
              <w:top w:type="dxa" w:w="80"/>
              <w:left w:type="dxa" w:w="100"/>
              <w:bottom w:type="dxa" w:w="80"/>
              <w:right w:type="dxa" w:w="100"/>
            </w:tcMar>
            <w:vAlign w:val="top"/>
          </w:tcPr>
          <w:p>
            <w:pPr>
              <w:spacing w:after="0"/>
            </w:pPr>
            <w:r>
              <w:rPr>
                <w:sz w:val="19"/>
                <w:szCs w:val="19"/>
              </w:rPr>
              <w:t xml:space="preserve">Structured error responses shall follow RFC 7807 (Problem Details for HTTP APIs) across the API.</w:t>
            </w:r>
          </w:p>
        </w:tc>
        <w:tc>
          <w:tcPr>
            <w:tcW w:type="dxa" w:w="2260"/>
            <w:shd w:fill="E9FBF3" w:val="clear"/>
            <w:tcMar>
              <w:top w:type="dxa" w:w="80"/>
              <w:left w:type="dxa" w:w="100"/>
              <w:bottom w:type="dxa" w:w="80"/>
              <w:right w:type="dxa" w:w="100"/>
            </w:tcMar>
            <w:vAlign w:val="top"/>
          </w:tcPr>
          <w:p>
            <w:pPr>
              <w:spacing w:after="0"/>
            </w:pPr>
            <w:r>
              <w:rPr>
                <w:sz w:val="19"/>
                <w:szCs w:val="19"/>
              </w:rPr>
              <w:t xml:space="preserve">Implemented
src/provenance/api/errors.py.</w:t>
            </w:r>
          </w:p>
        </w:tc>
      </w:tr>
    </w:tbl>
    <w:p>
      <w:pPr>
        <w:spacing w:after="200"/>
      </w:pPr>
    </w:p>
    <w:p>
      <w:r>
        <w:br w:type="page"/>
      </w:r>
    </w:p>
    <w:p>
      <w:pPr>
        <w:pStyle w:val="Heading1"/>
        <w:spacing w:after="200" w:before="400"/>
      </w:pPr>
      <w:r>
        <w:t xml:space="preserve">14. Security Requirements</w:t>
      </w:r>
    </w:p>
    <w:p>
      <w:pPr>
        <w:pStyle w:val="Heading2"/>
        <w:spacing w:after="150" w:before="300"/>
      </w:pPr>
      <w:r>
        <w:t xml:space="preserve">14.1 Existing Security Characteristics</w:t>
      </w:r>
    </w:p>
    <w:p>
      <w:pPr>
        <w:pStyle w:val="ListParagraph"/>
        <w:numPr>
          <w:ilvl w:val="0"/>
          <w:numId w:val="1"/>
        </w:numPr>
        <w:spacing w:after="80" w:line="264"/>
      </w:pPr>
      <w:r>
        <w:t xml:space="preserve">Authentication: every non-meta endpoint requires a valid X-API-Key header (provenance.api.auth); keys are configured via a PROVENANCE_API_KEYS JSON map, falling back to documented local-development defaults.</w:t>
      </w:r>
    </w:p>
    <w:p>
      <w:pPr>
        <w:pStyle w:val="ListParagraph"/>
        <w:numPr>
          <w:ilvl w:val="0"/>
          <w:numId w:val="1"/>
        </w:numPr>
        <w:spacing w:after="80" w:line="264"/>
      </w:pPr>
      <w:r>
        <w:t xml:space="preserve">Authorization: a strict four-role hierarchy (public_read &lt; researcher &lt; operator &lt; admin) enforced by one shared FastAPI dependency (`require(role)`), tested by a full endpoint x role matrix.</w:t>
      </w:r>
    </w:p>
    <w:p>
      <w:pPr>
        <w:pStyle w:val="ListParagraph"/>
        <w:numPr>
          <w:ilvl w:val="0"/>
          <w:numId w:val="1"/>
        </w:numPr>
        <w:spacing w:after="80" w:line="264"/>
      </w:pPr>
      <w:r>
        <w:t xml:space="preserve">Transport-level allow-listing: CORS restricted to an explicit origin list, never a wildcard, specifically because the API authenticates via a header a wildcard origin would otherwise let any page spend an operator's credentials with.</w:t>
      </w:r>
    </w:p>
    <w:p>
      <w:pPr>
        <w:pStyle w:val="ListParagraph"/>
        <w:numPr>
          <w:ilvl w:val="0"/>
          <w:numId w:val="1"/>
        </w:numPr>
        <w:spacing w:after="80" w:line="264"/>
      </w:pPr>
      <w:r>
        <w:t xml:space="preserve">Input validation: FastAPI/Pydantic schema validation on every request body and query parameter; a global handler converts an out-of-range integer path parameter into a controlled 400 rather than an unhandled exception.</w:t>
      </w:r>
    </w:p>
    <w:p>
      <w:pPr>
        <w:pStyle w:val="ListParagraph"/>
        <w:numPr>
          <w:ilvl w:val="0"/>
          <w:numId w:val="1"/>
        </w:numPr>
        <w:spacing w:after="80" w:line="264"/>
      </w:pPr>
      <w:r>
        <w:t xml:space="preserve">Structured error responses: RFC 7807 Problem Details, avoiding leaking stack traces or implementation detail in error bodies.</w:t>
      </w:r>
    </w:p>
    <w:p>
      <w:pPr>
        <w:pStyle w:val="ListParagraph"/>
        <w:numPr>
          <w:ilvl w:val="0"/>
          <w:numId w:val="1"/>
        </w:numPr>
        <w:spacing w:after="80" w:line="264"/>
      </w:pPr>
      <w:r>
        <w:t xml:space="preserve">Idempotency as a security-relevant property: public dispatch is idempotent on (event, channel, sign-off), preventing a retried or replayed request from sending a duplicate public alert.</w:t>
      </w:r>
    </w:p>
    <w:p>
      <w:pPr>
        <w:pStyle w:val="ListParagraph"/>
        <w:numPr>
          <w:ilvl w:val="0"/>
          <w:numId w:val="1"/>
        </w:numPr>
        <w:spacing w:after="80" w:line="264"/>
      </w:pPr>
      <w:r>
        <w:t xml:space="preserve">Auditability: every public dispatch requires a recorded SignoffToken (operator identity, evidence hash, expiry) — enforced by a static call-graph architecture test that makes the sign-off gate structurally un-bypassable, not merely a documented policy.</w:t>
      </w:r>
    </w:p>
    <w:p>
      <w:pPr>
        <w:pStyle w:val="ListParagraph"/>
        <w:numPr>
          <w:ilvl w:val="0"/>
          <w:numId w:val="1"/>
        </w:numPr>
        <w:spacing w:after="80" w:line="264"/>
      </w:pPr>
      <w:r>
        <w:t xml:space="preserve">Data confidentiality of raw datasets: raw/interim/processed data directories are never committed to source control, enforced by .gitignore and a CI check.</w:t>
      </w:r>
    </w:p>
    <w:p>
      <w:pPr>
        <w:pStyle w:val="Heading2"/>
        <w:spacing w:after="150" w:before="300"/>
      </w:pPr>
      <w:r>
        <w:t xml:space="preserve">14.2 Recommended Security Improvements</w:t>
      </w:r>
    </w:p>
    <w:p>
      <w:pPr>
        <w:pStyle w:val="ListParagraph"/>
        <w:numPr>
          <w:ilvl w:val="0"/>
          <w:numId w:val="1"/>
        </w:numPr>
        <w:spacing w:after="80" w:line="264"/>
      </w:pPr>
      <w:r>
        <w:t xml:space="preserve">Migrate from static API keys to a full OIDC-based identity provider; the RBAC matrix is already shaped for this migration (documented in ADR 0004 and ADR 0010) but the transport is still a static key.</w:t>
      </w:r>
    </w:p>
    <w:p>
      <w:pPr>
        <w:pStyle w:val="ListParagraph"/>
        <w:numPr>
          <w:ilvl w:val="0"/>
          <w:numId w:val="1"/>
        </w:numPr>
        <w:spacing w:after="80" w:line="264"/>
      </w:pPr>
      <w:r>
        <w:t xml:space="preserve">Define and test a formal key-rotation and revocation procedure for the API-key transport in the interim.</w:t>
      </w:r>
    </w:p>
    <w:p>
      <w:pPr>
        <w:pStyle w:val="ListParagraph"/>
        <w:numPr>
          <w:ilvl w:val="0"/>
          <w:numId w:val="1"/>
        </w:numPr>
        <w:spacing w:after="80" w:line="264"/>
      </w:pPr>
      <w:r>
        <w:t xml:space="preserve">Establish a documented WCAG accessibility conformance target and extend automated scanning coverage (see NFR-017).</w:t>
      </w:r>
    </w:p>
    <w:p>
      <w:pPr>
        <w:pStyle w:val="ListParagraph"/>
        <w:numPr>
          <w:ilvl w:val="0"/>
          <w:numId w:val="1"/>
        </w:numPr>
        <w:spacing w:after="80" w:line="264"/>
      </w:pPr>
      <w:r>
        <w:t xml:space="preserve">Define numeric availability/performance SLOs and corresponding sustained-load testing beyond the current 50-concurrent-client smoke test (see NFR-001, NFR-002, NFR-006).</w:t>
      </w:r>
    </w:p>
    <w:p>
      <w:r>
        <w:br w:type="page"/>
      </w:r>
    </w:p>
    <w:p>
      <w:pPr>
        <w:pStyle w:val="Heading1"/>
        <w:spacing w:after="200" w:before="400"/>
      </w:pPr>
      <w:r>
        <w:t xml:space="preserve">15. External Interfaces</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400"/>
        <w:gridCol w:w="2160"/>
      </w:tblGrid>
      <w:tr>
        <w:trPr>
          <w:tblHeader/>
        </w:trPr>
        <w:tc>
          <w:tcPr>
            <w:tcW w:type="dxa" w:w="2200"/>
            <w:shd w:fill="1B6AB8" w:val="clear"/>
            <w:tcMar>
              <w:top w:type="dxa" w:w="80"/>
              <w:left w:type="dxa" w:w="100"/>
              <w:bottom w:type="dxa" w:w="80"/>
              <w:right w:type="dxa" w:w="100"/>
            </w:tcMar>
            <w:vAlign w:val="top"/>
          </w:tcPr>
          <w:p>
            <w:pPr>
              <w:spacing w:after="0"/>
            </w:pPr>
            <w:r>
              <w:rPr>
                <w:b/>
                <w:bCs/>
                <w:color w:val="FFFFFF"/>
                <w:sz w:val="19"/>
                <w:szCs w:val="19"/>
              </w:rPr>
              <w:t xml:space="preserve">System / Service</w:t>
            </w:r>
          </w:p>
        </w:tc>
        <w:tc>
          <w:tcPr>
            <w:tcW w:type="dxa" w:w="220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c>
          <w:tcPr>
            <w:tcW w:type="dxa" w:w="1800"/>
            <w:shd w:fill="1B6AB8" w:val="clear"/>
            <w:tcMar>
              <w:top w:type="dxa" w:w="80"/>
              <w:left w:type="dxa" w:w="100"/>
              <w:bottom w:type="dxa" w:w="80"/>
              <w:right w:type="dxa" w:w="100"/>
            </w:tcMar>
            <w:vAlign w:val="top"/>
          </w:tcPr>
          <w:p>
            <w:pPr>
              <w:spacing w:after="0"/>
            </w:pPr>
            <w:r>
              <w:rPr>
                <w:b/>
                <w:bCs/>
                <w:color w:val="FFFFFF"/>
                <w:sz w:val="19"/>
                <w:szCs w:val="19"/>
              </w:rPr>
              <w:t xml:space="preserve">Interface Type</w:t>
            </w:r>
          </w:p>
        </w:tc>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Data Exchanged</w:t>
            </w:r>
          </w:p>
        </w:tc>
        <w:tc>
          <w:tcPr>
            <w:tcW w:type="dxa" w:w="2160"/>
            <w:shd w:fill="1B6AB8" w:val="clear"/>
            <w:tcMar>
              <w:top w:type="dxa" w:w="80"/>
              <w:left w:type="dxa" w:w="100"/>
              <w:bottom w:type="dxa" w:w="80"/>
              <w:right w:type="dxa" w:w="100"/>
            </w:tcMar>
            <w:vAlign w:val="top"/>
          </w:tcPr>
          <w:p>
            <w:pPr>
              <w:spacing w:after="0"/>
            </w:pPr>
            <w:r>
              <w:rPr>
                <w:b/>
                <w:bCs/>
                <w:color w:val="FFFFFF"/>
                <w:sz w:val="19"/>
                <w:szCs w:val="19"/>
              </w:rPr>
              <w:t xml:space="preserve">Failure Behaviour</w:t>
            </w:r>
          </w:p>
        </w:tc>
      </w:tr>
      <w:tr>
        <w:tc>
          <w:tcPr>
            <w:tcW w:type="dxa" w:w="2200"/>
            <w:tcMar>
              <w:top w:type="dxa" w:w="80"/>
              <w:left w:type="dxa" w:w="100"/>
              <w:bottom w:type="dxa" w:w="80"/>
              <w:right w:type="dxa" w:w="100"/>
            </w:tcMar>
            <w:vAlign w:val="top"/>
          </w:tcPr>
          <w:p>
            <w:pPr>
              <w:spacing w:after="0"/>
            </w:pPr>
            <w:r>
              <w:rPr>
                <w:sz w:val="19"/>
                <w:szCs w:val="19"/>
              </w:rPr>
              <w:t xml:space="preserve">Green Sentinel export</w:t>
            </w:r>
          </w:p>
        </w:tc>
        <w:tc>
          <w:tcPr>
            <w:tcW w:type="dxa" w:w="2200"/>
            <w:tcMar>
              <w:top w:type="dxa" w:w="80"/>
              <w:left w:type="dxa" w:w="100"/>
              <w:bottom w:type="dxa" w:w="80"/>
              <w:right w:type="dxa" w:w="100"/>
            </w:tcMar>
            <w:vAlign w:val="top"/>
          </w:tcPr>
          <w:p>
            <w:pPr>
              <w:spacing w:after="0"/>
            </w:pPr>
            <w:r>
              <w:rPr>
                <w:sz w:val="19"/>
                <w:szCs w:val="19"/>
              </w:rPr>
              <w:t xml:space="preserve">Primary environmental data source</w:t>
            </w:r>
          </w:p>
        </w:tc>
        <w:tc>
          <w:tcPr>
            <w:tcW w:type="dxa" w:w="1800"/>
            <w:tcMar>
              <w:top w:type="dxa" w:w="80"/>
              <w:left w:type="dxa" w:w="100"/>
              <w:bottom w:type="dxa" w:w="80"/>
              <w:right w:type="dxa" w:w="100"/>
            </w:tcMar>
            <w:vAlign w:val="top"/>
          </w:tcPr>
          <w:p>
            <w:pPr>
              <w:spacing w:after="0"/>
            </w:pPr>
            <w:r>
              <w:rPr>
                <w:sz w:val="19"/>
                <w:szCs w:val="19"/>
              </w:rPr>
              <w:t xml:space="preserve">Offline file drop</w:t>
            </w:r>
          </w:p>
        </w:tc>
        <w:tc>
          <w:tcPr>
            <w:tcW w:type="dxa" w:w="2400"/>
            <w:tcMar>
              <w:top w:type="dxa" w:w="80"/>
              <w:left w:type="dxa" w:w="100"/>
              <w:bottom w:type="dxa" w:w="80"/>
              <w:right w:type="dxa" w:w="100"/>
            </w:tcMar>
            <w:vAlign w:val="top"/>
          </w:tcPr>
          <w:p>
            <w:pPr>
              <w:spacing w:after="0"/>
            </w:pPr>
            <w:r>
              <w:rPr>
                <w:sz w:val="19"/>
                <w:szCs w:val="19"/>
              </w:rPr>
              <w:t xml:space="preserve">Reading rows (station, parameter, value, unit, timestamp)</w:t>
            </w:r>
          </w:p>
        </w:tc>
        <w:tc>
          <w:tcPr>
            <w:tcW w:type="dxa" w:w="2160"/>
            <w:tcMar>
              <w:top w:type="dxa" w:w="80"/>
              <w:left w:type="dxa" w:w="100"/>
              <w:bottom w:type="dxa" w:w="80"/>
              <w:right w:type="dxa" w:w="100"/>
            </w:tcMar>
            <w:vAlign w:val="top"/>
          </w:tcPr>
          <w:p>
            <w:pPr>
              <w:spacing w:after="0"/>
            </w:pPr>
            <w:r>
              <w:rPr>
                <w:sz w:val="19"/>
                <w:szCs w:val="19"/>
              </w:rPr>
              <w:t xml:space="preserve">Ingestion halts with an explicit validation error on schema drift; never silently coerced.</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Enclod traffic counters</w:t>
            </w:r>
          </w:p>
        </w:tc>
        <w:tc>
          <w:tcPr>
            <w:tcW w:type="dxa" w:w="2200"/>
            <w:shd w:fill="F5F8FC" w:val="clear"/>
            <w:tcMar>
              <w:top w:type="dxa" w:w="80"/>
              <w:left w:type="dxa" w:w="100"/>
              <w:bottom w:type="dxa" w:w="80"/>
              <w:right w:type="dxa" w:w="100"/>
            </w:tcMar>
            <w:vAlign w:val="top"/>
          </w:tcPr>
          <w:p>
            <w:pPr>
              <w:spacing w:after="0"/>
            </w:pPr>
            <w:r>
              <w:rPr>
                <w:sz w:val="19"/>
                <w:szCs w:val="19"/>
              </w:rPr>
              <w:t xml:space="preserve">Traffic-context data source</w:t>
            </w:r>
          </w:p>
        </w:tc>
        <w:tc>
          <w:tcPr>
            <w:tcW w:type="dxa" w:w="1800"/>
            <w:shd w:fill="F5F8FC" w:val="clear"/>
            <w:tcMar>
              <w:top w:type="dxa" w:w="80"/>
              <w:left w:type="dxa" w:w="100"/>
              <w:bottom w:type="dxa" w:w="80"/>
              <w:right w:type="dxa" w:w="100"/>
            </w:tcMar>
            <w:vAlign w:val="top"/>
          </w:tcPr>
          <w:p>
            <w:pPr>
              <w:spacing w:after="0"/>
            </w:pPr>
            <w:r>
              <w:rPr>
                <w:sz w:val="19"/>
                <w:szCs w:val="19"/>
              </w:rPr>
              <w:t xml:space="preserve">Offline file drop</w:t>
            </w:r>
          </w:p>
        </w:tc>
        <w:tc>
          <w:tcPr>
            <w:tcW w:type="dxa" w:w="2400"/>
            <w:shd w:fill="F5F8FC" w:val="clear"/>
            <w:tcMar>
              <w:top w:type="dxa" w:w="80"/>
              <w:left w:type="dxa" w:w="100"/>
              <w:bottom w:type="dxa" w:w="80"/>
              <w:right w:type="dxa" w:w="100"/>
            </w:tcMar>
            <w:vAlign w:val="top"/>
          </w:tcPr>
          <w:p>
            <w:pPr>
              <w:spacing w:after="0"/>
            </w:pPr>
            <w:r>
              <w:rPr>
                <w:sz w:val="19"/>
                <w:szCs w:val="19"/>
              </w:rPr>
              <w:t xml:space="preserve">Directional counter series, 15-min resolution</w:t>
            </w:r>
          </w:p>
        </w:tc>
        <w:tc>
          <w:tcPr>
            <w:tcW w:type="dxa" w:w="2160"/>
            <w:shd w:fill="F5F8FC" w:val="clear"/>
            <w:tcMar>
              <w:top w:type="dxa" w:w="80"/>
              <w:left w:type="dxa" w:w="100"/>
              <w:bottom w:type="dxa" w:w="80"/>
              <w:right w:type="dxa" w:w="100"/>
            </w:tcMar>
            <w:vAlign w:val="top"/>
          </w:tcPr>
          <w:p>
            <w:pPr>
              <w:spacing w:after="0"/>
            </w:pPr>
            <w:r>
              <w:rPr>
                <w:sz w:val="19"/>
                <w:szCs w:val="19"/>
              </w:rPr>
              <w:t xml:space="preserve">Repaired for known cumulative-counter defects (resets, non-monotonicity) via io/counter_repair.py; unrepairable rows are flagged, not silently dropped.</w:t>
            </w:r>
          </w:p>
        </w:tc>
      </w:tr>
      <w:tr>
        <w:tc>
          <w:tcPr>
            <w:tcW w:type="dxa" w:w="2200"/>
            <w:tcMar>
              <w:top w:type="dxa" w:w="80"/>
              <w:left w:type="dxa" w:w="100"/>
              <w:bottom w:type="dxa" w:w="80"/>
              <w:right w:type="dxa" w:w="100"/>
            </w:tcMar>
            <w:vAlign w:val="top"/>
          </w:tcPr>
          <w:p>
            <w:pPr>
              <w:spacing w:after="0"/>
            </w:pPr>
            <w:r>
              <w:rPr>
                <w:sz w:val="19"/>
                <w:szCs w:val="19"/>
              </w:rPr>
              <w:t xml:space="preserve">HungaroMet weather</w:t>
            </w:r>
          </w:p>
        </w:tc>
        <w:tc>
          <w:tcPr>
            <w:tcW w:type="dxa" w:w="2200"/>
            <w:tcMar>
              <w:top w:type="dxa" w:w="80"/>
              <w:left w:type="dxa" w:w="100"/>
              <w:bottom w:type="dxa" w:w="80"/>
              <w:right w:type="dxa" w:w="100"/>
            </w:tcMar>
            <w:vAlign w:val="top"/>
          </w:tcPr>
          <w:p>
            <w:pPr>
              <w:spacing w:after="0"/>
            </w:pPr>
            <w:r>
              <w:rPr>
                <w:sz w:val="19"/>
                <w:szCs w:val="19"/>
              </w:rPr>
              <w:t xml:space="preserve">Meteorological input</w:t>
            </w:r>
          </w:p>
        </w:tc>
        <w:tc>
          <w:tcPr>
            <w:tcW w:type="dxa" w:w="1800"/>
            <w:tcMar>
              <w:top w:type="dxa" w:w="80"/>
              <w:left w:type="dxa" w:w="100"/>
              <w:bottom w:type="dxa" w:w="80"/>
              <w:right w:type="dxa" w:w="100"/>
            </w:tcMar>
            <w:vAlign w:val="top"/>
          </w:tcPr>
          <w:p>
            <w:pPr>
              <w:spacing w:after="0"/>
            </w:pPr>
            <w:r>
              <w:rPr>
                <w:sz w:val="19"/>
                <w:szCs w:val="19"/>
              </w:rPr>
              <w:t xml:space="preserve">Offline file drop</w:t>
            </w:r>
          </w:p>
        </w:tc>
        <w:tc>
          <w:tcPr>
            <w:tcW w:type="dxa" w:w="2400"/>
            <w:tcMar>
              <w:top w:type="dxa" w:w="80"/>
              <w:left w:type="dxa" w:w="100"/>
              <w:bottom w:type="dxa" w:w="80"/>
              <w:right w:type="dxa" w:w="100"/>
            </w:tcMar>
            <w:vAlign w:val="top"/>
          </w:tcPr>
          <w:p>
            <w:pPr>
              <w:spacing w:after="0"/>
            </w:pPr>
            <w:r>
              <w:rPr>
                <w:sz w:val="19"/>
                <w:szCs w:val="19"/>
              </w:rPr>
              <w:t xml:space="preserve">Wind speed/direction and other weather covariates</w:t>
            </w:r>
          </w:p>
        </w:tc>
        <w:tc>
          <w:tcPr>
            <w:tcW w:type="dxa" w:w="2160"/>
            <w:tcMar>
              <w:top w:type="dxa" w:w="80"/>
              <w:left w:type="dxa" w:w="100"/>
              <w:bottom w:type="dxa" w:w="80"/>
              <w:right w:type="dxa" w:w="100"/>
            </w:tcMar>
            <w:vAlign w:val="top"/>
          </w:tcPr>
          <w:p>
            <w:pPr>
              <w:spacing w:after="0"/>
            </w:pPr>
            <w:r>
              <w:rPr>
                <w:sz w:val="19"/>
                <w:szCs w:val="19"/>
              </w:rPr>
              <w:t xml:space="preserve">Missing weather for a window: deweathering residual is not computed for that window; wind-graph edges fall back to a documented default.</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DKV GTFS (Volan Egyesules)</w:t>
            </w:r>
          </w:p>
        </w:tc>
        <w:tc>
          <w:tcPr>
            <w:tcW w:type="dxa" w:w="2200"/>
            <w:shd w:fill="F5F8FC" w:val="clear"/>
            <w:tcMar>
              <w:top w:type="dxa" w:w="80"/>
              <w:left w:type="dxa" w:w="100"/>
              <w:bottom w:type="dxa" w:w="80"/>
              <w:right w:type="dxa" w:w="100"/>
            </w:tcMar>
            <w:vAlign w:val="top"/>
          </w:tcPr>
          <w:p>
            <w:pPr>
              <w:spacing w:after="0"/>
            </w:pPr>
            <w:r>
              <w:rPr>
                <w:sz w:val="19"/>
                <w:szCs w:val="19"/>
              </w:rPr>
              <w:t xml:space="preserve">Transit-corridor layer</w:t>
            </w:r>
          </w:p>
        </w:tc>
        <w:tc>
          <w:tcPr>
            <w:tcW w:type="dxa" w:w="1800"/>
            <w:shd w:fill="F5F8FC" w:val="clear"/>
            <w:tcMar>
              <w:top w:type="dxa" w:w="80"/>
              <w:left w:type="dxa" w:w="100"/>
              <w:bottom w:type="dxa" w:w="80"/>
              <w:right w:type="dxa" w:w="100"/>
            </w:tcMar>
            <w:vAlign w:val="top"/>
          </w:tcPr>
          <w:p>
            <w:pPr>
              <w:spacing w:after="0"/>
            </w:pPr>
            <w:r>
              <w:rPr>
                <w:sz w:val="19"/>
                <w:szCs w:val="19"/>
              </w:rPr>
              <w:t xml:space="preserve">Static GTFS file feed</w:t>
            </w:r>
          </w:p>
        </w:tc>
        <w:tc>
          <w:tcPr>
            <w:tcW w:type="dxa" w:w="2400"/>
            <w:shd w:fill="F5F8FC" w:val="clear"/>
            <w:tcMar>
              <w:top w:type="dxa" w:w="80"/>
              <w:left w:type="dxa" w:w="100"/>
              <w:bottom w:type="dxa" w:w="80"/>
              <w:right w:type="dxa" w:w="100"/>
            </w:tcMar>
            <w:vAlign w:val="top"/>
          </w:tcPr>
          <w:p>
            <w:pPr>
              <w:spacing w:after="0"/>
            </w:pPr>
            <w:r>
              <w:rPr>
                <w:sz w:val="19"/>
                <w:szCs w:val="19"/>
              </w:rPr>
              <w:t xml:space="preserve">Route/stop geometry</w:t>
            </w:r>
          </w:p>
        </w:tc>
        <w:tc>
          <w:tcPr>
            <w:tcW w:type="dxa" w:w="2160"/>
            <w:shd w:fill="F5F8FC" w:val="clear"/>
            <w:tcMar>
              <w:top w:type="dxa" w:w="80"/>
              <w:left w:type="dxa" w:w="100"/>
              <w:bottom w:type="dxa" w:w="80"/>
              <w:right w:type="dxa" w:w="100"/>
            </w:tcMar>
            <w:vAlign w:val="top"/>
          </w:tcPr>
          <w:p>
            <w:pPr>
              <w:spacing w:after="0"/>
            </w:pPr>
            <w:r>
              <w:rPr>
                <w:sz w:val="19"/>
                <w:szCs w:val="19"/>
              </w:rPr>
              <w:t xml:space="preserve">No bundle or coordinate: PopulationExposure degrades to a flagged neutral value (1.0), not a blocked pipeline.</w:t>
            </w:r>
          </w:p>
        </w:tc>
      </w:tr>
      <w:tr>
        <w:tc>
          <w:tcPr>
            <w:tcW w:type="dxa" w:w="2200"/>
            <w:tcMar>
              <w:top w:type="dxa" w:w="80"/>
              <w:left w:type="dxa" w:w="100"/>
              <w:bottom w:type="dxa" w:w="80"/>
              <w:right w:type="dxa" w:w="100"/>
            </w:tcMar>
            <w:vAlign w:val="top"/>
          </w:tcPr>
          <w:p>
            <w:pPr>
              <w:spacing w:after="0"/>
            </w:pPr>
            <w:r>
              <w:rPr>
                <w:sz w:val="19"/>
                <w:szCs w:val="19"/>
              </w:rPr>
              <w:t xml:space="preserve">Protomaps basemap tiles</w:t>
            </w:r>
          </w:p>
        </w:tc>
        <w:tc>
          <w:tcPr>
            <w:tcW w:type="dxa" w:w="2200"/>
            <w:tcMar>
              <w:top w:type="dxa" w:w="80"/>
              <w:left w:type="dxa" w:w="100"/>
              <w:bottom w:type="dxa" w:w="80"/>
              <w:right w:type="dxa" w:w="100"/>
            </w:tcMar>
            <w:vAlign w:val="top"/>
          </w:tcPr>
          <w:p>
            <w:pPr>
              <w:spacing w:after="0"/>
            </w:pPr>
            <w:r>
              <w:rPr>
                <w:sz w:val="19"/>
                <w:szCs w:val="19"/>
              </w:rPr>
              <w:t xml:space="preserve">Map rendering</w:t>
            </w:r>
          </w:p>
        </w:tc>
        <w:tc>
          <w:tcPr>
            <w:tcW w:type="dxa" w:w="1800"/>
            <w:tcMar>
              <w:top w:type="dxa" w:w="80"/>
              <w:left w:type="dxa" w:w="100"/>
              <w:bottom w:type="dxa" w:w="80"/>
              <w:right w:type="dxa" w:w="100"/>
            </w:tcMar>
            <w:vAlign w:val="top"/>
          </w:tcPr>
          <w:p>
            <w:pPr>
              <w:spacing w:after="0"/>
            </w:pPr>
            <w:r>
              <w:rPr>
                <w:sz w:val="19"/>
                <w:szCs w:val="19"/>
              </w:rPr>
              <w:t xml:space="preserve">Locally fetched/cached vector tiles</w:t>
            </w:r>
          </w:p>
        </w:tc>
        <w:tc>
          <w:tcPr>
            <w:tcW w:type="dxa" w:w="2400"/>
            <w:tcMar>
              <w:top w:type="dxa" w:w="80"/>
              <w:left w:type="dxa" w:w="100"/>
              <w:bottom w:type="dxa" w:w="80"/>
              <w:right w:type="dxa" w:w="100"/>
            </w:tcMar>
            <w:vAlign w:val="top"/>
          </w:tcPr>
          <w:p>
            <w:pPr>
              <w:spacing w:after="0"/>
            </w:pPr>
            <w:r>
              <w:rPr>
                <w:sz w:val="19"/>
                <w:szCs w:val="19"/>
              </w:rPr>
              <w:t xml:space="preserve">Basemap geometry and styling</w:t>
            </w:r>
          </w:p>
        </w:tc>
        <w:tc>
          <w:tcPr>
            <w:tcW w:type="dxa" w:w="2160"/>
            <w:tcMar>
              <w:top w:type="dxa" w:w="80"/>
              <w:left w:type="dxa" w:w="100"/>
              <w:bottom w:type="dxa" w:w="80"/>
              <w:right w:type="dxa" w:w="100"/>
            </w:tcMar>
            <w:vAlign w:val="top"/>
          </w:tcPr>
          <w:p>
            <w:pPr>
              <w:spacing w:after="0"/>
            </w:pPr>
            <w:r>
              <w:rPr>
                <w:sz w:val="19"/>
                <w:szCs w:val="19"/>
              </w:rPr>
              <w:t xml:space="preserve">Fetched and cached at build/setup time (scripts/fetch-basemap.sh) rather than called live, avoiding a runtime dependency on an external tile service.</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Prometheus</w:t>
            </w:r>
          </w:p>
        </w:tc>
        <w:tc>
          <w:tcPr>
            <w:tcW w:type="dxa" w:w="2200"/>
            <w:shd w:fill="F5F8FC" w:val="clear"/>
            <w:tcMar>
              <w:top w:type="dxa" w:w="80"/>
              <w:left w:type="dxa" w:w="100"/>
              <w:bottom w:type="dxa" w:w="80"/>
              <w:right w:type="dxa" w:w="100"/>
            </w:tcMar>
            <w:vAlign w:val="top"/>
          </w:tcPr>
          <w:p>
            <w:pPr>
              <w:spacing w:after="0"/>
            </w:pPr>
            <w:r>
              <w:rPr>
                <w:sz w:val="19"/>
                <w:szCs w:val="19"/>
              </w:rPr>
              <w:t xml:space="preserve">Infra monitoring</w:t>
            </w:r>
          </w:p>
        </w:tc>
        <w:tc>
          <w:tcPr>
            <w:tcW w:type="dxa" w:w="1800"/>
            <w:shd w:fill="F5F8FC" w:val="clear"/>
            <w:tcMar>
              <w:top w:type="dxa" w:w="80"/>
              <w:left w:type="dxa" w:w="100"/>
              <w:bottom w:type="dxa" w:w="80"/>
              <w:right w:type="dxa" w:w="100"/>
            </w:tcMar>
            <w:vAlign w:val="top"/>
          </w:tcPr>
          <w:p>
            <w:pPr>
              <w:spacing w:after="0"/>
            </w:pPr>
            <w:r>
              <w:rPr>
                <w:sz w:val="19"/>
                <w:szCs w:val="19"/>
              </w:rPr>
              <w:t xml:space="preserve">HTTP scrape (/metrics)</w:t>
            </w:r>
          </w:p>
        </w:tc>
        <w:tc>
          <w:tcPr>
            <w:tcW w:type="dxa" w:w="2400"/>
            <w:shd w:fill="F5F8FC" w:val="clear"/>
            <w:tcMar>
              <w:top w:type="dxa" w:w="80"/>
              <w:left w:type="dxa" w:w="100"/>
              <w:bottom w:type="dxa" w:w="80"/>
              <w:right w:type="dxa" w:w="100"/>
            </w:tcMar>
            <w:vAlign w:val="top"/>
          </w:tcPr>
          <w:p>
            <w:pPr>
              <w:spacing w:after="0"/>
            </w:pPr>
            <w:r>
              <w:rPr>
                <w:sz w:val="19"/>
                <w:szCs w:val="19"/>
              </w:rPr>
              <w:t xml:space="preserve">Request counts, latencies, error rates</w:t>
            </w:r>
          </w:p>
        </w:tc>
        <w:tc>
          <w:tcPr>
            <w:tcW w:type="dxa" w:w="2160"/>
            <w:shd w:fill="F5F8FC" w:val="clear"/>
            <w:tcMar>
              <w:top w:type="dxa" w:w="80"/>
              <w:left w:type="dxa" w:w="100"/>
              <w:bottom w:type="dxa" w:w="80"/>
              <w:right w:type="dxa" w:w="100"/>
            </w:tcMar>
            <w:vAlign w:val="top"/>
          </w:tcPr>
          <w:p>
            <w:pPr>
              <w:spacing w:after="0"/>
            </w:pPr>
            <w:r>
              <w:rPr>
                <w:sz w:val="19"/>
                <w:szCs w:val="19"/>
              </w:rPr>
              <w:t xml:space="preserve">Unauthenticated, like the other meta probes; scrape failure does not affect API availability.</w:t>
            </w:r>
          </w:p>
        </w:tc>
      </w:tr>
    </w:tbl>
    <w:p>
      <w:pPr>
        <w:spacing w:after="200" w:before="80"/>
      </w:pPr>
      <w:r>
        <w:rPr>
          <w:b/>
          <w:bCs/>
          <w:i/>
          <w:iCs/>
          <w:sz w:val="20"/>
          <w:szCs w:val="20"/>
        </w:rPr>
        <w:t xml:space="preserve">Note: </w:t>
      </w:r>
      <w:r>
        <w:rPr>
          <w:i/>
          <w:iCs/>
          <w:color w:val="4A5568"/>
          <w:sz w:val="20"/>
          <w:szCs w:val="20"/>
        </w:rPr>
        <w:t xml:space="preserve">No live third-party API integrations (e.g., a public alerting SMS/email gateway) were found wired to a real network transport: dispatch 'sends' append to a local outbox and return a receipt, with a production transport explicitly deferred to be injected at the deliver boundary (api/decision/channels.py, ADR 0010).</w:t>
      </w:r>
    </w:p>
    <w:p>
      <w:r>
        <w:br w:type="page"/>
      </w:r>
    </w:p>
    <w:p>
      <w:pPr>
        <w:pStyle w:val="Heading1"/>
        <w:spacing w:after="200" w:before="400"/>
      </w:pPr>
      <w:r>
        <w:t xml:space="preserve">16.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6AB8" w:val="clear"/>
            <w:tcMar>
              <w:top w:type="dxa" w:w="80"/>
              <w:left w:type="dxa" w:w="100"/>
              <w:bottom w:type="dxa" w:w="80"/>
              <w:right w:type="dxa" w:w="100"/>
            </w:tcMar>
            <w:vAlign w:val="top"/>
          </w:tcPr>
          <w:p>
            <w:pPr>
              <w:spacing w:after="0"/>
            </w:pPr>
            <w:r>
              <w:rPr>
                <w:b/>
                <w:bCs/>
                <w:color w:val="FFFFFF"/>
                <w:sz w:val="19"/>
                <w:szCs w:val="19"/>
              </w:rPr>
              <w:t xml:space="preserve">Condition</w:t>
            </w:r>
          </w:p>
        </w:tc>
        <w:tc>
          <w:tcPr>
            <w:tcW w:type="dxa" w:w="6760"/>
            <w:shd w:fill="1B6AB8" w:val="clear"/>
            <w:tcMar>
              <w:top w:type="dxa" w:w="80"/>
              <w:left w:type="dxa" w:w="100"/>
              <w:bottom w:type="dxa" w:w="80"/>
              <w:right w:type="dxa" w:w="100"/>
            </w:tcMar>
            <w:vAlign w:val="top"/>
          </w:tcPr>
          <w:p>
            <w:pPr>
              <w:spacing w:after="0"/>
            </w:pPr>
            <w:r>
              <w:rPr>
                <w:b/>
                <w:bCs/>
                <w:color w:val="FFFFFF"/>
                <w:sz w:val="19"/>
                <w:szCs w:val="19"/>
              </w:rPr>
              <w:t xml:space="preserve">Documented / Implemented Behaviour</w:t>
            </w:r>
          </w:p>
        </w:tc>
      </w:tr>
      <w:tr>
        <w:tc>
          <w:tcPr>
            <w:tcW w:type="dxa" w:w="2600"/>
            <w:tcMar>
              <w:top w:type="dxa" w:w="80"/>
              <w:left w:type="dxa" w:w="100"/>
              <w:bottom w:type="dxa" w:w="80"/>
              <w:right w:type="dxa" w:w="100"/>
            </w:tcMar>
            <w:vAlign w:val="top"/>
          </w:tcPr>
          <w:p>
            <w:pPr>
              <w:spacing w:after="0"/>
            </w:pPr>
            <w:r>
              <w:rPr>
                <w:sz w:val="19"/>
                <w:szCs w:val="19"/>
              </w:rPr>
              <w:t xml:space="preserve">Invalid data (schema drift)</w:t>
            </w:r>
          </w:p>
        </w:tc>
        <w:tc>
          <w:tcPr>
            <w:tcW w:type="dxa" w:w="6760"/>
            <w:tcMar>
              <w:top w:type="dxa" w:w="80"/>
              <w:left w:type="dxa" w:w="100"/>
              <w:bottom w:type="dxa" w:w="80"/>
              <w:right w:type="dxa" w:w="100"/>
            </w:tcMar>
            <w:vAlign w:val="top"/>
          </w:tcPr>
          <w:p>
            <w:pPr>
              <w:spacing w:after="0"/>
            </w:pPr>
            <w:r>
              <w:rPr>
                <w:sz w:val="19"/>
                <w:szCs w:val="19"/>
              </w:rPr>
              <w:t xml:space="preserve">Ingestion raises rather than coercing; the observed schema is diffed against config/schema_assumptions.yaml and any drift is a hard stop.</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Missing data (structural absence)</w:t>
            </w:r>
          </w:p>
        </w:tc>
        <w:tc>
          <w:tcPr>
            <w:tcW w:type="dxa" w:w="6760"/>
            <w:shd w:fill="F5F8FC" w:val="clear"/>
            <w:tcMar>
              <w:top w:type="dxa" w:w="80"/>
              <w:left w:type="dxa" w:w="100"/>
              <w:bottom w:type="dxa" w:w="80"/>
              <w:right w:type="dxa" w:w="100"/>
            </w:tcMar>
            <w:vAlign w:val="top"/>
          </w:tcPr>
          <w:p>
            <w:pPr>
              <w:spacing w:after="0"/>
            </w:pPr>
            <w:r>
              <w:rPr>
                <w:sz w:val="19"/>
                <w:szCs w:val="19"/>
              </w:rPr>
              <w:t xml:space="preserve">Classified as a CoverageFact, excluded from the defect-rate numerator/denominator, never treated as an error.</w:t>
            </w:r>
          </w:p>
        </w:tc>
      </w:tr>
      <w:tr>
        <w:tc>
          <w:tcPr>
            <w:tcW w:type="dxa" w:w="2600"/>
            <w:tcMar>
              <w:top w:type="dxa" w:w="80"/>
              <w:left w:type="dxa" w:w="100"/>
              <w:bottom w:type="dxa" w:w="80"/>
              <w:right w:type="dxa" w:w="100"/>
            </w:tcMar>
            <w:vAlign w:val="top"/>
          </w:tcPr>
          <w:p>
            <w:pPr>
              <w:spacing w:after="0"/>
            </w:pPr>
            <w:r>
              <w:rPr>
                <w:sz w:val="19"/>
                <w:szCs w:val="19"/>
              </w:rPr>
              <w:t xml:space="preserve">Unsupported format</w:t>
            </w:r>
          </w:p>
        </w:tc>
        <w:tc>
          <w:tcPr>
            <w:tcW w:type="dxa" w:w="6760"/>
            <w:tcMar>
              <w:top w:type="dxa" w:w="80"/>
              <w:left w:type="dxa" w:w="100"/>
              <w:bottom w:type="dxa" w:w="80"/>
              <w:right w:type="dxa" w:w="100"/>
            </w:tcMar>
            <w:vAlign w:val="top"/>
          </w:tcPr>
          <w:p>
            <w:pPr>
              <w:spacing w:after="0"/>
            </w:pPr>
            <w:r>
              <w:rPr>
                <w:sz w:val="19"/>
                <w:szCs w:val="19"/>
              </w:rPr>
              <w:t xml:space="preserve">The loader validates against the documented layout in data/README.md; an unrecognised format is a load-time failure, not a silent skip.</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Malformed/duplicate rows</w:t>
            </w:r>
          </w:p>
        </w:tc>
        <w:tc>
          <w:tcPr>
            <w:tcW w:type="dxa" w:w="6760"/>
            <w:shd w:fill="F5F8FC" w:val="clear"/>
            <w:tcMar>
              <w:top w:type="dxa" w:w="80"/>
              <w:left w:type="dxa" w:w="100"/>
              <w:bottom w:type="dxa" w:w="80"/>
              <w:right w:type="dxa" w:w="100"/>
            </w:tcMar>
            <w:vAlign w:val="top"/>
          </w:tcPr>
          <w:p>
            <w:pPr>
              <w:spacing w:after="0"/>
            </w:pPr>
            <w:r>
              <w:rPr>
                <w:sz w:val="19"/>
                <w:szCs w:val="19"/>
              </w:rPr>
              <w:t xml:space="preserve">Reading's composite primary key (timestamp_utc, row_hash) makes duplicate content a no-op on reload; genuinely different rows at the same timestamp both persist and are individually flagged (duplicate-timestamp defect).</w:t>
            </w:r>
          </w:p>
        </w:tc>
      </w:tr>
      <w:tr>
        <w:tc>
          <w:tcPr>
            <w:tcW w:type="dxa" w:w="2600"/>
            <w:tcMar>
              <w:top w:type="dxa" w:w="80"/>
              <w:left w:type="dxa" w:w="100"/>
              <w:bottom w:type="dxa" w:w="80"/>
              <w:right w:type="dxa" w:w="100"/>
            </w:tcMar>
            <w:vAlign w:val="top"/>
          </w:tcPr>
          <w:p>
            <w:pPr>
              <w:spacing w:after="0"/>
            </w:pPr>
            <w:r>
              <w:rPr>
                <w:sz w:val="19"/>
                <w:szCs w:val="19"/>
              </w:rPr>
              <w:t xml:space="preserve">API request errors</w:t>
            </w:r>
          </w:p>
        </w:tc>
        <w:tc>
          <w:tcPr>
            <w:tcW w:type="dxa" w:w="6760"/>
            <w:tcMar>
              <w:top w:type="dxa" w:w="80"/>
              <w:left w:type="dxa" w:w="100"/>
              <w:bottom w:type="dxa" w:w="80"/>
              <w:right w:type="dxa" w:w="100"/>
            </w:tcMar>
            <w:vAlign w:val="top"/>
          </w:tcPr>
          <w:p>
            <w:pPr>
              <w:spacing w:after="0"/>
            </w:pPr>
            <w:r>
              <w:rPr>
                <w:sz w:val="19"/>
                <w:szCs w:val="19"/>
              </w:rPr>
              <w:t xml:space="preserve">RFC 7807 Problem Details for every error class (401 unauthorized, 403 forbidden, 404 not found, 422 validation, 400 for an out-of-range integer path parameter).</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Database errors</w:t>
            </w:r>
          </w:p>
        </w:tc>
        <w:tc>
          <w:tcPr>
            <w:tcW w:type="dxa" w:w="6760"/>
            <w:shd w:fill="F5F8FC" w:val="clear"/>
            <w:tcMar>
              <w:top w:type="dxa" w:w="80"/>
              <w:left w:type="dxa" w:w="100"/>
              <w:bottom w:type="dxa" w:w="80"/>
              <w:right w:type="dxa" w:w="100"/>
            </w:tcMar>
            <w:vAlign w:val="top"/>
          </w:tcPr>
          <w:p>
            <w:pPr>
              <w:spacing w:after="0"/>
            </w:pPr>
            <w:r>
              <w:rPr>
                <w:sz w:val="19"/>
                <w:szCs w:val="19"/>
              </w:rPr>
              <w:t xml:space="preserve">Async SQLAlchemy session lifecycle is scoped per-request (api/deps.py get_session); the app disposes its owned engine on shutdown.</w:t>
            </w:r>
          </w:p>
        </w:tc>
      </w:tr>
      <w:tr>
        <w:tc>
          <w:tcPr>
            <w:tcW w:type="dxa" w:w="2600"/>
            <w:tcMar>
              <w:top w:type="dxa" w:w="80"/>
              <w:left w:type="dxa" w:w="100"/>
              <w:bottom w:type="dxa" w:w="80"/>
              <w:right w:type="dxa" w:w="100"/>
            </w:tcMar>
            <w:vAlign w:val="top"/>
          </w:tcPr>
          <w:p>
            <w:pPr>
              <w:spacing w:after="0"/>
            </w:pPr>
            <w:r>
              <w:rPr>
                <w:sz w:val="19"/>
                <w:szCs w:val="19"/>
              </w:rPr>
              <w:t xml:space="preserve">AI/model processing errors</w:t>
            </w:r>
          </w:p>
        </w:tc>
        <w:tc>
          <w:tcPr>
            <w:tcW w:type="dxa" w:w="6760"/>
            <w:tcMar>
              <w:top w:type="dxa" w:w="80"/>
              <w:left w:type="dxa" w:w="100"/>
              <w:bottom w:type="dxa" w:w="80"/>
              <w:right w:type="dxa" w:w="100"/>
            </w:tcMar>
            <w:vAlign w:val="top"/>
          </w:tcPr>
          <w:p>
            <w:pPr>
              <w:spacing w:after="0"/>
            </w:pPr>
            <w:r>
              <w:rPr>
                <w:sz w:val="19"/>
                <w:szCs w:val="19"/>
              </w:rPr>
              <w:t xml:space="preserve">A missing trained artefact degrades to a documented fallback (raw placeholder, analytic adjudicator, or an explicit 'no history yet' panel state) rather than raising to the caller.</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Authentication/authorization failures</w:t>
            </w:r>
          </w:p>
        </w:tc>
        <w:tc>
          <w:tcPr>
            <w:tcW w:type="dxa" w:w="6760"/>
            <w:shd w:fill="F5F8FC" w:val="clear"/>
            <w:tcMar>
              <w:top w:type="dxa" w:w="80"/>
              <w:left w:type="dxa" w:w="100"/>
              <w:bottom w:type="dxa" w:w="80"/>
              <w:right w:type="dxa" w:w="100"/>
            </w:tcMar>
            <w:vAlign w:val="top"/>
          </w:tcPr>
          <w:p>
            <w:pPr>
              <w:spacing w:after="0"/>
            </w:pPr>
            <w:r>
              <w:rPr>
                <w:sz w:val="19"/>
                <w:szCs w:val="19"/>
              </w:rPr>
              <w:t xml:space="preserve">Missing key: 401. Insufficient role: 403. Both carry a stable RFC 7807 `type` URI.</w:t>
            </w:r>
          </w:p>
        </w:tc>
      </w:tr>
      <w:tr>
        <w:tc>
          <w:tcPr>
            <w:tcW w:type="dxa" w:w="2600"/>
            <w:tcMar>
              <w:top w:type="dxa" w:w="80"/>
              <w:left w:type="dxa" w:w="100"/>
              <w:bottom w:type="dxa" w:w="80"/>
              <w:right w:type="dxa" w:w="100"/>
            </w:tcMar>
            <w:vAlign w:val="top"/>
          </w:tcPr>
          <w:p>
            <w:pPr>
              <w:spacing w:after="0"/>
            </w:pPr>
            <w:r>
              <w:rPr>
                <w:sz w:val="19"/>
                <w:szCs w:val="19"/>
              </w:rPr>
              <w:t xml:space="preserve">Network failures (offline demo mode)</w:t>
            </w:r>
          </w:p>
        </w:tc>
        <w:tc>
          <w:tcPr>
            <w:tcW w:type="dxa" w:w="6760"/>
            <w:tcMar>
              <w:top w:type="dxa" w:w="80"/>
              <w:left w:type="dxa" w:w="100"/>
              <w:bottom w:type="dxa" w:w="80"/>
              <w:right w:type="dxa" w:w="100"/>
            </w:tcMar>
            <w:vAlign w:val="top"/>
          </w:tcPr>
          <w:p>
            <w:pPr>
              <w:spacing w:after="0"/>
            </w:pPr>
            <w:r>
              <w:rPr>
                <w:sz w:val="19"/>
                <w:szCs w:val="19"/>
              </w:rPr>
              <w:t xml:space="preserve">Any attempted network egress during a demo run is treated as a test failure by design, not silently tolerated.</w:t>
            </w:r>
          </w:p>
        </w:tc>
      </w:tr>
      <w:tr>
        <w:tc>
          <w:tcPr>
            <w:tcW w:type="dxa" w:w="2600"/>
            <w:shd w:fill="F5F8FC" w:val="clear"/>
            <w:tcMar>
              <w:top w:type="dxa" w:w="80"/>
              <w:left w:type="dxa" w:w="100"/>
              <w:bottom w:type="dxa" w:w="80"/>
              <w:right w:type="dxa" w:w="100"/>
            </w:tcMar>
            <w:vAlign w:val="top"/>
          </w:tcPr>
          <w:p>
            <w:pPr>
              <w:spacing w:after="0"/>
            </w:pPr>
            <w:r>
              <w:rPr>
                <w:sz w:val="19"/>
                <w:szCs w:val="19"/>
              </w:rPr>
              <w:t xml:space="preserve">Unexpected application errors</w:t>
            </w:r>
          </w:p>
        </w:tc>
        <w:tc>
          <w:tcPr>
            <w:tcW w:type="dxa" w:w="6760"/>
            <w:shd w:fill="F5F8FC" w:val="clear"/>
            <w:tcMar>
              <w:top w:type="dxa" w:w="80"/>
              <w:left w:type="dxa" w:w="100"/>
              <w:bottom w:type="dxa" w:w="80"/>
              <w:right w:type="dxa" w:w="100"/>
            </w:tcMar>
            <w:vAlign w:val="top"/>
          </w:tcPr>
          <w:p>
            <w:pPr>
              <w:spacing w:after="0"/>
            </w:pPr>
            <w:r>
              <w:rPr>
                <w:sz w:val="19"/>
                <w:szCs w:val="19"/>
              </w:rPr>
              <w:t xml:space="preserve">install_error_handlers (api/errors.py) provides a catch-all handler converting unhandled exceptions into a Problem Details response rather than leaking a stack trace.</w:t>
            </w:r>
          </w:p>
        </w:tc>
      </w:tr>
    </w:tbl>
    <w:p>
      <w:r>
        <w:br w:type="page"/>
      </w:r>
    </w:p>
    <w:p>
      <w:pPr>
        <w:pStyle w:val="Heading1"/>
        <w:spacing w:after="200" w:before="400"/>
      </w:pPr>
      <w:r>
        <w:t xml:space="preserve">17. Logging and Auditing</w:t>
      </w:r>
    </w:p>
    <w:p>
      <w:pPr>
        <w:pStyle w:val="Heading2"/>
        <w:spacing w:after="150" w:before="300"/>
      </w:pPr>
      <w:r>
        <w:t xml:space="preserve">17.1 Application and Request Logging</w:t>
      </w:r>
    </w:p>
    <w:p>
      <w:pPr>
        <w:pStyle w:val="ListParagraph"/>
        <w:numPr>
          <w:ilvl w:val="0"/>
          <w:numId w:val="1"/>
        </w:numPr>
        <w:spacing w:after="80" w:line="264"/>
      </w:pPr>
      <w:r>
        <w:t xml:space="preserve">Structured logging via structlog (a declared project dependency) rather than unstructured print/log statements.</w:t>
      </w:r>
    </w:p>
    <w:p>
      <w:pPr>
        <w:pStyle w:val="ListParagraph"/>
        <w:numPr>
          <w:ilvl w:val="0"/>
          <w:numId w:val="1"/>
        </w:numPr>
        <w:spacing w:after="80" w:line="264"/>
      </w:pPr>
      <w:r>
        <w:t xml:space="preserve">A dedicated RequestContextMiddleware attaches and propagates an X-Request-ID for cross-service/cross-log correlation.</w:t>
      </w:r>
    </w:p>
    <w:p>
      <w:pPr>
        <w:pStyle w:val="ListParagraph"/>
        <w:numPr>
          <w:ilvl w:val="0"/>
          <w:numId w:val="1"/>
        </w:numPr>
        <w:spacing w:after="80" w:line="264"/>
      </w:pPr>
      <w:r>
        <w:t xml:space="preserve">A Prometheus MetricsMiddleware times every request and exposes results at /metrics.</w:t>
      </w:r>
    </w:p>
    <w:p>
      <w:pPr>
        <w:pStyle w:val="Heading2"/>
        <w:spacing w:after="150" w:before="300"/>
      </w:pPr>
      <w:r>
        <w:t xml:space="preserve">17.2 Provenance and Processing Events (Domain Auditing)</w:t>
      </w:r>
    </w:p>
    <w:p>
      <w:pPr>
        <w:pStyle w:val="ListParagraph"/>
        <w:numPr>
          <w:ilvl w:val="0"/>
          <w:numId w:val="1"/>
        </w:numPr>
        <w:spacing w:after="80" w:line="264"/>
      </w:pPr>
      <w:r>
        <w:t xml:space="preserve">Every AuditRun is itself a durable audit event: it records code_version, config_hash, data_checksum, and its full summary as JSON.</w:t>
      </w:r>
    </w:p>
    <w:p>
      <w:pPr>
        <w:pStyle w:val="ListParagraph"/>
        <w:numPr>
          <w:ilvl w:val="0"/>
          <w:numId w:val="1"/>
        </w:numPr>
        <w:spacing w:after="80" w:line="264"/>
      </w:pPr>
      <w:r>
        <w:t xml:space="preserve">Every MaintenanceTransition is an append-only record of actor, from/to status, note, and timestamp — never overwritten, never deleted.</w:t>
      </w:r>
    </w:p>
    <w:p>
      <w:pPr>
        <w:pStyle w:val="ListParagraph"/>
        <w:numPr>
          <w:ilvl w:val="0"/>
          <w:numId w:val="1"/>
        </w:numPr>
        <w:spacing w:after="80" w:line="264"/>
      </w:pPr>
      <w:r>
        <w:t xml:space="preserve">Every SignoffToken and Dispatch is a durable, queryable authorisation/action record, exported in full via the regulatory export.</w:t>
      </w:r>
    </w:p>
    <w:p>
      <w:pPr>
        <w:pStyle w:val="Heading2"/>
        <w:spacing w:after="150" w:before="300"/>
      </w:pPr>
      <w:r>
        <w:t xml:space="preserve">17.3 Monitoring and Alerting Infrastructure</w:t>
      </w:r>
    </w:p>
    <w:p>
      <w:pPr>
        <w:spacing w:after="160" w:line="276"/>
      </w:pPr>
      <w:r>
        <w:t xml:space="preserve">Two Grafana dashboards are checked into the repository, implementing a deliberate two-plane split documented in docs/monitoring-v1.0-two-planes.md: an infrastructure-health plane (request latency, error rate, from the Prometheus /metrics scrape) and a model-drift plane (R2/coverage/confusion trends, defect-rate-by-station drift, served from GET /v1/admin/model-drift).</w:t>
      </w:r>
    </w:p>
    <w:p>
      <w:pPr>
        <w:spacing w:after="200" w:before="80"/>
      </w:pPr>
      <w:r>
        <w:rPr>
          <w:b/>
          <w:bCs/>
          <w:i/>
          <w:iCs/>
          <w:sz w:val="20"/>
          <w:szCs w:val="20"/>
        </w:rPr>
        <w:t xml:space="preserve">Note: </w:t>
      </w:r>
      <w:r>
        <w:rPr>
          <w:i/>
          <w:iCs/>
          <w:color w:val="4A5568"/>
          <w:sz w:val="20"/>
          <w:szCs w:val="20"/>
        </w:rPr>
        <w:t xml:space="preserve">The model-metric drift panels (R2, coverage, confusion) are single-point until a model has been trained at least once in the environment; the defect-rate-by-station drift panel is always populated. This is documented graceful degradation, not a defect, but it means a fresh clone's drift dashboard will show 'no history yet' for three of four panels until `make demo-models` (or equivalent) has run.</w:t>
      </w:r>
    </w:p>
    <w:p>
      <w:pPr>
        <w:pStyle w:val="Heading2"/>
        <w:spacing w:after="150" w:before="300"/>
      </w:pPr>
      <w:r>
        <w:t xml:space="preserve">17.4 Distinguishing Existing from Recommended</w:t>
      </w:r>
    </w:p>
    <w:p>
      <w:pPr>
        <w:spacing w:after="160" w:line="276"/>
      </w:pPr>
      <w:r>
        <w:t xml:space="preserve">Existing: structured logs, request correlation IDs, Prometheus metrics, append-only maintenance/sign-off/dispatch history, and reproducible audit runs. Recommended: centralised log aggregation/retention policy and alert-rule configuration (e.g., Alertmanager rules) were not found in the reviewed infra/monitoring directory beyond the two Grafana dashboard JSON files and prometheus.yml scrape configuration — a production deployment would need this defined.</w:t>
      </w:r>
    </w:p>
    <w:p>
      <w:r>
        <w:br w:type="page"/>
      </w:r>
    </w:p>
    <w:p>
      <w:pPr>
        <w:pStyle w:val="Heading1"/>
        <w:spacing w:after="200" w:before="400"/>
      </w:pPr>
      <w:r>
        <w:t xml:space="preserve">18. Deployment and Infrastructure</w:t>
      </w:r>
    </w:p>
    <w:p>
      <w:pPr>
        <w:pStyle w:val="Heading2"/>
        <w:spacing w:after="150" w:before="300"/>
      </w:pPr>
      <w:r>
        <w:t xml:space="preserve">18.1 Local / Demo Deployment (Implemented)</w:t>
      </w:r>
    </w:p>
    <w:p>
      <w:pPr>
        <w:pStyle w:val="ListParagraph"/>
        <w:numPr>
          <w:ilvl w:val="0"/>
          <w:numId w:val="1"/>
        </w:numPr>
        <w:spacing w:after="80" w:line="264"/>
      </w:pPr>
      <w:r>
        <w:t xml:space="preserve">Hosting: local Docker Compose (infra/compose/docker-compose.yml) with four services — db (TimescaleDB), cache (Redis), api, web.</w:t>
      </w:r>
    </w:p>
    <w:p>
      <w:pPr>
        <w:pStyle w:val="ListParagraph"/>
        <w:numPr>
          <w:ilvl w:val="0"/>
          <w:numId w:val="1"/>
        </w:numPr>
        <w:spacing w:after="80" w:line="264"/>
      </w:pPr>
      <w:r>
        <w:t xml:space="preserve">Containers: separate Dockerfiles for the API and web app (infra/docker/api.Dockerfile, web.Dockerfile).</w:t>
      </w:r>
    </w:p>
    <w:p>
      <w:pPr>
        <w:pStyle w:val="ListParagraph"/>
        <w:numPr>
          <w:ilvl w:val="0"/>
          <w:numId w:val="1"/>
        </w:numPr>
        <w:spacing w:after="80" w:line="264"/>
      </w:pPr>
      <w:r>
        <w:t xml:space="preserve">Build process: `make install` (uv-managed Python virtual environment), `pnpm` for the frontend.</w:t>
      </w:r>
    </w:p>
    <w:p>
      <w:pPr>
        <w:pStyle w:val="ListParagraph"/>
        <w:numPr>
          <w:ilvl w:val="0"/>
          <w:numId w:val="1"/>
        </w:numPr>
        <w:spacing w:after="80" w:line="264"/>
      </w:pPr>
      <w:r>
        <w:t xml:space="preserve">Database hosting: timescale/timescaledb-ha:pg16 container image, multi-arch (works on Apple Silicon).</w:t>
      </w:r>
    </w:p>
    <w:p>
      <w:pPr>
        <w:pStyle w:val="ListParagraph"/>
        <w:numPr>
          <w:ilvl w:val="0"/>
          <w:numId w:val="1"/>
        </w:numPr>
        <w:spacing w:after="80" w:line="264"/>
      </w:pPr>
      <w:r>
        <w:t xml:space="preserve">Health checks: all four services declare Docker healthchecks; the api service's healthcheck calls its own /healthz.</w:t>
      </w:r>
    </w:p>
    <w:p>
      <w:pPr>
        <w:pStyle w:val="ListParagraph"/>
        <w:numPr>
          <w:ilvl w:val="0"/>
          <w:numId w:val="1"/>
        </w:numPr>
        <w:spacing w:after="80" w:line="264"/>
      </w:pPr>
      <w:r>
        <w:t xml:space="preserve">Storage: named Docker volume (db_data) for TimescaleDB; local data/ and reports/ directories bind-mounted into the API container.</w:t>
      </w:r>
    </w:p>
    <w:p>
      <w:pPr>
        <w:pStyle w:val="Heading2"/>
        <w:spacing w:after="150" w:before="300"/>
      </w:pPr>
      <w:r>
        <w:t xml:space="preserve">18.2 CI/CD (Implemented)</w:t>
      </w:r>
    </w:p>
    <w:p>
      <w:pPr>
        <w:spacing w:after="160" w:line="276"/>
      </w:pPr>
      <w:r>
        <w:t xml:space="preserve">GitHub Actions runs three workflows: ci.yml (backend lint + strict mypy + pytest with an 88% coverage gate, plus a dedicated architecture-test job and a generated-client contract-drift job), codeql.yml (static security analysis), and frontend.yml (frontend lint/typecheck/test).</w:t>
      </w:r>
    </w:p>
    <w:p>
      <w:pPr>
        <w:pStyle w:val="Heading2"/>
        <w:spacing w:after="150" w:before="300"/>
      </w:pPr>
      <w:r>
        <w:t xml:space="preserve">18.3 Domain, TLS/HTTPS, and Production Hosting (Not Established)</w:t>
      </w:r>
    </w:p>
    <w:p>
      <w:pPr>
        <w:spacing w:after="160" w:line="276"/>
      </w:pPr>
      <w:r>
        <w:t xml:space="preserve">No production domain configuration, TLS termination setup, or cloud-hosting configuration (AWS/Azure/GCP account, load balancer, managed database) was found in the repository. The project's deployment target, by its own documentation, is a local/demo Docker Compose environment for the competition, not a live production service.</w:t>
      </w:r>
    </w:p>
    <w:p>
      <w:pPr>
        <w:pStyle w:val="Heading2"/>
        <w:spacing w:after="150" w:before="300"/>
      </w:pPr>
      <w:r>
        <w:t xml:space="preserve">18.4 Kubernetes (Proposed / Future)</w:t>
      </w:r>
    </w:p>
    <w:p>
      <w:pPr>
        <w:spacing w:after="60" w:before="12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05000"/>
                    </a:xfrm>
                    <a:prstGeom prst="rect">
                      <a:avLst/>
                    </a:prstGeom>
                  </pic:spPr>
                </pic:pic>
              </a:graphicData>
            </a:graphic>
          </wp:inline>
        </w:drawing>
      </w:r>
    </w:p>
    <w:p>
      <w:pPr>
        <w:spacing w:after="240" w:before="80"/>
        <w:jc w:val="center"/>
      </w:pPr>
      <w:r>
        <w:rPr>
          <w:i/>
          <w:iCs/>
          <w:color w:val="4A5568"/>
          <w:sz w:val="18"/>
          <w:szCs w:val="18"/>
        </w:rPr>
        <w:t xml:space="preserve">Figure 6. Deployment Architecture, including the deferred Kubernetes path (dashed).</w:t>
      </w:r>
    </w:p>
    <w:p>
      <w:pPr>
        <w:spacing w:after="160" w:line="276"/>
      </w:pPr>
      <w:r>
        <w:t xml:space="preserve">infra/k8s/ contains only a README explicitly recording the deferral: 'Kubernetes is the stated production path, not the demo path. Over-engineering the deployment before the product works would be the wrong trade... Fill this in only if a real deployment conversation starts.' This SRS records Kubernetes deployment as Proposed / Future, not Implemented or Partially Implemented, per that explicit repository statement.</w:t>
      </w:r>
    </w:p>
    <w:p>
      <w:r>
        <w:br w:type="page"/>
      </w:r>
    </w:p>
    <w:p>
      <w:pPr>
        <w:pStyle w:val="Heading1"/>
        <w:spacing w:after="200" w:before="400"/>
      </w:pPr>
      <w:r>
        <w:t xml:space="preserve">19. Testing Requirements</w:t>
      </w:r>
    </w:p>
    <w:p>
      <w:pPr>
        <w:pStyle w:val="Heading2"/>
        <w:spacing w:after="150" w:before="300"/>
      </w:pPr>
      <w:r>
        <w:t xml:space="preserve">19.1 Test Suite Inventory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800"/>
        <w:gridCol w:w="1660"/>
      </w:tblGrid>
      <w:tr>
        <w:trPr>
          <w:tblHeader/>
        </w:trPr>
        <w:tc>
          <w:tcPr>
            <w:tcW w:type="dxa" w:w="1900"/>
            <w:shd w:fill="1B6AB8" w:val="clear"/>
            <w:tcMar>
              <w:top w:type="dxa" w:w="80"/>
              <w:left w:type="dxa" w:w="100"/>
              <w:bottom w:type="dxa" w:w="80"/>
              <w:right w:type="dxa" w:w="100"/>
            </w:tcMar>
            <w:vAlign w:val="top"/>
          </w:tcPr>
          <w:p>
            <w:pPr>
              <w:spacing w:after="0"/>
            </w:pPr>
            <w:r>
              <w:rPr>
                <w:b/>
                <w:bCs/>
                <w:color w:val="FFFFFF"/>
                <w:sz w:val="19"/>
                <w:szCs w:val="19"/>
              </w:rPr>
              <w:t xml:space="preserve">Category</w:t>
            </w:r>
          </w:p>
        </w:tc>
        <w:tc>
          <w:tcPr>
            <w:tcW w:type="dxa" w:w="2000"/>
            <w:shd w:fill="1B6AB8" w:val="clear"/>
            <w:tcMar>
              <w:top w:type="dxa" w:w="80"/>
              <w:left w:type="dxa" w:w="100"/>
              <w:bottom w:type="dxa" w:w="80"/>
              <w:right w:type="dxa" w:w="100"/>
            </w:tcMar>
            <w:vAlign w:val="top"/>
          </w:tcPr>
          <w:p>
            <w:pPr>
              <w:spacing w:after="0"/>
            </w:pPr>
            <w:r>
              <w:rPr>
                <w:b/>
                <w:bCs/>
                <w:color w:val="FFFFFF"/>
                <w:sz w:val="19"/>
                <w:szCs w:val="19"/>
              </w:rPr>
              <w:t xml:space="preserve">Location</w:t>
            </w:r>
          </w:p>
        </w:tc>
        <w:tc>
          <w:tcPr>
            <w:tcW w:type="dxa" w:w="3800"/>
            <w:shd w:fill="1B6AB8" w:val="clear"/>
            <w:tcMar>
              <w:top w:type="dxa" w:w="80"/>
              <w:left w:type="dxa" w:w="100"/>
              <w:bottom w:type="dxa" w:w="80"/>
              <w:right w:type="dxa" w:w="100"/>
            </w:tcMar>
            <w:vAlign w:val="top"/>
          </w:tcPr>
          <w:p>
            <w:pPr>
              <w:spacing w:after="0"/>
            </w:pPr>
            <w:r>
              <w:rPr>
                <w:b/>
                <w:bCs/>
                <w:color w:val="FFFFFF"/>
                <w:sz w:val="19"/>
                <w:szCs w:val="19"/>
              </w:rPr>
              <w:t xml:space="preserve">Purpose</w:t>
            </w:r>
          </w:p>
        </w:tc>
        <w:tc>
          <w:tcPr>
            <w:tcW w:type="dxa" w:w="1660"/>
            <w:shd w:fill="1B6AB8" w:val="clear"/>
            <w:tcMar>
              <w:top w:type="dxa" w:w="80"/>
              <w:left w:type="dxa" w:w="100"/>
              <w:bottom w:type="dxa" w:w="80"/>
              <w:right w:type="dxa" w:w="100"/>
            </w:tcMar>
            <w:vAlign w:val="top"/>
          </w:tcPr>
          <w:p>
            <w:pPr>
              <w:spacing w:after="0"/>
            </w:pPr>
            <w:r>
              <w:rPr>
                <w:b/>
                <w:bCs/>
                <w:color w:val="FFFFFF"/>
                <w:sz w:val="19"/>
                <w:szCs w:val="19"/>
              </w:rPr>
              <w:t xml:space="preserve">Approx. File Count</w:t>
            </w:r>
          </w:p>
        </w:tc>
      </w:tr>
      <w:tr>
        <w:tc>
          <w:tcPr>
            <w:tcW w:type="dxa" w:w="1900"/>
            <w:tcMar>
              <w:top w:type="dxa" w:w="80"/>
              <w:left w:type="dxa" w:w="100"/>
              <w:bottom w:type="dxa" w:w="80"/>
              <w:right w:type="dxa" w:w="100"/>
            </w:tcMar>
            <w:vAlign w:val="top"/>
          </w:tcPr>
          <w:p>
            <w:pPr>
              <w:spacing w:after="0"/>
            </w:pPr>
            <w:r>
              <w:rPr>
                <w:sz w:val="19"/>
                <w:szCs w:val="19"/>
              </w:rPr>
              <w:t xml:space="preserve">Unit</w:t>
            </w:r>
          </w:p>
        </w:tc>
        <w:tc>
          <w:tcPr>
            <w:tcW w:type="dxa" w:w="2000"/>
            <w:tcMar>
              <w:top w:type="dxa" w:w="80"/>
              <w:left w:type="dxa" w:w="100"/>
              <w:bottom w:type="dxa" w:w="80"/>
              <w:right w:type="dxa" w:w="100"/>
            </w:tcMar>
            <w:vAlign w:val="top"/>
          </w:tcPr>
          <w:p>
            <w:pPr>
              <w:spacing w:after="0"/>
            </w:pPr>
            <w:r>
              <w:rPr>
                <w:sz w:val="19"/>
                <w:szCs w:val="19"/>
              </w:rPr>
              <w:t xml:space="preserve">tests/unit</w:t>
            </w:r>
          </w:p>
        </w:tc>
        <w:tc>
          <w:tcPr>
            <w:tcW w:type="dxa" w:w="3800"/>
            <w:tcMar>
              <w:top w:type="dxa" w:w="80"/>
              <w:left w:type="dxa" w:w="100"/>
              <w:bottom w:type="dxa" w:w="80"/>
              <w:right w:type="dxa" w:w="100"/>
            </w:tcMar>
            <w:vAlign w:val="top"/>
          </w:tcPr>
          <w:p>
            <w:pPr>
              <w:spacing w:after="0"/>
            </w:pPr>
            <w:r>
              <w:rPr>
                <w:sz w:val="19"/>
                <w:szCs w:val="19"/>
              </w:rPr>
              <w:t xml:space="preserve">Per-module correctness (detectors, trust components, graph, models, API routers).</w:t>
            </w:r>
          </w:p>
        </w:tc>
        <w:tc>
          <w:tcPr>
            <w:tcW w:type="dxa" w:w="1660"/>
            <w:tcMar>
              <w:top w:type="dxa" w:w="80"/>
              <w:left w:type="dxa" w:w="100"/>
              <w:bottom w:type="dxa" w:w="80"/>
              <w:right w:type="dxa" w:w="100"/>
            </w:tcMar>
            <w:vAlign w:val="top"/>
          </w:tcPr>
          <w:p>
            <w:pPr>
              <w:spacing w:after="0"/>
            </w:pPr>
            <w:r>
              <w:rPr>
                <w:sz w:val="19"/>
                <w:szCs w:val="19"/>
              </w:rPr>
              <w:t xml:space="preserve">60 files</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Integration</w:t>
            </w:r>
          </w:p>
        </w:tc>
        <w:tc>
          <w:tcPr>
            <w:tcW w:type="dxa" w:w="2000"/>
            <w:shd w:fill="F5F8FC" w:val="clear"/>
            <w:tcMar>
              <w:top w:type="dxa" w:w="80"/>
              <w:left w:type="dxa" w:w="100"/>
              <w:bottom w:type="dxa" w:w="80"/>
              <w:right w:type="dxa" w:w="100"/>
            </w:tcMar>
            <w:vAlign w:val="top"/>
          </w:tcPr>
          <w:p>
            <w:pPr>
              <w:spacing w:after="0"/>
            </w:pPr>
            <w:r>
              <w:rPr>
                <w:sz w:val="19"/>
                <w:szCs w:val="19"/>
              </w:rPr>
              <w:t xml:space="preserve">tests/integration</w:t>
            </w:r>
          </w:p>
        </w:tc>
        <w:tc>
          <w:tcPr>
            <w:tcW w:type="dxa" w:w="3800"/>
            <w:shd w:fill="F5F8FC" w:val="clear"/>
            <w:tcMar>
              <w:top w:type="dxa" w:w="80"/>
              <w:left w:type="dxa" w:w="100"/>
              <w:bottom w:type="dxa" w:w="80"/>
              <w:right w:type="dxa" w:w="100"/>
            </w:tcMar>
            <w:vAlign w:val="top"/>
          </w:tcPr>
          <w:p>
            <w:pPr>
              <w:spacing w:after="0"/>
            </w:pPr>
            <w:r>
              <w:rPr>
                <w:sz w:val="19"/>
                <w:szCs w:val="19"/>
              </w:rPr>
              <w:t xml:space="preserve">Cross-module and API+DB behaviour on a real (SQLite) session.</w:t>
            </w:r>
          </w:p>
        </w:tc>
        <w:tc>
          <w:tcPr>
            <w:tcW w:type="dxa" w:w="1660"/>
            <w:shd w:fill="F5F8FC" w:val="clear"/>
            <w:tcMar>
              <w:top w:type="dxa" w:w="80"/>
              <w:left w:type="dxa" w:w="100"/>
              <w:bottom w:type="dxa" w:w="80"/>
              <w:right w:type="dxa" w:w="100"/>
            </w:tcMar>
            <w:vAlign w:val="top"/>
          </w:tcPr>
          <w:p>
            <w:pPr>
              <w:spacing w:after="0"/>
            </w:pPr>
            <w:r>
              <w:rPr>
                <w:sz w:val="19"/>
                <w:szCs w:val="19"/>
              </w:rPr>
              <w:t xml:space="preserve">23 files</w:t>
            </w:r>
          </w:p>
        </w:tc>
      </w:tr>
      <w:tr>
        <w:tc>
          <w:tcPr>
            <w:tcW w:type="dxa" w:w="1900"/>
            <w:tcMar>
              <w:top w:type="dxa" w:w="80"/>
              <w:left w:type="dxa" w:w="100"/>
              <w:bottom w:type="dxa" w:w="80"/>
              <w:right w:type="dxa" w:w="100"/>
            </w:tcMar>
            <w:vAlign w:val="top"/>
          </w:tcPr>
          <w:p>
            <w:pPr>
              <w:spacing w:after="0"/>
            </w:pPr>
            <w:r>
              <w:rPr>
                <w:sz w:val="19"/>
                <w:szCs w:val="19"/>
              </w:rPr>
              <w:t xml:space="preserve">Property-based</w:t>
            </w:r>
          </w:p>
        </w:tc>
        <w:tc>
          <w:tcPr>
            <w:tcW w:type="dxa" w:w="2000"/>
            <w:tcMar>
              <w:top w:type="dxa" w:w="80"/>
              <w:left w:type="dxa" w:w="100"/>
              <w:bottom w:type="dxa" w:w="80"/>
              <w:right w:type="dxa" w:w="100"/>
            </w:tcMar>
            <w:vAlign w:val="top"/>
          </w:tcPr>
          <w:p>
            <w:pPr>
              <w:spacing w:after="0"/>
            </w:pPr>
            <w:r>
              <w:rPr>
                <w:sz w:val="19"/>
                <w:szCs w:val="19"/>
              </w:rPr>
              <w:t xml:space="preserve">tests/property</w:t>
            </w:r>
          </w:p>
        </w:tc>
        <w:tc>
          <w:tcPr>
            <w:tcW w:type="dxa" w:w="3800"/>
            <w:tcMar>
              <w:top w:type="dxa" w:w="80"/>
              <w:left w:type="dxa" w:w="100"/>
              <w:bottom w:type="dxa" w:w="80"/>
              <w:right w:type="dxa" w:w="100"/>
            </w:tcMar>
            <w:vAlign w:val="top"/>
          </w:tcPr>
          <w:p>
            <w:pPr>
              <w:spacing w:after="0"/>
            </w:pPr>
            <w:r>
              <w:rPr>
                <w:sz w:val="19"/>
                <w:szCs w:val="19"/>
              </w:rPr>
              <w:t xml:space="preserve">Hypothesis-driven invariant testing (e.g., detector and graph invariants).</w:t>
            </w:r>
          </w:p>
        </w:tc>
        <w:tc>
          <w:tcPr>
            <w:tcW w:type="dxa" w:w="1660"/>
            <w:tcMar>
              <w:top w:type="dxa" w:w="80"/>
              <w:left w:type="dxa" w:w="100"/>
              <w:bottom w:type="dxa" w:w="80"/>
              <w:right w:type="dxa" w:w="100"/>
            </w:tcMar>
            <w:vAlign w:val="top"/>
          </w:tcPr>
          <w:p>
            <w:pPr>
              <w:spacing w:after="0"/>
            </w:pPr>
            <w:r>
              <w:rPr>
                <w:sz w:val="19"/>
                <w:szCs w:val="19"/>
              </w:rPr>
              <w:t xml:space="preserve">3 files</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End-to-end</w:t>
            </w:r>
          </w:p>
        </w:tc>
        <w:tc>
          <w:tcPr>
            <w:tcW w:type="dxa" w:w="2000"/>
            <w:shd w:fill="F5F8FC" w:val="clear"/>
            <w:tcMar>
              <w:top w:type="dxa" w:w="80"/>
              <w:left w:type="dxa" w:w="100"/>
              <w:bottom w:type="dxa" w:w="80"/>
              <w:right w:type="dxa" w:w="100"/>
            </w:tcMar>
            <w:vAlign w:val="top"/>
          </w:tcPr>
          <w:p>
            <w:pPr>
              <w:spacing w:after="0"/>
            </w:pPr>
            <w:r>
              <w:rPr>
                <w:sz w:val="19"/>
                <w:szCs w:val="19"/>
              </w:rPr>
              <w:t xml:space="preserve">tests/e2e</w:t>
            </w:r>
          </w:p>
        </w:tc>
        <w:tc>
          <w:tcPr>
            <w:tcW w:type="dxa" w:w="3800"/>
            <w:shd w:fill="F5F8FC" w:val="clear"/>
            <w:tcMar>
              <w:top w:type="dxa" w:w="80"/>
              <w:left w:type="dxa" w:w="100"/>
              <w:bottom w:type="dxa" w:w="80"/>
              <w:right w:type="dxa" w:w="100"/>
            </w:tcMar>
            <w:vAlign w:val="top"/>
          </w:tcPr>
          <w:p>
            <w:pPr>
              <w:spacing w:after="0"/>
            </w:pPr>
            <w:r>
              <w:rPr>
                <w:sz w:val="19"/>
                <w:szCs w:val="19"/>
              </w:rPr>
              <w:t xml:space="preserve">Full pipeline/demo-rehearsal scenarios, including the offline-egress-blocked run.</w:t>
            </w:r>
          </w:p>
        </w:tc>
        <w:tc>
          <w:tcPr>
            <w:tcW w:type="dxa" w:w="1660"/>
            <w:shd w:fill="F5F8FC" w:val="clear"/>
            <w:tcMar>
              <w:top w:type="dxa" w:w="80"/>
              <w:left w:type="dxa" w:w="100"/>
              <w:bottom w:type="dxa" w:w="80"/>
              <w:right w:type="dxa" w:w="100"/>
            </w:tcMar>
            <w:vAlign w:val="top"/>
          </w:tcPr>
          <w:p>
            <w:pPr>
              <w:spacing w:after="0"/>
            </w:pPr>
            <w:r>
              <w:rPr>
                <w:sz w:val="19"/>
                <w:szCs w:val="19"/>
              </w:rPr>
              <w:t xml:space="preserve">5 files</w:t>
            </w:r>
          </w:p>
        </w:tc>
      </w:tr>
      <w:tr>
        <w:tc>
          <w:tcPr>
            <w:tcW w:type="dxa" w:w="1900"/>
            <w:tcMar>
              <w:top w:type="dxa" w:w="80"/>
              <w:left w:type="dxa" w:w="100"/>
              <w:bottom w:type="dxa" w:w="80"/>
              <w:right w:type="dxa" w:w="100"/>
            </w:tcMar>
            <w:vAlign w:val="top"/>
          </w:tcPr>
          <w:p>
            <w:pPr>
              <w:spacing w:after="0"/>
            </w:pPr>
            <w:r>
              <w:rPr>
                <w:sz w:val="19"/>
                <w:szCs w:val="19"/>
              </w:rPr>
              <w:t xml:space="preserve">Architecture</w:t>
            </w:r>
          </w:p>
        </w:tc>
        <w:tc>
          <w:tcPr>
            <w:tcW w:type="dxa" w:w="2000"/>
            <w:tcMar>
              <w:top w:type="dxa" w:w="80"/>
              <w:left w:type="dxa" w:w="100"/>
              <w:bottom w:type="dxa" w:w="80"/>
              <w:right w:type="dxa" w:w="100"/>
            </w:tcMar>
            <w:vAlign w:val="top"/>
          </w:tcPr>
          <w:p>
            <w:pPr>
              <w:spacing w:after="0"/>
            </w:pPr>
            <w:r>
              <w:rPr>
                <w:sz w:val="19"/>
                <w:szCs w:val="19"/>
              </w:rPr>
              <w:t xml:space="preserve">tests/architecture</w:t>
            </w:r>
          </w:p>
        </w:tc>
        <w:tc>
          <w:tcPr>
            <w:tcW w:type="dxa" w:w="3800"/>
            <w:tcMar>
              <w:top w:type="dxa" w:w="80"/>
              <w:left w:type="dxa" w:w="100"/>
              <w:bottom w:type="dxa" w:w="80"/>
              <w:right w:type="dxa" w:w="100"/>
            </w:tcMar>
            <w:vAlign w:val="top"/>
          </w:tcPr>
          <w:p>
            <w:pPr>
              <w:spacing w:after="0"/>
            </w:pPr>
            <w:r>
              <w:rPr>
                <w:sz w:val="19"/>
                <w:szCs w:val="19"/>
              </w:rPr>
              <w:t xml:space="preserve">Structural invariants: module layering, the sign-off static call-graph, RBAC matrix.</w:t>
            </w:r>
          </w:p>
        </w:tc>
        <w:tc>
          <w:tcPr>
            <w:tcW w:type="dxa" w:w="1660"/>
            <w:tcMar>
              <w:top w:type="dxa" w:w="80"/>
              <w:left w:type="dxa" w:w="100"/>
              <w:bottom w:type="dxa" w:w="80"/>
              <w:right w:type="dxa" w:w="100"/>
            </w:tcMar>
            <w:vAlign w:val="top"/>
          </w:tcPr>
          <w:p>
            <w:pPr>
              <w:spacing w:after="0"/>
            </w:pPr>
            <w:r>
              <w:rPr>
                <w:sz w:val="19"/>
                <w:szCs w:val="19"/>
              </w:rPr>
              <w:t xml:space="preserve">5 files</w:t>
            </w:r>
          </w:p>
        </w:tc>
      </w:tr>
      <w:tr>
        <w:tc>
          <w:tcPr>
            <w:tcW w:type="dxa" w:w="1900"/>
            <w:shd w:fill="F5F8FC" w:val="clear"/>
            <w:tcMar>
              <w:top w:type="dxa" w:w="80"/>
              <w:left w:type="dxa" w:w="100"/>
              <w:bottom w:type="dxa" w:w="80"/>
              <w:right w:type="dxa" w:w="100"/>
            </w:tcMar>
            <w:vAlign w:val="top"/>
          </w:tcPr>
          <w:p>
            <w:pPr>
              <w:spacing w:after="0"/>
            </w:pPr>
            <w:r>
              <w:rPr>
                <w:sz w:val="19"/>
                <w:szCs w:val="19"/>
              </w:rPr>
              <w:t xml:space="preserve">Frontend unit/component</w:t>
            </w:r>
          </w:p>
        </w:tc>
        <w:tc>
          <w:tcPr>
            <w:tcW w:type="dxa" w:w="2000"/>
            <w:shd w:fill="F5F8FC" w:val="clear"/>
            <w:tcMar>
              <w:top w:type="dxa" w:w="80"/>
              <w:left w:type="dxa" w:w="100"/>
              <w:bottom w:type="dxa" w:w="80"/>
              <w:right w:type="dxa" w:w="100"/>
            </w:tcMar>
            <w:vAlign w:val="top"/>
          </w:tcPr>
          <w:p>
            <w:pPr>
              <w:spacing w:after="0"/>
            </w:pPr>
            <w:r>
              <w:rPr>
                <w:sz w:val="19"/>
                <w:szCs w:val="19"/>
              </w:rPr>
              <w:t xml:space="preserve">apps/web/src/__tests__</w:t>
            </w:r>
          </w:p>
        </w:tc>
        <w:tc>
          <w:tcPr>
            <w:tcW w:type="dxa" w:w="3800"/>
            <w:shd w:fill="F5F8FC" w:val="clear"/>
            <w:tcMar>
              <w:top w:type="dxa" w:w="80"/>
              <w:left w:type="dxa" w:w="100"/>
              <w:bottom w:type="dxa" w:w="80"/>
              <w:right w:type="dxa" w:w="100"/>
            </w:tcMar>
            <w:vAlign w:val="top"/>
          </w:tcPr>
          <w:p>
            <w:pPr>
              <w:spacing w:after="0"/>
            </w:pPr>
            <w:r>
              <w:rPr>
                <w:sz w:val="19"/>
                <w:szCs w:val="19"/>
              </w:rPr>
              <w:t xml:space="preserve">Vitest + Testing Library component behaviour.</w:t>
            </w:r>
          </w:p>
        </w:tc>
        <w:tc>
          <w:tcPr>
            <w:tcW w:type="dxa" w:w="1660"/>
            <w:shd w:fill="F5F8FC" w:val="clear"/>
            <w:tcMar>
              <w:top w:type="dxa" w:w="80"/>
              <w:left w:type="dxa" w:w="100"/>
              <w:bottom w:type="dxa" w:w="80"/>
              <w:right w:type="dxa" w:w="100"/>
            </w:tcMar>
            <w:vAlign w:val="top"/>
          </w:tcPr>
          <w:p>
            <w:pPr>
              <w:spacing w:after="0"/>
            </w:pPr>
            <w:r>
              <w:rPr>
                <w:sz w:val="19"/>
                <w:szCs w:val="19"/>
              </w:rPr>
              <w:t xml:space="preserve">Present (exact count not independently re-verified beyond package.json script wiring).</w:t>
            </w:r>
          </w:p>
        </w:tc>
      </w:tr>
      <w:tr>
        <w:tc>
          <w:tcPr>
            <w:tcW w:type="dxa" w:w="1900"/>
            <w:tcMar>
              <w:top w:type="dxa" w:w="80"/>
              <w:left w:type="dxa" w:w="100"/>
              <w:bottom w:type="dxa" w:w="80"/>
              <w:right w:type="dxa" w:w="100"/>
            </w:tcMar>
            <w:vAlign w:val="top"/>
          </w:tcPr>
          <w:p>
            <w:pPr>
              <w:spacing w:after="0"/>
            </w:pPr>
            <w:r>
              <w:rPr>
                <w:sz w:val="19"/>
                <w:szCs w:val="19"/>
              </w:rPr>
              <w:t xml:space="preserve">Frontend E2E / visual / accessibility</w:t>
            </w:r>
          </w:p>
        </w:tc>
        <w:tc>
          <w:tcPr>
            <w:tcW w:type="dxa" w:w="2000"/>
            <w:tcMar>
              <w:top w:type="dxa" w:w="80"/>
              <w:left w:type="dxa" w:w="100"/>
              <w:bottom w:type="dxa" w:w="80"/>
              <w:right w:type="dxa" w:w="100"/>
            </w:tcMar>
            <w:vAlign w:val="top"/>
          </w:tcPr>
          <w:p>
            <w:pPr>
              <w:spacing w:after="0"/>
            </w:pPr>
            <w:r>
              <w:rPr>
                <w:sz w:val="19"/>
                <w:szCs w:val="19"/>
              </w:rPr>
              <w:t xml:space="preserve">apps/web (Playwright config)</w:t>
            </w:r>
          </w:p>
        </w:tc>
        <w:tc>
          <w:tcPr>
            <w:tcW w:type="dxa" w:w="3800"/>
            <w:tcMar>
              <w:top w:type="dxa" w:w="80"/>
              <w:left w:type="dxa" w:w="100"/>
              <w:bottom w:type="dxa" w:w="80"/>
              <w:right w:type="dxa" w:w="100"/>
            </w:tcMar>
            <w:vAlign w:val="top"/>
          </w:tcPr>
          <w:p>
            <w:pPr>
              <w:spacing w:after="0"/>
            </w:pPr>
            <w:r>
              <w:rPr>
                <w:sz w:val="19"/>
                <w:szCs w:val="19"/>
              </w:rPr>
              <w:t xml:space="preserve">Playwright visual-regression baselines and axe-core accessibility scans.</w:t>
            </w:r>
          </w:p>
        </w:tc>
        <w:tc>
          <w:tcPr>
            <w:tcW w:type="dxa" w:w="1660"/>
            <w:tcMar>
              <w:top w:type="dxa" w:w="80"/>
              <w:left w:type="dxa" w:w="100"/>
              <w:bottom w:type="dxa" w:w="80"/>
              <w:right w:type="dxa" w:w="100"/>
            </w:tcMar>
            <w:vAlign w:val="top"/>
          </w:tcPr>
          <w:p>
            <w:pPr>
              <w:spacing w:after="0"/>
            </w:pPr>
            <w:r>
              <w:rPr>
                <w:sz w:val="19"/>
                <w:szCs w:val="19"/>
              </w:rPr>
              <w:t xml:space="preserve">Present per package.json devDependencies.</w:t>
            </w:r>
          </w:p>
        </w:tc>
      </w:tr>
    </w:tbl>
    <w:p>
      <w:pPr>
        <w:pStyle w:val="Heading2"/>
        <w:spacing w:after="150" w:before="300"/>
      </w:pPr>
      <w:r>
        <w:t xml:space="preserve">19.2 Coverage and Quality Gates (Implemented)</w:t>
      </w:r>
    </w:p>
    <w:p>
      <w:pPr>
        <w:spacing w:after="160" w:line="276"/>
      </w:pPr>
      <w:r>
        <w:t xml:space="preserve">`make check` runs ruff lint, ruff format --check, mypy --strict, and pytest with a minimum 88% coverage gate; the Phase-7 freeze measured 90.57% total coverage with 619 passing backend tests plus a full schemathesis API fuzz pass. CI enforces the same gate on every push and pull request via .github/workflows/ci.yml.</w:t>
      </w:r>
    </w:p>
    <w:p>
      <w:pPr>
        <w:pStyle w:val="Heading2"/>
        <w:spacing w:after="150" w:before="300"/>
      </w:pPr>
      <w:r>
        <w:t xml:space="preserve">19.3 Specialised Testing Practices (Implemented)</w:t>
      </w:r>
    </w:p>
    <w:p>
      <w:pPr>
        <w:pStyle w:val="ListParagraph"/>
        <w:numPr>
          <w:ilvl w:val="0"/>
          <w:numId w:val="1"/>
        </w:numPr>
        <w:spacing w:after="80" w:line="264"/>
      </w:pPr>
      <w:r>
        <w:t xml:space="preserve">API property/contract testing: schemathesis fuzzing against the live OpenAPI schema, covering every operation.</w:t>
      </w:r>
    </w:p>
    <w:p>
      <w:pPr>
        <w:pStyle w:val="ListParagraph"/>
        <w:numPr>
          <w:ilvl w:val="0"/>
          <w:numId w:val="1"/>
        </w:numPr>
        <w:spacing w:after="80" w:line="264"/>
      </w:pPr>
      <w:r>
        <w:t xml:space="preserve">Security static analysis: CodeQL workflow (codeql.yml).</w:t>
      </w:r>
    </w:p>
    <w:p>
      <w:pPr>
        <w:pStyle w:val="ListParagraph"/>
        <w:numPr>
          <w:ilvl w:val="0"/>
          <w:numId w:val="1"/>
        </w:numPr>
        <w:spacing w:after="80" w:line="264"/>
      </w:pPr>
      <w:r>
        <w:t xml:space="preserve">Determinism testing: byte-identical demo-scenario output asserted across repeated runs (CLI and library entry points).</w:t>
      </w:r>
    </w:p>
    <w:p>
      <w:pPr>
        <w:pStyle w:val="ListParagraph"/>
        <w:numPr>
          <w:ilvl w:val="0"/>
          <w:numId w:val="1"/>
        </w:numPr>
        <w:spacing w:after="80" w:line="264"/>
      </w:pPr>
      <w:r>
        <w:t xml:space="preserve">Concurrency/idempotency testing: dispatch idempotency asserted under retry and under concurrent requests.</w:t>
      </w:r>
    </w:p>
    <w:p>
      <w:pPr>
        <w:pStyle w:val="ListParagraph"/>
        <w:numPr>
          <w:ilvl w:val="0"/>
          <w:numId w:val="1"/>
        </w:numPr>
        <w:spacing w:after="80" w:line="264"/>
      </w:pPr>
      <w:r>
        <w:t xml:space="preserve">Load smoke testing: 50 concurrent clients against the API, all required to succeed.</w:t>
      </w:r>
    </w:p>
    <w:p>
      <w:pPr>
        <w:pStyle w:val="ListParagraph"/>
        <w:numPr>
          <w:ilvl w:val="0"/>
          <w:numId w:val="1"/>
        </w:numPr>
        <w:spacing w:after="80" w:line="264"/>
      </w:pPr>
      <w:r>
        <w:t xml:space="preserve">Contract-drift testing: a dedicated CI job (contract) guards the generated frontend API client, the reason-code registry, and design tokens against silent drift from backend changes.</w:t>
      </w:r>
    </w:p>
    <w:p>
      <w:pPr>
        <w:pStyle w:val="ListParagraph"/>
        <w:numPr>
          <w:ilvl w:val="0"/>
          <w:numId w:val="1"/>
        </w:numPr>
        <w:spacing w:after="80" w:line="264"/>
      </w:pPr>
      <w:r>
        <w:t xml:space="preserve">Visual regression: Playwright snapshot baselines for the dashboard, deliberately preserved (not churned) during the Phase-7 freeze.</w:t>
      </w:r>
    </w:p>
    <w:p>
      <w:pPr>
        <w:pStyle w:val="Heading2"/>
        <w:spacing w:after="150" w:before="300"/>
      </w:pPr>
      <w:r>
        <w:t xml:space="preserve">19.4 AI Evaluation (Partially Implemented)</w:t>
      </w:r>
    </w:p>
    <w:p>
      <w:pPr>
        <w:spacing w:after="160" w:line="276"/>
      </w:pPr>
      <w:r>
        <w:t xml:space="preserve">Model-level invariants are pinned by tests (the beta=0 GAT-recovery property, monotonic wind-attention). Broader systematic AI evaluation — e.g., a held-out labelled benchmark for adjudication accuracy across many real events — could not be established beyond the single documented KER11 case study and representative synthetic-corpus metrics in the model cards; this is recorded as a gap in Section 32.</w:t>
      </w:r>
    </w:p>
    <w:p>
      <w:pPr>
        <w:pStyle w:val="Heading2"/>
        <w:spacing w:after="150" w:before="300"/>
      </w:pPr>
      <w:r>
        <w:t xml:space="preserve">19.5 Regression and User Acceptance Testing</w:t>
      </w:r>
    </w:p>
    <w:p>
      <w:pPr>
        <w:spacing w:after="160" w:line="276"/>
      </w:pPr>
      <w:r>
        <w:t xml:space="preserve">Regression testing is evidenced throughout (golden-file snapshots for rendered audit reports, pinned numeric regression tests for the defect rate and trust trajectory). A structured, deterministic 'full-script rehearsal' (tests/e2e/test_demo_rehearsal.py) functions as the closest equivalent to user-acceptance testing found in the repository, asserting every key screen state is reached in order with its correct computed numbers — an explicitly documented substitute for a full browser Playwright walk of the operational screens, chosen to avoid churning pinned visual baselines (see Section 32).</w:t>
      </w:r>
    </w:p>
    <w:p>
      <w:r>
        <w:br w:type="page"/>
      </w:r>
    </w:p>
    <w:p>
      <w:pPr>
        <w:pStyle w:val="Heading1"/>
        <w:spacing w:after="200" w:before="400"/>
      </w:pPr>
      <w:r>
        <w:t xml:space="preserve">20. Constraints</w:t>
      </w:r>
    </w:p>
    <w:p>
      <w:pPr>
        <w:pStyle w:val="Heading2"/>
        <w:spacing w:after="150" w:before="300"/>
      </w:pPr>
      <w:r>
        <w:t xml:space="preserve">20.1 Technical Constraints</w:t>
      </w:r>
    </w:p>
    <w:p>
      <w:pPr>
        <w:pStyle w:val="ListParagraph"/>
        <w:numPr>
          <w:ilvl w:val="0"/>
          <w:numId w:val="1"/>
        </w:numPr>
        <w:spacing w:after="80" w:line="264"/>
      </w:pPr>
      <w:r>
        <w:t xml:space="preserve">Python 3.12 minimum (pyproject.toml requires-python &gt;=3.12); the codebase uses modern typing syntax throughout.</w:t>
      </w:r>
    </w:p>
    <w:p>
      <w:pPr>
        <w:pStyle w:val="ListParagraph"/>
        <w:numPr>
          <w:ilvl w:val="0"/>
          <w:numId w:val="1"/>
        </w:numPr>
        <w:spacing w:after="80" w:line="264"/>
      </w:pPr>
      <w:r>
        <w:t xml:space="preserve">torch and torch-geometric are pinned to CPU-compatible, pure-Python-fallback versions (torch-geometric falls back to torch.scatter_reduce rather than requiring compiled torch-scatter/torch-sparse) so the neural stack installs on both Apple Silicon (arm64 macOS) and the Linux CI runner without a companion wheel index.</w:t>
      </w:r>
    </w:p>
    <w:p>
      <w:pPr>
        <w:pStyle w:val="ListParagraph"/>
        <w:numPr>
          <w:ilvl w:val="0"/>
          <w:numId w:val="1"/>
        </w:numPr>
        <w:spacing w:after="80" w:line="264"/>
      </w:pPr>
      <w:r>
        <w:t xml:space="preserve">A documented macOS/Apple-Silicon library collision (torch and scikit-learn each loading their own libomp.dylib) requires OMP_NUM_THREADS=1 to be set before any router import can pull torch in transitively; removing this guard risks a SIGSEGV on the HST-GAT inference path.</w:t>
      </w:r>
    </w:p>
    <w:p>
      <w:pPr>
        <w:pStyle w:val="ListParagraph"/>
        <w:numPr>
          <w:ilvl w:val="0"/>
          <w:numId w:val="1"/>
        </w:numPr>
        <w:spacing w:after="80" w:line="264"/>
      </w:pPr>
      <w:r>
        <w:t xml:space="preserve">The ORM models must build identically on SQLite (tests) and TimescaleDB/PostgreSQL (production), which constrains the schema to features common to both (no Timescale-specific hypertable feature is referenced directly in the ORM).</w:t>
      </w:r>
    </w:p>
    <w:p>
      <w:pPr>
        <w:pStyle w:val="Heading2"/>
        <w:spacing w:after="150" w:before="300"/>
      </w:pPr>
      <w:r>
        <w:t xml:space="preserve">20.2 Data Constraints</w:t>
      </w:r>
    </w:p>
    <w:p>
      <w:pPr>
        <w:pStyle w:val="ListParagraph"/>
        <w:numPr>
          <w:ilvl w:val="0"/>
          <w:numId w:val="1"/>
        </w:numPr>
        <w:spacing w:after="80" w:line="264"/>
      </w:pPr>
      <w:r>
        <w:t xml:space="preserve">Real datasets are never committed to the repository; all development against real data happens locally against a file-drop the developer supplies.</w:t>
      </w:r>
    </w:p>
    <w:p>
      <w:pPr>
        <w:pStyle w:val="ListParagraph"/>
        <w:numPr>
          <w:ilvl w:val="0"/>
          <w:numId w:val="1"/>
        </w:numPr>
        <w:spacing w:after="80" w:line="264"/>
      </w:pPr>
      <w:r>
        <w:t xml:space="preserve">The reading corpus is small by neural-modelling standards (~720 timesteps per station across 16-18 stations), which is the explicit justification for HST-GAT's deliberately small parameter count (3,299).</w:t>
      </w:r>
    </w:p>
    <w:p>
      <w:pPr>
        <w:pStyle w:val="ListParagraph"/>
        <w:numPr>
          <w:ilvl w:val="0"/>
          <w:numId w:val="1"/>
        </w:numPr>
        <w:spacing w:after="80" w:line="264"/>
      </w:pPr>
      <w:r>
        <w:t xml:space="preserve">No labelled ground truth exists yet for adjudication or trust-score outcomes; the Trust Score weights are expert-elicited and endorsed, not statistically fitted.</w:t>
      </w:r>
    </w:p>
    <w:p>
      <w:pPr>
        <w:pStyle w:val="Heading2"/>
        <w:spacing w:after="150" w:before="300"/>
      </w:pPr>
      <w:r>
        <w:t xml:space="preserve">20.3 Infrastructure Constraints</w:t>
      </w:r>
    </w:p>
    <w:p>
      <w:pPr>
        <w:pStyle w:val="ListParagraph"/>
        <w:numPr>
          <w:ilvl w:val="0"/>
          <w:numId w:val="1"/>
        </w:numPr>
        <w:spacing w:after="80" w:line="264"/>
      </w:pPr>
      <w:r>
        <w:t xml:space="preserve">The demo/competition deployment target is Docker Compose, not a managed cloud service or Kubernetes cluster.</w:t>
      </w:r>
    </w:p>
    <w:p>
      <w:pPr>
        <w:pStyle w:val="ListParagraph"/>
        <w:numPr>
          <w:ilvl w:val="0"/>
          <w:numId w:val="1"/>
        </w:numPr>
        <w:spacing w:after="80" w:line="264"/>
      </w:pPr>
      <w:r>
        <w:t xml:space="preserve">PopulationExposure depends on the presence of a GTFS bundle and station coordinates; its absence is handled gracefully but the resulting exposure value is a documented, less-informative fallback.</w:t>
      </w:r>
    </w:p>
    <w:p>
      <w:pPr>
        <w:pStyle w:val="Heading2"/>
        <w:spacing w:after="150" w:before="300"/>
      </w:pPr>
      <w:r>
        <w:t xml:space="preserve">20.4 Business / Competition Constraints</w:t>
      </w:r>
    </w:p>
    <w:p>
      <w:pPr>
        <w:pStyle w:val="ListParagraph"/>
        <w:numPr>
          <w:ilvl w:val="0"/>
          <w:numId w:val="1"/>
        </w:numPr>
        <w:spacing w:after="80" w:line="264"/>
      </w:pPr>
      <w:r>
        <w:t xml:space="preserve">Idea-stage entry deadline: 4 September 2026.</w:t>
      </w:r>
    </w:p>
    <w:p>
      <w:pPr>
        <w:pStyle w:val="ListParagraph"/>
        <w:numPr>
          <w:ilvl w:val="0"/>
          <w:numId w:val="1"/>
        </w:numPr>
        <w:spacing w:after="80" w:line="264"/>
      </w:pPr>
      <w:r>
        <w:t xml:space="preserve">Demo-stage entry deadline: 25 September 2026.</w:t>
      </w:r>
    </w:p>
    <w:p>
      <w:pPr>
        <w:pStyle w:val="ListParagraph"/>
        <w:numPr>
          <w:ilvl w:val="0"/>
          <w:numId w:val="1"/>
        </w:numPr>
        <w:spacing w:after="80" w:line="264"/>
      </w:pPr>
      <w:r>
        <w:t xml:space="preserve">The competition strategy explicitly prioritises B1 (data quality audit) before B3 (graph adjudication) before B2 (meteorological normalisation), with B4 (industrial attribution) demoted to a closing slide — a stated engineering trade-off, not an oversight, recorded in the project's own build-phase table.</w:t>
      </w:r>
    </w:p>
    <w:p>
      <w:pPr>
        <w:pStyle w:val="Heading2"/>
        <w:spacing w:after="150" w:before="300"/>
      </w:pPr>
      <w:r>
        <w:t xml:space="preserve">20.5 Operational Constraints</w:t>
      </w:r>
    </w:p>
    <w:p>
      <w:pPr>
        <w:pStyle w:val="ListParagraph"/>
        <w:numPr>
          <w:ilvl w:val="0"/>
          <w:numId w:val="1"/>
        </w:numPr>
        <w:spacing w:after="80" w:line="264"/>
      </w:pPr>
      <w:r>
        <w:t xml:space="preserve">No automated system in Provenance may trigger a public-facing alert without a human sign-off; this is enforced structurally (a static call-graph test), which constrains any future feature that wants to reach the public directly.</w:t>
      </w:r>
    </w:p>
    <w:p>
      <w:pPr>
        <w:pStyle w:val="ListParagraph"/>
        <w:numPr>
          <w:ilvl w:val="0"/>
          <w:numId w:val="1"/>
        </w:numPr>
        <w:spacing w:after="80" w:line="264"/>
      </w:pPr>
      <w:r>
        <w:t xml:space="preserve">Documentation practice constrains all planning and specification documents to a strict 'never edit in place, always version' discipline, which increases documentation volume but preserves a complete audit trail of design decisions.</w:t>
      </w:r>
    </w:p>
    <w:p>
      <w:pPr>
        <w:pStyle w:val="Heading2"/>
        <w:spacing w:after="150" w:before="300"/>
      </w:pPr>
      <w:r>
        <w:t xml:space="preserve">20.6 Legal or Regulatory Considerations</w:t>
      </w:r>
    </w:p>
    <w:p>
      <w:pPr>
        <w:spacing w:after="160" w:line="276"/>
      </w:pPr>
      <w:r>
        <w:rPr>
          <w:i/>
          <w:iCs/>
          <w:color w:val="990000"/>
        </w:rPr>
        <w:t xml:space="preserve">Unable to verify from available project evidence.</w:t>
      </w:r>
    </w:p>
    <w:p>
      <w:pPr>
        <w:spacing w:after="160" w:line="276"/>
      </w:pPr>
      <w:r>
        <w:t xml:space="preserve">No explicit regulatory framework (e.g., a named municipal or EU environmental-data reporting standard) was found referenced in the repository beyond the general framing of producing a 'regulator-facing export.' The project's licence is stated as MIT, provisionally (LICENSE, README.md).</w:t>
      </w:r>
    </w:p>
    <w:p>
      <w:r>
        <w:br w:type="page"/>
      </w:r>
    </w:p>
    <w:p>
      <w:pPr>
        <w:pStyle w:val="Heading1"/>
        <w:spacing w:after="200" w:before="400"/>
      </w:pPr>
      <w:r>
        <w:t xml:space="preserve">21. Assumptions and Dependencies</w:t>
      </w:r>
    </w:p>
    <w:p>
      <w:pPr>
        <w:pStyle w:val="Heading2"/>
        <w:spacing w:after="150" w:before="300"/>
      </w:pPr>
      <w:r>
        <w:t xml:space="preserve">21.1 Confirmed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860"/>
        <w:gridCol w:w="3400"/>
      </w:tblGrid>
      <w:tr>
        <w:trPr>
          <w:tblHeader/>
        </w:trPr>
        <w:tc>
          <w:tcPr>
            <w:tcW w:type="dxa" w:w="3100"/>
            <w:shd w:fill="1B6AB8" w:val="clear"/>
            <w:tcMar>
              <w:top w:type="dxa" w:w="80"/>
              <w:left w:type="dxa" w:w="100"/>
              <w:bottom w:type="dxa" w:w="80"/>
              <w:right w:type="dxa" w:w="100"/>
            </w:tcMar>
            <w:vAlign w:val="top"/>
          </w:tcPr>
          <w:p>
            <w:pPr>
              <w:spacing w:after="0"/>
            </w:pPr>
            <w:r>
              <w:rPr>
                <w:b/>
                <w:bCs/>
                <w:color w:val="FFFFFF"/>
                <w:sz w:val="19"/>
                <w:szCs w:val="19"/>
              </w:rPr>
              <w:t xml:space="preserve">Dependency</w:t>
            </w:r>
          </w:p>
        </w:tc>
        <w:tc>
          <w:tcPr>
            <w:tcW w:type="dxa" w:w="2860"/>
            <w:shd w:fill="1B6AB8" w:val="clear"/>
            <w:tcMar>
              <w:top w:type="dxa" w:w="80"/>
              <w:left w:type="dxa" w:w="100"/>
              <w:bottom w:type="dxa" w:w="80"/>
              <w:right w:type="dxa" w:w="100"/>
            </w:tcMar>
            <w:vAlign w:val="top"/>
          </w:tcPr>
          <w:p>
            <w:pPr>
              <w:spacing w:after="0"/>
            </w:pPr>
            <w:r>
              <w:rPr>
                <w:b/>
                <w:bCs/>
                <w:color w:val="FFFFFF"/>
                <w:sz w:val="19"/>
                <w:szCs w:val="19"/>
              </w:rPr>
              <w:t xml:space="preserve">Nature</w:t>
            </w:r>
          </w:p>
        </w:tc>
        <w:tc>
          <w:tcPr>
            <w:tcW w:type="dxa" w:w="3400"/>
            <w:shd w:fill="1B6AB8" w:val="clear"/>
            <w:tcMar>
              <w:top w:type="dxa" w:w="80"/>
              <w:left w:type="dxa" w:w="100"/>
              <w:bottom w:type="dxa" w:w="80"/>
              <w:right w:type="dxa" w:w="100"/>
            </w:tcMar>
            <w:vAlign w:val="top"/>
          </w:tcPr>
          <w:p>
            <w:pPr>
              <w:spacing w:after="0"/>
            </w:pPr>
            <w:r>
              <w:rPr>
                <w:b/>
                <w:bCs/>
                <w:color w:val="FFFFFF"/>
                <w:sz w:val="19"/>
                <w:szCs w:val="19"/>
              </w:rPr>
              <w:t xml:space="preserve">Evidence</w:t>
            </w:r>
          </w:p>
        </w:tc>
      </w:tr>
      <w:tr>
        <w:tc>
          <w:tcPr>
            <w:tcW w:type="dxa" w:w="3100"/>
            <w:tcMar>
              <w:top w:type="dxa" w:w="80"/>
              <w:left w:type="dxa" w:w="100"/>
              <w:bottom w:type="dxa" w:w="80"/>
              <w:right w:type="dxa" w:w="100"/>
            </w:tcMar>
            <w:vAlign w:val="top"/>
          </w:tcPr>
          <w:p>
            <w:pPr>
              <w:spacing w:after="0"/>
            </w:pPr>
            <w:r>
              <w:rPr>
                <w:sz w:val="19"/>
                <w:szCs w:val="19"/>
              </w:rPr>
              <w:t xml:space="preserve">TimescaleDB / PostgreSQL + PostGIS</w:t>
            </w:r>
          </w:p>
        </w:tc>
        <w:tc>
          <w:tcPr>
            <w:tcW w:type="dxa" w:w="2860"/>
            <w:tcMar>
              <w:top w:type="dxa" w:w="80"/>
              <w:left w:type="dxa" w:w="100"/>
              <w:bottom w:type="dxa" w:w="80"/>
              <w:right w:type="dxa" w:w="100"/>
            </w:tcMar>
            <w:vAlign w:val="top"/>
          </w:tcPr>
          <w:p>
            <w:pPr>
              <w:spacing w:after="0"/>
            </w:pPr>
            <w:r>
              <w:rPr>
                <w:sz w:val="19"/>
                <w:szCs w:val="19"/>
              </w:rPr>
              <w:t xml:space="preserve">Runtime persistence (production path)</w:t>
            </w:r>
          </w:p>
        </w:tc>
        <w:tc>
          <w:tcPr>
            <w:tcW w:type="dxa" w:w="3400"/>
            <w:tcMar>
              <w:top w:type="dxa" w:w="80"/>
              <w:left w:type="dxa" w:w="100"/>
              <w:bottom w:type="dxa" w:w="80"/>
              <w:right w:type="dxa" w:w="100"/>
            </w:tcMar>
            <w:vAlign w:val="top"/>
          </w:tcPr>
          <w:p>
            <w:pPr>
              <w:spacing w:after="0"/>
            </w:pPr>
            <w:r>
              <w:rPr>
                <w:sz w:val="19"/>
                <w:szCs w:val="19"/>
              </w:rPr>
              <w:t xml:space="preserve">infra/compose/docker-compose.yml; geoalchemy2, psycopg dependencies</w:t>
            </w:r>
          </w:p>
        </w:tc>
      </w:tr>
      <w:tr>
        <w:tc>
          <w:tcPr>
            <w:tcW w:type="dxa" w:w="3100"/>
            <w:shd w:fill="F5F8FC" w:val="clear"/>
            <w:tcMar>
              <w:top w:type="dxa" w:w="80"/>
              <w:left w:type="dxa" w:w="100"/>
              <w:bottom w:type="dxa" w:w="80"/>
              <w:right w:type="dxa" w:w="100"/>
            </w:tcMar>
            <w:vAlign w:val="top"/>
          </w:tcPr>
          <w:p>
            <w:pPr>
              <w:spacing w:after="0"/>
            </w:pPr>
            <w:r>
              <w:rPr>
                <w:sz w:val="19"/>
                <w:szCs w:val="19"/>
              </w:rPr>
              <w:t xml:space="preserve">Redis</w:t>
            </w:r>
          </w:p>
        </w:tc>
        <w:tc>
          <w:tcPr>
            <w:tcW w:type="dxa" w:w="2860"/>
            <w:shd w:fill="F5F8FC" w:val="clear"/>
            <w:tcMar>
              <w:top w:type="dxa" w:w="80"/>
              <w:left w:type="dxa" w:w="100"/>
              <w:bottom w:type="dxa" w:w="80"/>
              <w:right w:type="dxa" w:w="100"/>
            </w:tcMar>
            <w:vAlign w:val="top"/>
          </w:tcPr>
          <w:p>
            <w:pPr>
              <w:spacing w:after="0"/>
            </w:pPr>
            <w:r>
              <w:rPr>
                <w:sz w:val="19"/>
                <w:szCs w:val="19"/>
              </w:rPr>
              <w:t xml:space="preserve">Caching layer</w:t>
            </w:r>
          </w:p>
        </w:tc>
        <w:tc>
          <w:tcPr>
            <w:tcW w:type="dxa" w:w="3400"/>
            <w:shd w:fill="F5F8FC" w:val="clear"/>
            <w:tcMar>
              <w:top w:type="dxa" w:w="80"/>
              <w:left w:type="dxa" w:w="100"/>
              <w:bottom w:type="dxa" w:w="80"/>
              <w:right w:type="dxa" w:w="100"/>
            </w:tcMar>
            <w:vAlign w:val="top"/>
          </w:tcPr>
          <w:p>
            <w:pPr>
              <w:spacing w:after="0"/>
            </w:pPr>
            <w:r>
              <w:rPr>
                <w:sz w:val="19"/>
                <w:szCs w:val="19"/>
              </w:rPr>
              <w:t xml:space="preserve">infra/compose/docker-compose.yml</w:t>
            </w:r>
          </w:p>
        </w:tc>
      </w:tr>
      <w:tr>
        <w:tc>
          <w:tcPr>
            <w:tcW w:type="dxa" w:w="3100"/>
            <w:tcMar>
              <w:top w:type="dxa" w:w="80"/>
              <w:left w:type="dxa" w:w="100"/>
              <w:bottom w:type="dxa" w:w="80"/>
              <w:right w:type="dxa" w:w="100"/>
            </w:tcMar>
            <w:vAlign w:val="top"/>
          </w:tcPr>
          <w:p>
            <w:pPr>
              <w:spacing w:after="0"/>
            </w:pPr>
            <w:r>
              <w:rPr>
                <w:sz w:val="19"/>
                <w:szCs w:val="19"/>
              </w:rPr>
              <w:t xml:space="preserve">FastAPI, SQLAlchemy 2.0 (async), Alembic</w:t>
            </w:r>
          </w:p>
        </w:tc>
        <w:tc>
          <w:tcPr>
            <w:tcW w:type="dxa" w:w="2860"/>
            <w:tcMar>
              <w:top w:type="dxa" w:w="80"/>
              <w:left w:type="dxa" w:w="100"/>
              <w:bottom w:type="dxa" w:w="80"/>
              <w:right w:type="dxa" w:w="100"/>
            </w:tcMar>
            <w:vAlign w:val="top"/>
          </w:tcPr>
          <w:p>
            <w:pPr>
              <w:spacing w:after="0"/>
            </w:pPr>
            <w:r>
              <w:rPr>
                <w:sz w:val="19"/>
                <w:szCs w:val="19"/>
              </w:rPr>
              <w:t xml:space="preserve">Backend web framework, ORM, migrations</w:t>
            </w:r>
          </w:p>
        </w:tc>
        <w:tc>
          <w:tcPr>
            <w:tcW w:type="dxa" w:w="3400"/>
            <w:tcMar>
              <w:top w:type="dxa" w:w="80"/>
              <w:left w:type="dxa" w:w="100"/>
              <w:bottom w:type="dxa" w:w="80"/>
              <w:right w:type="dxa" w:w="100"/>
            </w:tcMar>
            <w:vAlign w:val="top"/>
          </w:tcPr>
          <w:p>
            <w:pPr>
              <w:spacing w:after="0"/>
            </w:pPr>
            <w:r>
              <w:rPr>
                <w:sz w:val="19"/>
                <w:szCs w:val="19"/>
              </w:rPr>
              <w:t xml:space="preserve">pyproject.toml</w:t>
            </w:r>
          </w:p>
        </w:tc>
      </w:tr>
      <w:tr>
        <w:tc>
          <w:tcPr>
            <w:tcW w:type="dxa" w:w="3100"/>
            <w:shd w:fill="F5F8FC" w:val="clear"/>
            <w:tcMar>
              <w:top w:type="dxa" w:w="80"/>
              <w:left w:type="dxa" w:w="100"/>
              <w:bottom w:type="dxa" w:w="80"/>
              <w:right w:type="dxa" w:w="100"/>
            </w:tcMar>
            <w:vAlign w:val="top"/>
          </w:tcPr>
          <w:p>
            <w:pPr>
              <w:spacing w:after="0"/>
            </w:pPr>
            <w:r>
              <w:rPr>
                <w:sz w:val="19"/>
                <w:szCs w:val="19"/>
              </w:rPr>
              <w:t xml:space="preserve">torch, torch-geometric, scikit-learn, LightGBM, SHAP, SciPy</w:t>
            </w:r>
          </w:p>
        </w:tc>
        <w:tc>
          <w:tcPr>
            <w:tcW w:type="dxa" w:w="2860"/>
            <w:shd w:fill="F5F8FC" w:val="clear"/>
            <w:tcMar>
              <w:top w:type="dxa" w:w="80"/>
              <w:left w:type="dxa" w:w="100"/>
              <w:bottom w:type="dxa" w:w="80"/>
              <w:right w:type="dxa" w:w="100"/>
            </w:tcMar>
            <w:vAlign w:val="top"/>
          </w:tcPr>
          <w:p>
            <w:pPr>
              <w:spacing w:after="0"/>
            </w:pPr>
            <w:r>
              <w:rPr>
                <w:sz w:val="19"/>
                <w:szCs w:val="19"/>
              </w:rPr>
              <w:t xml:space="preserve">ML/graph stack</w:t>
            </w:r>
          </w:p>
        </w:tc>
        <w:tc>
          <w:tcPr>
            <w:tcW w:type="dxa" w:w="3400"/>
            <w:shd w:fill="F5F8FC" w:val="clear"/>
            <w:tcMar>
              <w:top w:type="dxa" w:w="80"/>
              <w:left w:type="dxa" w:w="100"/>
              <w:bottom w:type="dxa" w:w="80"/>
              <w:right w:type="dxa" w:w="100"/>
            </w:tcMar>
            <w:vAlign w:val="top"/>
          </w:tcPr>
          <w:p>
            <w:pPr>
              <w:spacing w:after="0"/>
            </w:pPr>
            <w:r>
              <w:rPr>
                <w:sz w:val="19"/>
                <w:szCs w:val="19"/>
              </w:rPr>
              <w:t xml:space="preserve">pyproject.toml</w:t>
            </w:r>
          </w:p>
        </w:tc>
      </w:tr>
      <w:tr>
        <w:tc>
          <w:tcPr>
            <w:tcW w:type="dxa" w:w="3100"/>
            <w:tcMar>
              <w:top w:type="dxa" w:w="80"/>
              <w:left w:type="dxa" w:w="100"/>
              <w:bottom w:type="dxa" w:w="80"/>
              <w:right w:type="dxa" w:w="100"/>
            </w:tcMar>
            <w:vAlign w:val="top"/>
          </w:tcPr>
          <w:p>
            <w:pPr>
              <w:spacing w:after="0"/>
            </w:pPr>
            <w:r>
              <w:rPr>
                <w:sz w:val="19"/>
                <w:szCs w:val="19"/>
              </w:rPr>
              <w:t xml:space="preserve">React 18, Vite 5, TypeScript 5.5, MapLibre GL, Recharts, TanStack Query</w:t>
            </w:r>
          </w:p>
        </w:tc>
        <w:tc>
          <w:tcPr>
            <w:tcW w:type="dxa" w:w="2860"/>
            <w:tcMar>
              <w:top w:type="dxa" w:w="80"/>
              <w:left w:type="dxa" w:w="100"/>
              <w:bottom w:type="dxa" w:w="80"/>
              <w:right w:type="dxa" w:w="100"/>
            </w:tcMar>
            <w:vAlign w:val="top"/>
          </w:tcPr>
          <w:p>
            <w:pPr>
              <w:spacing w:after="0"/>
            </w:pPr>
            <w:r>
              <w:rPr>
                <w:sz w:val="19"/>
                <w:szCs w:val="19"/>
              </w:rPr>
              <w:t xml:space="preserve">Frontend stack</w:t>
            </w:r>
          </w:p>
        </w:tc>
        <w:tc>
          <w:tcPr>
            <w:tcW w:type="dxa" w:w="3400"/>
            <w:tcMar>
              <w:top w:type="dxa" w:w="80"/>
              <w:left w:type="dxa" w:w="100"/>
              <w:bottom w:type="dxa" w:w="80"/>
              <w:right w:type="dxa" w:w="100"/>
            </w:tcMar>
            <w:vAlign w:val="top"/>
          </w:tcPr>
          <w:p>
            <w:pPr>
              <w:spacing w:after="0"/>
            </w:pPr>
            <w:r>
              <w:rPr>
                <w:sz w:val="19"/>
                <w:szCs w:val="19"/>
              </w:rPr>
              <w:t xml:space="preserve">apps/web/package.json</w:t>
            </w:r>
          </w:p>
        </w:tc>
      </w:tr>
      <w:tr>
        <w:tc>
          <w:tcPr>
            <w:tcW w:type="dxa" w:w="3100"/>
            <w:shd w:fill="F5F8FC" w:val="clear"/>
            <w:tcMar>
              <w:top w:type="dxa" w:w="80"/>
              <w:left w:type="dxa" w:w="100"/>
              <w:bottom w:type="dxa" w:w="80"/>
              <w:right w:type="dxa" w:w="100"/>
            </w:tcMar>
            <w:vAlign w:val="top"/>
          </w:tcPr>
          <w:p>
            <w:pPr>
              <w:spacing w:after="0"/>
            </w:pPr>
            <w:r>
              <w:rPr>
                <w:sz w:val="19"/>
                <w:szCs w:val="19"/>
              </w:rPr>
              <w:t xml:space="preserve">Green Sentinel, Enclod, HungaroMet, DKV GTFS data drops</w:t>
            </w:r>
          </w:p>
        </w:tc>
        <w:tc>
          <w:tcPr>
            <w:tcW w:type="dxa" w:w="2860"/>
            <w:shd w:fill="F5F8FC" w:val="clear"/>
            <w:tcMar>
              <w:top w:type="dxa" w:w="80"/>
              <w:left w:type="dxa" w:w="100"/>
              <w:bottom w:type="dxa" w:w="80"/>
              <w:right w:type="dxa" w:w="100"/>
            </w:tcMar>
            <w:vAlign w:val="top"/>
          </w:tcPr>
          <w:p>
            <w:pPr>
              <w:spacing w:after="0"/>
            </w:pPr>
            <w:r>
              <w:rPr>
                <w:sz w:val="19"/>
                <w:szCs w:val="19"/>
              </w:rPr>
              <w:t xml:space="preserve">Domain input data</w:t>
            </w:r>
          </w:p>
        </w:tc>
        <w:tc>
          <w:tcPr>
            <w:tcW w:type="dxa" w:w="3400"/>
            <w:shd w:fill="F5F8FC" w:val="clear"/>
            <w:tcMar>
              <w:top w:type="dxa" w:w="80"/>
              <w:left w:type="dxa" w:w="100"/>
              <w:bottom w:type="dxa" w:w="80"/>
              <w:right w:type="dxa" w:w="100"/>
            </w:tcMar>
            <w:vAlign w:val="top"/>
          </w:tcPr>
          <w:p>
            <w:pPr>
              <w:spacing w:after="0"/>
            </w:pPr>
            <w:r>
              <w:rPr>
                <w:sz w:val="19"/>
                <w:szCs w:val="19"/>
              </w:rPr>
              <w:t xml:space="preserve">data/README.md</w:t>
            </w:r>
          </w:p>
        </w:tc>
      </w:tr>
      <w:tr>
        <w:tc>
          <w:tcPr>
            <w:tcW w:type="dxa" w:w="3100"/>
            <w:tcMar>
              <w:top w:type="dxa" w:w="80"/>
              <w:left w:type="dxa" w:w="100"/>
              <w:bottom w:type="dxa" w:w="80"/>
              <w:right w:type="dxa" w:w="100"/>
            </w:tcMar>
            <w:vAlign w:val="top"/>
          </w:tcPr>
          <w:p>
            <w:pPr>
              <w:spacing w:after="0"/>
            </w:pPr>
            <w:r>
              <w:rPr>
                <w:sz w:val="19"/>
                <w:szCs w:val="19"/>
              </w:rPr>
              <w:t xml:space="preserve">GitHub Actions, uv, pnpm</w:t>
            </w:r>
          </w:p>
        </w:tc>
        <w:tc>
          <w:tcPr>
            <w:tcW w:type="dxa" w:w="2860"/>
            <w:tcMar>
              <w:top w:type="dxa" w:w="80"/>
              <w:left w:type="dxa" w:w="100"/>
              <w:bottom w:type="dxa" w:w="80"/>
              <w:right w:type="dxa" w:w="100"/>
            </w:tcMar>
            <w:vAlign w:val="top"/>
          </w:tcPr>
          <w:p>
            <w:pPr>
              <w:spacing w:after="0"/>
            </w:pPr>
            <w:r>
              <w:rPr>
                <w:sz w:val="19"/>
                <w:szCs w:val="19"/>
              </w:rPr>
              <w:t xml:space="preserve">CI/CD and package management</w:t>
            </w:r>
          </w:p>
        </w:tc>
        <w:tc>
          <w:tcPr>
            <w:tcW w:type="dxa" w:w="3400"/>
            <w:tcMar>
              <w:top w:type="dxa" w:w="80"/>
              <w:left w:type="dxa" w:w="100"/>
              <w:bottom w:type="dxa" w:w="80"/>
              <w:right w:type="dxa" w:w="100"/>
            </w:tcMar>
            <w:vAlign w:val="top"/>
          </w:tcPr>
          <w:p>
            <w:pPr>
              <w:spacing w:after="0"/>
            </w:pPr>
            <w:r>
              <w:rPr>
                <w:sz w:val="19"/>
                <w:szCs w:val="19"/>
              </w:rPr>
              <w:t xml:space="preserve">.github/workflows/; Makefile</w:t>
            </w:r>
          </w:p>
        </w:tc>
      </w:tr>
    </w:tbl>
    <w:p>
      <w:pPr>
        <w:pStyle w:val="Heading2"/>
        <w:spacing w:after="150" w:before="300"/>
      </w:pPr>
      <w:r>
        <w:t xml:space="preserve">21.2 Potential Future Dependencies</w:t>
      </w:r>
    </w:p>
    <w:p>
      <w:pPr>
        <w:pStyle w:val="ListParagraph"/>
        <w:numPr>
          <w:ilvl w:val="0"/>
          <w:numId w:val="1"/>
        </w:numPr>
        <w:spacing w:after="80" w:line="264"/>
      </w:pPr>
      <w:r>
        <w:t xml:space="preserve">An OIDC identity provider, if the recommended authentication migration (Section 14.2) is executed.</w:t>
      </w:r>
    </w:p>
    <w:p>
      <w:pPr>
        <w:pStyle w:val="ListParagraph"/>
        <w:numPr>
          <w:ilvl w:val="0"/>
          <w:numId w:val="1"/>
        </w:numPr>
        <w:spacing w:after="80" w:line="264"/>
      </w:pPr>
      <w:r>
        <w:t xml:space="preserve">A production alert-delivery transport (SMS/email/push gateway) to replace the current offline outbox-based dispatch channel implementation.</w:t>
      </w:r>
    </w:p>
    <w:p>
      <w:pPr>
        <w:pStyle w:val="ListParagraph"/>
        <w:numPr>
          <w:ilvl w:val="0"/>
          <w:numId w:val="1"/>
        </w:numPr>
        <w:spacing w:after="80" w:line="264"/>
      </w:pPr>
      <w:r>
        <w:t xml:space="preserve">A Kubernetes distribution/manifests, if the stated production deployment path is executed.</w:t>
      </w:r>
    </w:p>
    <w:p>
      <w:pPr>
        <w:pStyle w:val="ListParagraph"/>
        <w:numPr>
          <w:ilvl w:val="0"/>
          <w:numId w:val="1"/>
        </w:numPr>
        <w:spacing w:after="80" w:line="264"/>
      </w:pPr>
      <w:r>
        <w:t xml:space="preserve">A labelled-event dataset, required before the Trust Score weights can move from expert-elicited/endorsed to statistically fitted.</w:t>
      </w:r>
    </w:p>
    <w:p>
      <w:pPr>
        <w:pStyle w:val="Heading2"/>
        <w:spacing w:after="150" w:before="300"/>
      </w:pPr>
      <w:r>
        <w:t xml:space="preserve">21.3 Assumptions Underlying the Current Design</w:t>
      </w:r>
    </w:p>
    <w:p>
      <w:pPr>
        <w:pStyle w:val="ListParagraph"/>
        <w:numPr>
          <w:ilvl w:val="0"/>
          <w:numId w:val="1"/>
        </w:numPr>
        <w:spacing w:after="80" w:line="264"/>
      </w:pPr>
      <w:r>
        <w:t xml:space="preserve">The Green Sentinel network's station count and general topology remain stable enough that PopulationExposure's relative (min-max) normalisation stays meaningful without renormalisation between drops.</w:t>
      </w:r>
    </w:p>
    <w:p>
      <w:pPr>
        <w:pStyle w:val="ListParagraph"/>
        <w:numPr>
          <w:ilvl w:val="0"/>
          <w:numId w:val="1"/>
        </w:numPr>
        <w:spacing w:after="80" w:line="264"/>
      </w:pPr>
      <w:r>
        <w:t xml:space="preserve">The 30-day export used for the documented real-data evidence (149,683 readings, 2026-05-21 to 2026-06-19) is representative enough of the network's ongoing behaviour to support the demo narrative; a longer or different window has not been independently verified in this review.</w:t>
      </w:r>
    </w:p>
    <w:p>
      <w:pPr>
        <w:pStyle w:val="ListParagraph"/>
        <w:numPr>
          <w:ilvl w:val="0"/>
          <w:numId w:val="1"/>
        </w:numPr>
        <w:spacing w:after="80" w:line="264"/>
      </w:pPr>
      <w:r>
        <w:t xml:space="preserve">Judges/evaluators will interact with the system primarily through the prepared deterministic demo mode and/or the API, given that several operational screens are not yet rendered in the dashboard.</w:t>
      </w:r>
    </w:p>
    <w:p>
      <w:r>
        <w:br w:type="page"/>
      </w:r>
    </w:p>
    <w:p>
      <w:pPr>
        <w:pStyle w:val="Heading1"/>
        <w:spacing w:after="200" w:before="400"/>
      </w:pPr>
      <w:r>
        <w:t xml:space="preserve">22. Risk Register</w:t>
      </w:r>
    </w:p>
    <w:p>
      <w:pPr>
        <w:spacing w:after="160" w:line="276"/>
      </w:pPr>
      <w:r>
        <w:t xml:space="preserve">Risks below are drawn from findings the repository itself documents (flagged review items in phase reports, caveats in methodology documents, and ADR-recorded deferrals) as well as risks inferred from the reviewed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000"/>
        <w:gridCol w:w="900"/>
        <w:gridCol w:w="1000"/>
        <w:gridCol w:w="2000"/>
      </w:tblGrid>
      <w:tr>
        <w:trPr>
          <w:tblHeader/>
        </w:trPr>
        <w:tc>
          <w:tcPr>
            <w:tcW w:type="dxa" w:w="900"/>
            <w:shd w:fill="1B6AB8" w:val="clear"/>
            <w:tcMar>
              <w:top w:type="dxa" w:w="80"/>
              <w:left w:type="dxa" w:w="100"/>
              <w:bottom w:type="dxa" w:w="80"/>
              <w:right w:type="dxa" w:w="100"/>
            </w:tcMar>
            <w:vAlign w:val="top"/>
          </w:tcPr>
          <w:p>
            <w:pPr>
              <w:spacing w:after="0"/>
            </w:pPr>
            <w:r>
              <w:rPr>
                <w:b/>
                <w:bCs/>
                <w:color w:val="FFFFFF"/>
                <w:sz w:val="19"/>
                <w:szCs w:val="19"/>
              </w:rPr>
              <w:t xml:space="preserve">Risk ID</w:t>
            </w:r>
          </w:p>
        </w:tc>
        <w:tc>
          <w:tcPr>
            <w:tcW w:type="dxa" w:w="3400"/>
            <w:shd w:fill="1B6AB8" w:val="clear"/>
            <w:tcMar>
              <w:top w:type="dxa" w:w="80"/>
              <w:left w:type="dxa" w:w="100"/>
              <w:bottom w:type="dxa" w:w="80"/>
              <w:right w:type="dxa" w:w="100"/>
            </w:tcMar>
            <w:vAlign w:val="top"/>
          </w:tcPr>
          <w:p>
            <w:pPr>
              <w:spacing w:after="0"/>
            </w:pPr>
            <w:r>
              <w:rPr>
                <w:b/>
                <w:bCs/>
                <w:color w:val="FFFFFF"/>
                <w:sz w:val="19"/>
                <w:szCs w:val="19"/>
              </w:rPr>
              <w:t xml:space="preserve">Risk</w:t>
            </w:r>
          </w:p>
        </w:tc>
        <w:tc>
          <w:tcPr>
            <w:tcW w:type="dxa" w:w="1000"/>
            <w:shd w:fill="1B6AB8" w:val="clear"/>
            <w:tcMar>
              <w:top w:type="dxa" w:w="80"/>
              <w:left w:type="dxa" w:w="100"/>
              <w:bottom w:type="dxa" w:w="80"/>
              <w:right w:type="dxa" w:w="100"/>
            </w:tcMar>
            <w:vAlign w:val="top"/>
          </w:tcPr>
          <w:p>
            <w:pPr>
              <w:spacing w:after="0"/>
            </w:pPr>
            <w:r>
              <w:rPr>
                <w:b/>
                <w:bCs/>
                <w:color w:val="FFFFFF"/>
                <w:sz w:val="19"/>
                <w:szCs w:val="19"/>
              </w:rPr>
              <w:t xml:space="preserve">Probability</w:t>
            </w:r>
          </w:p>
        </w:tc>
        <w:tc>
          <w:tcPr>
            <w:tcW w:type="dxa" w:w="900"/>
            <w:shd w:fill="1B6AB8" w:val="clear"/>
            <w:tcMar>
              <w:top w:type="dxa" w:w="80"/>
              <w:left w:type="dxa" w:w="100"/>
              <w:bottom w:type="dxa" w:w="80"/>
              <w:right w:type="dxa" w:w="100"/>
            </w:tcMar>
            <w:vAlign w:val="top"/>
          </w:tcPr>
          <w:p>
            <w:pPr>
              <w:spacing w:after="0"/>
            </w:pPr>
            <w:r>
              <w:rPr>
                <w:b/>
                <w:bCs/>
                <w:color w:val="FFFFFF"/>
                <w:sz w:val="19"/>
                <w:szCs w:val="19"/>
              </w:rPr>
              <w:t xml:space="preserve">Impact</w:t>
            </w:r>
          </w:p>
        </w:tc>
        <w:tc>
          <w:tcPr>
            <w:tcW w:type="dxa" w:w="1000"/>
            <w:shd w:fill="1B6AB8" w:val="clear"/>
            <w:tcMar>
              <w:top w:type="dxa" w:w="80"/>
              <w:left w:type="dxa" w:w="100"/>
              <w:bottom w:type="dxa" w:w="80"/>
              <w:right w:type="dxa" w:w="100"/>
            </w:tcMar>
            <w:vAlign w:val="top"/>
          </w:tcPr>
          <w:p>
            <w:pPr>
              <w:spacing w:after="0"/>
            </w:pPr>
            <w:r>
              <w:rPr>
                <w:b/>
                <w:bCs/>
                <w:color w:val="FFFFFF"/>
                <w:sz w:val="19"/>
                <w:szCs w:val="19"/>
              </w:rPr>
              <w:t xml:space="preserve">Severity</w:t>
            </w:r>
          </w:p>
        </w:tc>
        <w:tc>
          <w:tcPr>
            <w:tcW w:type="dxa" w:w="2000"/>
            <w:shd w:fill="1B6AB8" w:val="clear"/>
            <w:tcMar>
              <w:top w:type="dxa" w:w="80"/>
              <w:left w:type="dxa" w:w="100"/>
              <w:bottom w:type="dxa" w:w="80"/>
              <w:right w:type="dxa" w:w="100"/>
            </w:tcMar>
            <w:vAlign w:val="top"/>
          </w:tcPr>
          <w:p>
            <w:pPr>
              <w:spacing w:after="0"/>
            </w:pPr>
            <w:r>
              <w:rPr>
                <w:b/>
                <w:bCs/>
                <w:color w:val="FFFFFF"/>
                <w:sz w:val="19"/>
                <w:szCs w:val="19"/>
              </w:rPr>
              <w:t xml:space="preserve">Mitigation</w:t>
            </w:r>
          </w:p>
        </w:tc>
      </w:tr>
      <w:tr>
        <w:tc>
          <w:tcPr>
            <w:tcW w:type="dxa" w:w="900"/>
            <w:tcMar>
              <w:top w:type="dxa" w:w="80"/>
              <w:left w:type="dxa" w:w="100"/>
              <w:bottom w:type="dxa" w:w="80"/>
              <w:right w:type="dxa" w:w="100"/>
            </w:tcMar>
            <w:vAlign w:val="top"/>
          </w:tcPr>
          <w:p>
            <w:pPr>
              <w:spacing w:after="0"/>
            </w:pPr>
            <w:r>
              <w:rPr>
                <w:sz w:val="19"/>
                <w:szCs w:val="19"/>
              </w:rPr>
              <w:t xml:space="preserve">RISK-001</w:t>
            </w:r>
          </w:p>
        </w:tc>
        <w:tc>
          <w:tcPr>
            <w:tcW w:type="dxa" w:w="3400"/>
            <w:tcMar>
              <w:top w:type="dxa" w:w="80"/>
              <w:left w:type="dxa" w:w="100"/>
              <w:bottom w:type="dxa" w:w="80"/>
              <w:right w:type="dxa" w:w="100"/>
            </w:tcMar>
            <w:vAlign w:val="top"/>
          </w:tcPr>
          <w:p>
            <w:pPr>
              <w:spacing w:after="0"/>
            </w:pPr>
            <w:r>
              <w:rPr>
                <w:sz w:val="19"/>
                <w:szCs w:val="19"/>
              </w:rPr>
              <w:t xml:space="preserve">The endorsed Trust Score weights are expert-elicited, not fitted to labelled outcomes; the point-in-time distribution is pessimistic and compressed on real data.</w:t>
            </w:r>
          </w:p>
        </w:tc>
        <w:tc>
          <w:tcPr>
            <w:tcW w:type="dxa" w:w="1000"/>
            <w:tcMar>
              <w:top w:type="dxa" w:w="80"/>
              <w:left w:type="dxa" w:w="100"/>
              <w:bottom w:type="dxa" w:w="80"/>
              <w:right w:type="dxa" w:w="100"/>
            </w:tcMar>
            <w:vAlign w:val="top"/>
          </w:tcPr>
          <w:p>
            <w:pPr>
              <w:spacing w:after="0"/>
            </w:pPr>
            <w:r>
              <w:rPr>
                <w:sz w:val="19"/>
                <w:szCs w:val="19"/>
              </w:rPr>
              <w:t xml:space="preserve">Medium</w:t>
            </w:r>
          </w:p>
        </w:tc>
        <w:tc>
          <w:tcPr>
            <w:tcW w:type="dxa" w:w="900"/>
            <w:tcMar>
              <w:top w:type="dxa" w:w="80"/>
              <w:left w:type="dxa" w:w="100"/>
              <w:bottom w:type="dxa" w:w="80"/>
              <w:right w:type="dxa" w:w="100"/>
            </w:tcMar>
            <w:vAlign w:val="top"/>
          </w:tcPr>
          <w:p>
            <w:pPr>
              <w:spacing w:after="0"/>
            </w:pPr>
            <w:r>
              <w:rPr>
                <w:sz w:val="19"/>
                <w:szCs w:val="19"/>
              </w:rPr>
              <w:t xml:space="preserve">High</w:t>
            </w:r>
          </w:p>
        </w:tc>
        <w:tc>
          <w:tcPr>
            <w:tcW w:type="dxa" w:w="1000"/>
            <w:shd w:fill="FDEAEA" w:val="clear"/>
            <w:tcMar>
              <w:top w:type="dxa" w:w="80"/>
              <w:left w:type="dxa" w:w="100"/>
              <w:bottom w:type="dxa" w:w="80"/>
              <w:right w:type="dxa" w:w="100"/>
            </w:tcMar>
            <w:vAlign w:val="top"/>
          </w:tcPr>
          <w:p>
            <w:pPr>
              <w:spacing w:after="0"/>
            </w:pPr>
            <w:r>
              <w:rPr>
                <w:sz w:val="19"/>
                <w:szCs w:val="19"/>
              </w:rPr>
              <w:t xml:space="preserve">High</w:t>
            </w:r>
          </w:p>
        </w:tc>
        <w:tc>
          <w:tcPr>
            <w:tcW w:type="dxa" w:w="2000"/>
            <w:tcMar>
              <w:top w:type="dxa" w:w="80"/>
              <w:left w:type="dxa" w:w="100"/>
              <w:bottom w:type="dxa" w:w="80"/>
              <w:right w:type="dxa" w:w="100"/>
            </w:tcMar>
            <w:vAlign w:val="top"/>
          </w:tcPr>
          <w:p>
            <w:pPr>
              <w:spacing w:after="0"/>
            </w:pPr>
            <w:r>
              <w:rPr>
                <w:sz w:val="19"/>
                <w:szCs w:val="19"/>
              </w:rPr>
              <w:t xml:space="preserve">Present the trust series, not a single snapshot, in any decision-facing view; plan the v2 logistic refit once labelled events exist (docs/trust-score-methodology-v1.2-endorsement.md).</w:t>
            </w:r>
          </w:p>
        </w:tc>
      </w:tr>
      <w:tr>
        <w:tc>
          <w:tcPr>
            <w:tcW w:type="dxa" w:w="900"/>
            <w:tcMar>
              <w:top w:type="dxa" w:w="80"/>
              <w:left w:type="dxa" w:w="100"/>
              <w:bottom w:type="dxa" w:w="80"/>
              <w:right w:type="dxa" w:w="100"/>
            </w:tcMar>
            <w:vAlign w:val="top"/>
          </w:tcPr>
          <w:p>
            <w:pPr>
              <w:spacing w:after="0"/>
            </w:pPr>
            <w:r>
              <w:rPr>
                <w:sz w:val="19"/>
                <w:szCs w:val="19"/>
              </w:rPr>
              <w:t xml:space="preserve">RISK-002</w:t>
            </w:r>
          </w:p>
        </w:tc>
        <w:tc>
          <w:tcPr>
            <w:tcW w:type="dxa" w:w="3400"/>
            <w:shd w:fill="F5F8FC" w:val="clear"/>
            <w:tcMar>
              <w:top w:type="dxa" w:w="80"/>
              <w:left w:type="dxa" w:w="100"/>
              <w:bottom w:type="dxa" w:w="80"/>
              <w:right w:type="dxa" w:w="100"/>
            </w:tcMar>
            <w:vAlign w:val="top"/>
          </w:tcPr>
          <w:p>
            <w:pPr>
              <w:spacing w:after="0"/>
            </w:pPr>
            <w:r>
              <w:rPr>
                <w:sz w:val="19"/>
                <w:szCs w:val="19"/>
              </w:rPr>
              <w:t xml:space="preserve">PopulationExposure normalisation is relative (min-max across the current network), so a station's exposure factor is not comparable across two different networks without renormalising.</w:t>
            </w:r>
          </w:p>
        </w:tc>
        <w:tc>
          <w:tcPr>
            <w:tcW w:type="dxa" w:w="10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9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shd w:fill="F5F8FC" w:val="clear"/>
            <w:tcMar>
              <w:top w:type="dxa" w:w="80"/>
              <w:left w:type="dxa" w:w="100"/>
              <w:bottom w:type="dxa" w:w="80"/>
              <w:right w:type="dxa" w:w="100"/>
            </w:tcMar>
            <w:vAlign w:val="top"/>
          </w:tcPr>
          <w:p>
            <w:pPr>
              <w:spacing w:after="0"/>
            </w:pPr>
            <w:r>
              <w:rPr>
                <w:sz w:val="19"/>
                <w:szCs w:val="19"/>
              </w:rPr>
              <w:t xml:space="preserve">Document the caveat wherever exposure drives priority; obtain domain-expert review before it drives real public dispatch decisions.</w:t>
            </w:r>
          </w:p>
        </w:tc>
      </w:tr>
      <w:tr>
        <w:tc>
          <w:tcPr>
            <w:tcW w:type="dxa" w:w="900"/>
            <w:tcMar>
              <w:top w:type="dxa" w:w="80"/>
              <w:left w:type="dxa" w:w="100"/>
              <w:bottom w:type="dxa" w:w="80"/>
              <w:right w:type="dxa" w:w="100"/>
            </w:tcMar>
            <w:vAlign w:val="top"/>
          </w:tcPr>
          <w:p>
            <w:pPr>
              <w:spacing w:after="0"/>
            </w:pPr>
            <w:r>
              <w:rPr>
                <w:sz w:val="19"/>
                <w:szCs w:val="19"/>
              </w:rPr>
              <w:t xml:space="preserve">RISK-003</w:t>
            </w:r>
          </w:p>
        </w:tc>
        <w:tc>
          <w:tcPr>
            <w:tcW w:type="dxa" w:w="3400"/>
            <w:tcMar>
              <w:top w:type="dxa" w:w="80"/>
              <w:left w:type="dxa" w:w="100"/>
              <w:bottom w:type="dxa" w:w="80"/>
              <w:right w:type="dxa" w:w="100"/>
            </w:tcMar>
            <w:vAlign w:val="top"/>
          </w:tcPr>
          <w:p>
            <w:pPr>
              <w:spacing w:after="0"/>
            </w:pPr>
            <w:r>
              <w:rPr>
                <w:sz w:val="19"/>
                <w:szCs w:val="19"/>
              </w:rPr>
              <w:t xml:space="preserve">The HST-GAT model card reports representative metrics from a controlled synthetic corpus; per-training auto-generated cards (gitignored) are the source of truth for a specific run.</w:t>
            </w:r>
          </w:p>
        </w:tc>
        <w:tc>
          <w:tcPr>
            <w:tcW w:type="dxa" w:w="1000"/>
            <w:tcMar>
              <w:top w:type="dxa" w:w="80"/>
              <w:left w:type="dxa" w:w="100"/>
              <w:bottom w:type="dxa" w:w="80"/>
              <w:right w:type="dxa" w:w="100"/>
            </w:tcMar>
            <w:vAlign w:val="top"/>
          </w:tcPr>
          <w:p>
            <w:pPr>
              <w:spacing w:after="0"/>
            </w:pPr>
            <w:r>
              <w:rPr>
                <w:sz w:val="19"/>
                <w:szCs w:val="19"/>
              </w:rPr>
              <w:t xml:space="preserve">Medium</w:t>
            </w:r>
          </w:p>
        </w:tc>
        <w:tc>
          <w:tcPr>
            <w:tcW w:type="dxa" w:w="900"/>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tcMar>
              <w:top w:type="dxa" w:w="80"/>
              <w:left w:type="dxa" w:w="100"/>
              <w:bottom w:type="dxa" w:w="80"/>
              <w:right w:type="dxa" w:w="100"/>
            </w:tcMar>
            <w:vAlign w:val="top"/>
          </w:tcPr>
          <w:p>
            <w:pPr>
              <w:spacing w:after="0"/>
            </w:pPr>
            <w:r>
              <w:rPr>
                <w:sz w:val="19"/>
                <w:szCs w:val="19"/>
              </w:rPr>
              <w:t xml:space="preserve">Always cite the auto-generated card for the deployed artefact's actual metrics, not the hand-written design card, when making a claim about a specific model in production.</w:t>
            </w:r>
          </w:p>
        </w:tc>
      </w:tr>
      <w:tr>
        <w:tc>
          <w:tcPr>
            <w:tcW w:type="dxa" w:w="900"/>
            <w:tcMar>
              <w:top w:type="dxa" w:w="80"/>
              <w:left w:type="dxa" w:w="100"/>
              <w:bottom w:type="dxa" w:w="80"/>
              <w:right w:type="dxa" w:w="100"/>
            </w:tcMar>
            <w:vAlign w:val="top"/>
          </w:tcPr>
          <w:p>
            <w:pPr>
              <w:spacing w:after="0"/>
            </w:pPr>
            <w:r>
              <w:rPr>
                <w:sz w:val="19"/>
                <w:szCs w:val="19"/>
              </w:rPr>
              <w:t xml:space="preserve">RISK-004</w:t>
            </w:r>
          </w:p>
        </w:tc>
        <w:tc>
          <w:tcPr>
            <w:tcW w:type="dxa" w:w="3400"/>
            <w:shd w:fill="F5F8FC" w:val="clear"/>
            <w:tcMar>
              <w:top w:type="dxa" w:w="80"/>
              <w:left w:type="dxa" w:w="100"/>
              <w:bottom w:type="dxa" w:w="80"/>
              <w:right w:type="dxa" w:w="100"/>
            </w:tcMar>
            <w:vAlign w:val="top"/>
          </w:tcPr>
          <w:p>
            <w:pPr>
              <w:spacing w:after="0"/>
            </w:pPr>
            <w:r>
              <w:rPr>
                <w:sz w:val="19"/>
                <w:szCs w:val="19"/>
              </w:rPr>
              <w:t xml:space="preserve">Operational screens (Alert Centre, Admin, maintenance queue) are complete at the API/CLI layer but not yet rendered as dashboard panels; a judge or operator using only the UI will not find them.</w:t>
            </w:r>
          </w:p>
        </w:tc>
        <w:tc>
          <w:tcPr>
            <w:tcW w:type="dxa" w:w="1000"/>
            <w:shd w:fill="F5F8FC" w:val="clear"/>
            <w:tcMar>
              <w:top w:type="dxa" w:w="80"/>
              <w:left w:type="dxa" w:w="100"/>
              <w:bottom w:type="dxa" w:w="80"/>
              <w:right w:type="dxa" w:w="100"/>
            </w:tcMar>
            <w:vAlign w:val="top"/>
          </w:tcPr>
          <w:p>
            <w:pPr>
              <w:spacing w:after="0"/>
            </w:pPr>
            <w:r>
              <w:rPr>
                <w:sz w:val="19"/>
                <w:szCs w:val="19"/>
              </w:rPr>
              <w:t xml:space="preserve">High</w:t>
            </w:r>
          </w:p>
        </w:tc>
        <w:tc>
          <w:tcPr>
            <w:tcW w:type="dxa" w:w="9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shd w:fill="F5F8FC" w:val="clear"/>
            <w:tcMar>
              <w:top w:type="dxa" w:w="80"/>
              <w:left w:type="dxa" w:w="100"/>
              <w:bottom w:type="dxa" w:w="80"/>
              <w:right w:type="dxa" w:w="100"/>
            </w:tcMar>
            <w:vAlign w:val="top"/>
          </w:tcPr>
          <w:p>
            <w:pPr>
              <w:spacing w:after="0"/>
            </w:pPr>
            <w:r>
              <w:rPr>
                <w:sz w:val="19"/>
                <w:szCs w:val="19"/>
              </w:rPr>
              <w:t xml:space="preserve">Prioritise building the two screens (with a deliberate visual-baseline regeneration) or clearly scope operator training to the API/CLI surface in the interim.</w:t>
            </w:r>
          </w:p>
        </w:tc>
      </w:tr>
      <w:tr>
        <w:tc>
          <w:tcPr>
            <w:tcW w:type="dxa" w:w="900"/>
            <w:tcMar>
              <w:top w:type="dxa" w:w="80"/>
              <w:left w:type="dxa" w:w="100"/>
              <w:bottom w:type="dxa" w:w="80"/>
              <w:right w:type="dxa" w:w="100"/>
            </w:tcMar>
            <w:vAlign w:val="top"/>
          </w:tcPr>
          <w:p>
            <w:pPr>
              <w:spacing w:after="0"/>
            </w:pPr>
            <w:r>
              <w:rPr>
                <w:sz w:val="19"/>
                <w:szCs w:val="19"/>
              </w:rPr>
              <w:t xml:space="preserve">RISK-005</w:t>
            </w:r>
          </w:p>
        </w:tc>
        <w:tc>
          <w:tcPr>
            <w:tcW w:type="dxa" w:w="3400"/>
            <w:tcMar>
              <w:top w:type="dxa" w:w="80"/>
              <w:left w:type="dxa" w:w="100"/>
              <w:bottom w:type="dxa" w:w="80"/>
              <w:right w:type="dxa" w:w="100"/>
            </w:tcMar>
            <w:vAlign w:val="top"/>
          </w:tcPr>
          <w:p>
            <w:pPr>
              <w:spacing w:after="0"/>
            </w:pPr>
            <w:r>
              <w:rPr>
                <w:sz w:val="19"/>
                <w:szCs w:val="19"/>
              </w:rPr>
              <w:t xml:space="preserve">The KER11 adjudication verdict differs between the synthetic demo corpus (historically AMBIGUOUS) and the real export (now LIKELY_FAULT); presenting against the wrong dataset states the wrong on-screen verdict.</w:t>
            </w:r>
          </w:p>
        </w:tc>
        <w:tc>
          <w:tcPr>
            <w:tcW w:type="dxa" w:w="1000"/>
            <w:tcMar>
              <w:top w:type="dxa" w:w="80"/>
              <w:left w:type="dxa" w:w="100"/>
              <w:bottom w:type="dxa" w:w="80"/>
              <w:right w:type="dxa" w:w="100"/>
            </w:tcMar>
            <w:vAlign w:val="top"/>
          </w:tcPr>
          <w:p>
            <w:pPr>
              <w:spacing w:after="0"/>
            </w:pPr>
            <w:r>
              <w:rPr>
                <w:sz w:val="19"/>
                <w:szCs w:val="19"/>
              </w:rPr>
              <w:t xml:space="preserve">Medium</w:t>
            </w:r>
          </w:p>
        </w:tc>
        <w:tc>
          <w:tcPr>
            <w:tcW w:type="dxa" w:w="900"/>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tcMar>
              <w:top w:type="dxa" w:w="80"/>
              <w:left w:type="dxa" w:w="100"/>
              <w:bottom w:type="dxa" w:w="80"/>
              <w:right w:type="dxa" w:w="100"/>
            </w:tcMar>
            <w:vAlign w:val="top"/>
          </w:tcPr>
          <w:p>
            <w:pPr>
              <w:spacing w:after="0"/>
            </w:pPr>
            <w:r>
              <w:rPr>
                <w:sz w:val="19"/>
                <w:szCs w:val="19"/>
              </w:rPr>
              <w:t xml:space="preserve">Confirm and rehearse against the exact dataset that will be on stage before any public presentation or regulatory claim.</w:t>
            </w:r>
          </w:p>
        </w:tc>
      </w:tr>
      <w:tr>
        <w:tc>
          <w:tcPr>
            <w:tcW w:type="dxa" w:w="900"/>
            <w:tcMar>
              <w:top w:type="dxa" w:w="80"/>
              <w:left w:type="dxa" w:w="100"/>
              <w:bottom w:type="dxa" w:w="80"/>
              <w:right w:type="dxa" w:w="100"/>
            </w:tcMar>
            <w:vAlign w:val="top"/>
          </w:tcPr>
          <w:p>
            <w:pPr>
              <w:spacing w:after="0"/>
            </w:pPr>
            <w:r>
              <w:rPr>
                <w:sz w:val="19"/>
                <w:szCs w:val="19"/>
              </w:rPr>
              <w:t xml:space="preserve">RISK-006</w:t>
            </w:r>
          </w:p>
        </w:tc>
        <w:tc>
          <w:tcPr>
            <w:tcW w:type="dxa" w:w="3400"/>
            <w:shd w:fill="F5F8FC" w:val="clear"/>
            <w:tcMar>
              <w:top w:type="dxa" w:w="80"/>
              <w:left w:type="dxa" w:w="100"/>
              <w:bottom w:type="dxa" w:w="80"/>
              <w:right w:type="dxa" w:w="100"/>
            </w:tcMar>
            <w:vAlign w:val="top"/>
          </w:tcPr>
          <w:p>
            <w:pPr>
              <w:spacing w:after="0"/>
            </w:pPr>
            <w:r>
              <w:rPr>
                <w:sz w:val="19"/>
                <w:szCs w:val="19"/>
              </w:rPr>
              <w:t xml:space="preserve">A macOS/Apple-Silicon-specific library collision (torch and scikit-learn each loading their own libomp) can SIGSEGV the process if the documented environment variable workaround is removed or bypassed.</w:t>
            </w:r>
          </w:p>
        </w:tc>
        <w:tc>
          <w:tcPr>
            <w:tcW w:type="dxa" w:w="1000"/>
            <w:shd w:fill="F5F8FC" w:val="clear"/>
            <w:tcMar>
              <w:top w:type="dxa" w:w="80"/>
              <w:left w:type="dxa" w:w="100"/>
              <w:bottom w:type="dxa" w:w="80"/>
              <w:right w:type="dxa" w:w="100"/>
            </w:tcMar>
            <w:vAlign w:val="top"/>
          </w:tcPr>
          <w:p>
            <w:pPr>
              <w:spacing w:after="0"/>
            </w:pPr>
            <w:r>
              <w:rPr>
                <w:sz w:val="19"/>
                <w:szCs w:val="19"/>
              </w:rPr>
              <w:t xml:space="preserve">Low</w:t>
            </w:r>
          </w:p>
        </w:tc>
        <w:tc>
          <w:tcPr>
            <w:tcW w:type="dxa" w:w="900"/>
            <w:shd w:fill="F5F8FC" w:val="clear"/>
            <w:tcMar>
              <w:top w:type="dxa" w:w="80"/>
              <w:left w:type="dxa" w:w="100"/>
              <w:bottom w:type="dxa" w:w="80"/>
              <w:right w:type="dxa" w:w="100"/>
            </w:tcMar>
            <w:vAlign w:val="top"/>
          </w:tcPr>
          <w:p>
            <w:pPr>
              <w:spacing w:after="0"/>
            </w:pPr>
            <w:r>
              <w:rPr>
                <w:sz w:val="19"/>
                <w:szCs w:val="19"/>
              </w:rPr>
              <w:t xml:space="preserve">High</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shd w:fill="F5F8FC" w:val="clear"/>
            <w:tcMar>
              <w:top w:type="dxa" w:w="80"/>
              <w:left w:type="dxa" w:w="100"/>
              <w:bottom w:type="dxa" w:w="80"/>
              <w:right w:type="dxa" w:w="100"/>
            </w:tcMar>
            <w:vAlign w:val="top"/>
          </w:tcPr>
          <w:p>
            <w:pPr>
              <w:spacing w:after="0"/>
            </w:pPr>
            <w:r>
              <w:rPr>
                <w:sz w:val="19"/>
                <w:szCs w:val="19"/>
              </w:rPr>
              <w:t xml:space="preserve">Keep the OMP_NUM_THREADS=1 guard in api/app.py; cover it with a regression note (already documented in-line) before any refactor of the app factory.</w:t>
            </w:r>
          </w:p>
        </w:tc>
      </w:tr>
      <w:tr>
        <w:tc>
          <w:tcPr>
            <w:tcW w:type="dxa" w:w="900"/>
            <w:tcMar>
              <w:top w:type="dxa" w:w="80"/>
              <w:left w:type="dxa" w:w="100"/>
              <w:bottom w:type="dxa" w:w="80"/>
              <w:right w:type="dxa" w:w="100"/>
            </w:tcMar>
            <w:vAlign w:val="top"/>
          </w:tcPr>
          <w:p>
            <w:pPr>
              <w:spacing w:after="0"/>
            </w:pPr>
            <w:r>
              <w:rPr>
                <w:sz w:val="19"/>
                <w:szCs w:val="19"/>
              </w:rPr>
              <w:t xml:space="preserve">RISK-007</w:t>
            </w:r>
          </w:p>
        </w:tc>
        <w:tc>
          <w:tcPr>
            <w:tcW w:type="dxa" w:w="3400"/>
            <w:tcMar>
              <w:top w:type="dxa" w:w="80"/>
              <w:left w:type="dxa" w:w="100"/>
              <w:bottom w:type="dxa" w:w="80"/>
              <w:right w:type="dxa" w:w="100"/>
            </w:tcMar>
            <w:vAlign w:val="top"/>
          </w:tcPr>
          <w:p>
            <w:pPr>
              <w:spacing w:after="0"/>
            </w:pPr>
            <w:r>
              <w:rPr>
                <w:sz w:val="19"/>
                <w:szCs w:val="19"/>
              </w:rPr>
              <w:t xml:space="preserve">No numeric performance/availability SLAs exist; a load-smoke pass (50 concurrent clients) is not a substitute for sustained production load testing.</w:t>
            </w:r>
          </w:p>
        </w:tc>
        <w:tc>
          <w:tcPr>
            <w:tcW w:type="dxa" w:w="1000"/>
            <w:tcMar>
              <w:top w:type="dxa" w:w="80"/>
              <w:left w:type="dxa" w:w="100"/>
              <w:bottom w:type="dxa" w:w="80"/>
              <w:right w:type="dxa" w:w="100"/>
            </w:tcMar>
            <w:vAlign w:val="top"/>
          </w:tcPr>
          <w:p>
            <w:pPr>
              <w:spacing w:after="0"/>
            </w:pPr>
            <w:r>
              <w:rPr>
                <w:sz w:val="19"/>
                <w:szCs w:val="19"/>
              </w:rPr>
              <w:t xml:space="preserve">Medium</w:t>
            </w:r>
          </w:p>
        </w:tc>
        <w:tc>
          <w:tcPr>
            <w:tcW w:type="dxa" w:w="900"/>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tcMar>
              <w:top w:type="dxa" w:w="80"/>
              <w:left w:type="dxa" w:w="100"/>
              <w:bottom w:type="dxa" w:w="80"/>
              <w:right w:type="dxa" w:w="100"/>
            </w:tcMar>
            <w:vAlign w:val="top"/>
          </w:tcPr>
          <w:p>
            <w:pPr>
              <w:spacing w:after="0"/>
            </w:pPr>
            <w:r>
              <w:rPr>
                <w:sz w:val="19"/>
                <w:szCs w:val="19"/>
              </w:rPr>
              <w:t xml:space="preserve">Define and test explicit latency/availability targets before any production or multi-tenant deployment.</w:t>
            </w:r>
          </w:p>
        </w:tc>
      </w:tr>
      <w:tr>
        <w:tc>
          <w:tcPr>
            <w:tcW w:type="dxa" w:w="900"/>
            <w:tcMar>
              <w:top w:type="dxa" w:w="80"/>
              <w:left w:type="dxa" w:w="100"/>
              <w:bottom w:type="dxa" w:w="80"/>
              <w:right w:type="dxa" w:w="100"/>
            </w:tcMar>
            <w:vAlign w:val="top"/>
          </w:tcPr>
          <w:p>
            <w:pPr>
              <w:spacing w:after="0"/>
            </w:pPr>
            <w:r>
              <w:rPr>
                <w:sz w:val="19"/>
                <w:szCs w:val="19"/>
              </w:rPr>
              <w:t xml:space="preserve">RISK-008</w:t>
            </w:r>
          </w:p>
        </w:tc>
        <w:tc>
          <w:tcPr>
            <w:tcW w:type="dxa" w:w="3400"/>
            <w:shd w:fill="F5F8FC" w:val="clear"/>
            <w:tcMar>
              <w:top w:type="dxa" w:w="80"/>
              <w:left w:type="dxa" w:w="100"/>
              <w:bottom w:type="dxa" w:w="80"/>
              <w:right w:type="dxa" w:w="100"/>
            </w:tcMar>
            <w:vAlign w:val="top"/>
          </w:tcPr>
          <w:p>
            <w:pPr>
              <w:spacing w:after="0"/>
            </w:pPr>
            <w:r>
              <w:rPr>
                <w:sz w:val="19"/>
                <w:szCs w:val="19"/>
              </w:rPr>
              <w:t xml:space="preserve">The system depends on third-party data feeds (HungaroMet weather, DKV GTFS transit) with no documented fallback contract if a feed is delayed or malformed.</w:t>
            </w:r>
          </w:p>
        </w:tc>
        <w:tc>
          <w:tcPr>
            <w:tcW w:type="dxa" w:w="10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9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1000"/>
            <w:shd w:fill="FEF6E7" w:val="clear"/>
            <w:tcMar>
              <w:top w:type="dxa" w:w="80"/>
              <w:left w:type="dxa" w:w="100"/>
              <w:bottom w:type="dxa" w:w="80"/>
              <w:right w:type="dxa" w:w="100"/>
            </w:tcMar>
            <w:vAlign w:val="top"/>
          </w:tcPr>
          <w:p>
            <w:pPr>
              <w:spacing w:after="0"/>
            </w:pPr>
            <w:r>
              <w:rPr>
                <w:sz w:val="19"/>
                <w:szCs w:val="19"/>
              </w:rPr>
              <w:t xml:space="preserve">Medium</w:t>
            </w:r>
          </w:p>
        </w:tc>
        <w:tc>
          <w:tcPr>
            <w:tcW w:type="dxa" w:w="2000"/>
            <w:shd w:fill="F5F8FC" w:val="clear"/>
            <w:tcMar>
              <w:top w:type="dxa" w:w="80"/>
              <w:left w:type="dxa" w:w="100"/>
              <w:bottom w:type="dxa" w:w="80"/>
              <w:right w:type="dxa" w:w="100"/>
            </w:tcMar>
            <w:vAlign w:val="top"/>
          </w:tcPr>
          <w:p>
            <w:pPr>
              <w:spacing w:after="0"/>
            </w:pPr>
            <w:r>
              <w:rPr>
                <w:sz w:val="19"/>
                <w:szCs w:val="19"/>
              </w:rPr>
              <w:t xml:space="preserve">Document expected feed SLAs and failure/backoff behaviour; extend graceful-degradation coverage to each external feed explicitly.</w:t>
            </w:r>
          </w:p>
        </w:tc>
      </w:tr>
      <w:tr>
        <w:tc>
          <w:tcPr>
            <w:tcW w:type="dxa" w:w="900"/>
            <w:tcMar>
              <w:top w:type="dxa" w:w="80"/>
              <w:left w:type="dxa" w:w="100"/>
              <w:bottom w:type="dxa" w:w="80"/>
              <w:right w:type="dxa" w:w="100"/>
            </w:tcMar>
            <w:vAlign w:val="top"/>
          </w:tcPr>
          <w:p>
            <w:pPr>
              <w:spacing w:after="0"/>
            </w:pPr>
            <w:r>
              <w:rPr>
                <w:sz w:val="19"/>
                <w:szCs w:val="19"/>
              </w:rPr>
              <w:t xml:space="preserve">RISK-009</w:t>
            </w:r>
          </w:p>
        </w:tc>
        <w:tc>
          <w:tcPr>
            <w:tcW w:type="dxa" w:w="3400"/>
            <w:tcMar>
              <w:top w:type="dxa" w:w="80"/>
              <w:left w:type="dxa" w:w="100"/>
              <w:bottom w:type="dxa" w:w="80"/>
              <w:right w:type="dxa" w:w="100"/>
            </w:tcMar>
            <w:vAlign w:val="top"/>
          </w:tcPr>
          <w:p>
            <w:pPr>
              <w:spacing w:after="0"/>
            </w:pPr>
            <w:r>
              <w:rPr>
                <w:sz w:val="19"/>
                <w:szCs w:val="19"/>
              </w:rPr>
              <w:t xml:space="preserve">API-key authentication (not OIDC) is a deliberate Phase-2 deferral; static keys in configuration are a weaker credential-rotation story than a full identity provider.</w:t>
            </w:r>
          </w:p>
        </w:tc>
        <w:tc>
          <w:tcPr>
            <w:tcW w:type="dxa" w:w="1000"/>
            <w:tcMar>
              <w:top w:type="dxa" w:w="80"/>
              <w:left w:type="dxa" w:w="100"/>
              <w:bottom w:type="dxa" w:w="80"/>
              <w:right w:type="dxa" w:w="100"/>
            </w:tcMar>
            <w:vAlign w:val="top"/>
          </w:tcPr>
          <w:p>
            <w:pPr>
              <w:spacing w:after="0"/>
            </w:pPr>
            <w:r>
              <w:rPr>
                <w:sz w:val="19"/>
                <w:szCs w:val="19"/>
              </w:rPr>
              <w:t xml:space="preserve">Low</w:t>
            </w:r>
          </w:p>
        </w:tc>
        <w:tc>
          <w:tcPr>
            <w:tcW w:type="dxa" w:w="900"/>
            <w:tcMar>
              <w:top w:type="dxa" w:w="80"/>
              <w:left w:type="dxa" w:w="100"/>
              <w:bottom w:type="dxa" w:w="80"/>
              <w:right w:type="dxa" w:w="100"/>
            </w:tcMar>
            <w:vAlign w:val="top"/>
          </w:tcPr>
          <w:p>
            <w:pPr>
              <w:spacing w:after="0"/>
            </w:pPr>
            <w:r>
              <w:rPr>
                <w:sz w:val="19"/>
                <w:szCs w:val="19"/>
              </w:rPr>
              <w:t xml:space="preserve">Medium</w:t>
            </w:r>
          </w:p>
        </w:tc>
        <w:tc>
          <w:tcPr>
            <w:tcW w:type="dxa" w:w="1000"/>
            <w:shd w:fill="E9FBF3" w:val="clear"/>
            <w:tcMar>
              <w:top w:type="dxa" w:w="80"/>
              <w:left w:type="dxa" w:w="100"/>
              <w:bottom w:type="dxa" w:w="80"/>
              <w:right w:type="dxa" w:w="100"/>
            </w:tcMar>
            <w:vAlign w:val="top"/>
          </w:tcPr>
          <w:p>
            <w:pPr>
              <w:spacing w:after="0"/>
            </w:pPr>
            <w:r>
              <w:rPr>
                <w:sz w:val="19"/>
                <w:szCs w:val="19"/>
              </w:rPr>
              <w:t xml:space="preserve">Low</w:t>
            </w:r>
          </w:p>
        </w:tc>
        <w:tc>
          <w:tcPr>
            <w:tcW w:type="dxa" w:w="2000"/>
            <w:tcMar>
              <w:top w:type="dxa" w:w="80"/>
              <w:left w:type="dxa" w:w="100"/>
              <w:bottom w:type="dxa" w:w="80"/>
              <w:right w:type="dxa" w:w="100"/>
            </w:tcMar>
            <w:vAlign w:val="top"/>
          </w:tcPr>
          <w:p>
            <w:pPr>
              <w:spacing w:after="0"/>
            </w:pPr>
            <w:r>
              <w:rPr>
                <w:sz w:val="19"/>
                <w:szCs w:val="19"/>
              </w:rPr>
              <w:t xml:space="preserve">Execute the documented OIDC migration (ADR 0004, ADR 0010) before any deployment handling real public-safety dispatch at scale.</w:t>
            </w:r>
          </w:p>
        </w:tc>
      </w:tr>
      <w:tr>
        <w:tc>
          <w:tcPr>
            <w:tcW w:type="dxa" w:w="900"/>
            <w:tcMar>
              <w:top w:type="dxa" w:w="80"/>
              <w:left w:type="dxa" w:w="100"/>
              <w:bottom w:type="dxa" w:w="80"/>
              <w:right w:type="dxa" w:w="100"/>
            </w:tcMar>
            <w:vAlign w:val="top"/>
          </w:tcPr>
          <w:p>
            <w:pPr>
              <w:spacing w:after="0"/>
            </w:pPr>
            <w:r>
              <w:rPr>
                <w:sz w:val="19"/>
                <w:szCs w:val="19"/>
              </w:rPr>
              <w:t xml:space="preserve">RISK-010</w:t>
            </w:r>
          </w:p>
        </w:tc>
        <w:tc>
          <w:tcPr>
            <w:tcW w:type="dxa" w:w="3400"/>
            <w:shd w:fill="F5F8FC" w:val="clear"/>
            <w:tcMar>
              <w:top w:type="dxa" w:w="80"/>
              <w:left w:type="dxa" w:w="100"/>
              <w:bottom w:type="dxa" w:w="80"/>
              <w:right w:type="dxa" w:w="100"/>
            </w:tcMar>
            <w:vAlign w:val="top"/>
          </w:tcPr>
          <w:p>
            <w:pPr>
              <w:spacing w:after="0"/>
            </w:pPr>
            <w:r>
              <w:rPr>
                <w:sz w:val="19"/>
                <w:szCs w:val="19"/>
              </w:rPr>
              <w:t xml:space="preserve">Kubernetes production deployment is a stated direction with no implementation; a real municipal deployment would need this work before go-live.</w:t>
            </w:r>
          </w:p>
        </w:tc>
        <w:tc>
          <w:tcPr>
            <w:tcW w:type="dxa" w:w="1000"/>
            <w:shd w:fill="F5F8FC" w:val="clear"/>
            <w:tcMar>
              <w:top w:type="dxa" w:w="80"/>
              <w:left w:type="dxa" w:w="100"/>
              <w:bottom w:type="dxa" w:w="80"/>
              <w:right w:type="dxa" w:w="100"/>
            </w:tcMar>
            <w:vAlign w:val="top"/>
          </w:tcPr>
          <w:p>
            <w:pPr>
              <w:spacing w:after="0"/>
            </w:pPr>
            <w:r>
              <w:rPr>
                <w:sz w:val="19"/>
                <w:szCs w:val="19"/>
              </w:rPr>
              <w:t xml:space="preserve">Medium</w:t>
            </w:r>
          </w:p>
        </w:tc>
        <w:tc>
          <w:tcPr>
            <w:tcW w:type="dxa" w:w="900"/>
            <w:shd w:fill="F5F8FC" w:val="clear"/>
            <w:tcMar>
              <w:top w:type="dxa" w:w="80"/>
              <w:left w:type="dxa" w:w="100"/>
              <w:bottom w:type="dxa" w:w="80"/>
              <w:right w:type="dxa" w:w="100"/>
            </w:tcMar>
            <w:vAlign w:val="top"/>
          </w:tcPr>
          <w:p>
            <w:pPr>
              <w:spacing w:after="0"/>
            </w:pPr>
            <w:r>
              <w:rPr>
                <w:sz w:val="19"/>
                <w:szCs w:val="19"/>
              </w:rPr>
              <w:t xml:space="preserve">Low</w:t>
            </w:r>
          </w:p>
        </w:tc>
        <w:tc>
          <w:tcPr>
            <w:tcW w:type="dxa" w:w="1000"/>
            <w:shd w:fill="E9FBF3" w:val="clear"/>
            <w:tcMar>
              <w:top w:type="dxa" w:w="80"/>
              <w:left w:type="dxa" w:w="100"/>
              <w:bottom w:type="dxa" w:w="80"/>
              <w:right w:type="dxa" w:w="100"/>
            </w:tcMar>
            <w:vAlign w:val="top"/>
          </w:tcPr>
          <w:p>
            <w:pPr>
              <w:spacing w:after="0"/>
            </w:pPr>
            <w:r>
              <w:rPr>
                <w:sz w:val="19"/>
                <w:szCs w:val="19"/>
              </w:rPr>
              <w:t xml:space="preserve">Low</w:t>
            </w:r>
          </w:p>
        </w:tc>
        <w:tc>
          <w:tcPr>
            <w:tcW w:type="dxa" w:w="2000"/>
            <w:shd w:fill="F5F8FC" w:val="clear"/>
            <w:tcMar>
              <w:top w:type="dxa" w:w="80"/>
              <w:left w:type="dxa" w:w="100"/>
              <w:bottom w:type="dxa" w:w="80"/>
              <w:right w:type="dxa" w:w="100"/>
            </w:tcMar>
            <w:vAlign w:val="top"/>
          </w:tcPr>
          <w:p>
            <w:pPr>
              <w:spacing w:after="0"/>
            </w:pPr>
            <w:r>
              <w:rPr>
                <w:sz w:val="19"/>
                <w:szCs w:val="19"/>
              </w:rPr>
              <w:t xml:space="preserve">Scope and build the k8s manifests only once a real deployment conversation starts, per the documented rationale in infra/k8s/README.md.</w:t>
            </w:r>
          </w:p>
        </w:tc>
      </w:tr>
    </w:tbl>
    <w:p>
      <w:r>
        <w:br w:type="page"/>
      </w:r>
    </w:p>
    <w:p>
      <w:pPr>
        <w:pStyle w:val="Heading1"/>
        <w:spacing w:after="200" w:before="400"/>
      </w:pPr>
      <w:r>
        <w:t xml:space="preserve">23. Requirements Traceability Matrix</w:t>
      </w:r>
    </w:p>
    <w:p>
      <w:pPr>
        <w:spacing w:after="160" w:line="276"/>
      </w:pPr>
      <w:r>
        <w:t xml:space="preserve">The matrix below connects each functional requirement to its owning feature area, primary implementing component, concrete evidence path, and verification method. It consolidates the evidence already cited against each FR card in Section 5.</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700"/>
        <w:gridCol w:w="2960"/>
      </w:tblGrid>
      <w:tr>
        <w:trPr>
          <w:tblHeader/>
        </w:trPr>
        <w:tc>
          <w:tcPr>
            <w:tcW w:type="dxa" w:w="1000"/>
            <w:shd w:fill="1B6AB8" w:val="clear"/>
            <w:tcMar>
              <w:top w:type="dxa" w:w="80"/>
              <w:left w:type="dxa" w:w="100"/>
              <w:bottom w:type="dxa" w:w="80"/>
              <w:right w:type="dxa" w:w="100"/>
            </w:tcMar>
            <w:vAlign w:val="top"/>
          </w:tcPr>
          <w:p>
            <w:pPr>
              <w:spacing w:after="0"/>
            </w:pPr>
            <w:r>
              <w:rPr>
                <w:b/>
                <w:bCs/>
                <w:color w:val="FFFFFF"/>
                <w:sz w:val="19"/>
                <w:szCs w:val="19"/>
              </w:rPr>
              <w:t xml:space="preserve">Requirement</w:t>
            </w:r>
          </w:p>
        </w:tc>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Feature / Component</w:t>
            </w:r>
          </w:p>
        </w:tc>
        <w:tc>
          <w:tcPr>
            <w:tcW w:type="dxa" w:w="2700"/>
            <w:shd w:fill="1B6AB8" w:val="clear"/>
            <w:tcMar>
              <w:top w:type="dxa" w:w="80"/>
              <w:left w:type="dxa" w:w="100"/>
              <w:bottom w:type="dxa" w:w="80"/>
              <w:right w:type="dxa" w:w="100"/>
            </w:tcMar>
            <w:vAlign w:val="top"/>
          </w:tcPr>
          <w:p>
            <w:pPr>
              <w:spacing w:after="0"/>
            </w:pPr>
            <w:r>
              <w:rPr>
                <w:b/>
                <w:bCs/>
                <w:color w:val="FFFFFF"/>
                <w:sz w:val="19"/>
                <w:szCs w:val="19"/>
              </w:rPr>
              <w:t xml:space="preserve">Evidence Path</w:t>
            </w:r>
          </w:p>
        </w:tc>
        <w:tc>
          <w:tcPr>
            <w:tcW w:type="dxa" w:w="2960"/>
            <w:shd w:fill="1B6AB8" w:val="clear"/>
            <w:tcMar>
              <w:top w:type="dxa" w:w="80"/>
              <w:left w:type="dxa" w:w="100"/>
              <w:bottom w:type="dxa" w:w="80"/>
              <w:right w:type="dxa" w:w="100"/>
            </w:tcMar>
            <w:vAlign w:val="top"/>
          </w:tcPr>
          <w:p>
            <w:pPr>
              <w:spacing w:after="0"/>
            </w:pPr>
            <w:r>
              <w:rPr>
                <w:b/>
                <w:bCs/>
                <w:color w:val="FFFFFF"/>
                <w:sz w:val="19"/>
                <w:szCs w:val="19"/>
              </w:rPr>
              <w:t xml:space="preserve">Verification</w:t>
            </w:r>
          </w:p>
        </w:tc>
      </w:tr>
      <w:tr>
        <w:tc>
          <w:tcPr>
            <w:tcW w:type="dxa" w:w="1000"/>
            <w:tcMar>
              <w:top w:type="dxa" w:w="80"/>
              <w:left w:type="dxa" w:w="100"/>
              <w:bottom w:type="dxa" w:w="80"/>
              <w:right w:type="dxa" w:w="100"/>
            </w:tcMar>
            <w:vAlign w:val="top"/>
          </w:tcPr>
          <w:p>
            <w:pPr>
              <w:spacing w:after="0"/>
            </w:pPr>
            <w:r>
              <w:rPr>
                <w:sz w:val="19"/>
                <w:szCs w:val="19"/>
              </w:rPr>
              <w:t xml:space="preserve">FR-001</w:t>
            </w:r>
          </w:p>
        </w:tc>
        <w:tc>
          <w:tcPr>
            <w:tcW w:type="dxa" w:w="2400"/>
            <w:tcMar>
              <w:top w:type="dxa" w:w="80"/>
              <w:left w:type="dxa" w:w="100"/>
              <w:bottom w:type="dxa" w:w="80"/>
              <w:right w:type="dxa" w:w="100"/>
            </w:tcMar>
            <w:vAlign w:val="top"/>
          </w:tcPr>
          <w:p>
            <w:pPr>
              <w:spacing w:after="0"/>
            </w:pPr>
            <w:r>
              <w:rPr>
                <w:sz w:val="19"/>
                <w:szCs w:val="19"/>
              </w:rPr>
              <w:t xml:space="preserve">Checksum-Idempotent Raw Data Ingestion</w:t>
            </w:r>
          </w:p>
        </w:tc>
        <w:tc>
          <w:tcPr>
            <w:tcW w:type="dxa" w:w="2700"/>
            <w:tcMar>
              <w:top w:type="dxa" w:w="80"/>
              <w:left w:type="dxa" w:w="100"/>
              <w:bottom w:type="dxa" w:w="80"/>
              <w:right w:type="dxa" w:w="100"/>
            </w:tcMar>
            <w:vAlign w:val="top"/>
          </w:tcPr>
          <w:p>
            <w:pPr>
              <w:spacing w:after="0"/>
            </w:pPr>
            <w:r>
              <w:rPr>
                <w:sz w:val="16"/>
                <w:szCs w:val="16"/>
              </w:rPr>
              <w:t xml:space="preserve">src/provenance/io/db/loader.py; src/provenance/io/db/models.py (IngestBatch, Reading); src/provenance/io/ingest/; data/README.md</w:t>
            </w:r>
          </w:p>
        </w:tc>
        <w:tc>
          <w:tcPr>
            <w:tcW w:type="dxa" w:w="2960"/>
            <w:tcMar>
              <w:top w:type="dxa" w:w="80"/>
              <w:left w:type="dxa" w:w="100"/>
              <w:bottom w:type="dxa" w:w="80"/>
              <w:right w:type="dxa" w:w="100"/>
            </w:tcMar>
            <w:vAlign w:val="top"/>
          </w:tcPr>
          <w:p>
            <w:pPr>
              <w:spacing w:after="0"/>
            </w:pPr>
            <w:r>
              <w:rPr>
                <w:sz w:val="16"/>
                <w:szCs w:val="16"/>
              </w:rPr>
              <w:t xml:space="preserve">Unit and integration tests on the loader; idempotency asserted by re-running the same fixture twice.</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FR-002</w:t>
            </w:r>
          </w:p>
        </w:tc>
        <w:tc>
          <w:tcPr>
            <w:tcW w:type="dxa" w:w="2400"/>
            <w:shd w:fill="F5F8FC" w:val="clear"/>
            <w:tcMar>
              <w:top w:type="dxa" w:w="80"/>
              <w:left w:type="dxa" w:w="100"/>
              <w:bottom w:type="dxa" w:w="80"/>
              <w:right w:type="dxa" w:w="100"/>
            </w:tcMar>
            <w:vAlign w:val="top"/>
          </w:tcPr>
          <w:p>
            <w:pPr>
              <w:spacing w:after="0"/>
            </w:pPr>
            <w:r>
              <w:rPr>
                <w:sz w:val="19"/>
                <w:szCs w:val="19"/>
              </w:rPr>
              <w:t xml:space="preserve">Schema Assumption Validation and Drift Detection</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src/provenance/schema/canonical.py; src/provenance/schema/observe.py; src/provenance/config/schema_assumptions.yaml; data/README.md</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schema/canonical.py and schema/observe.py.</w:t>
            </w:r>
          </w:p>
        </w:tc>
      </w:tr>
      <w:tr>
        <w:tc>
          <w:tcPr>
            <w:tcW w:type="dxa" w:w="1000"/>
            <w:tcMar>
              <w:top w:type="dxa" w:w="80"/>
              <w:left w:type="dxa" w:w="100"/>
              <w:bottom w:type="dxa" w:w="80"/>
              <w:right w:type="dxa" w:w="100"/>
            </w:tcMar>
            <w:vAlign w:val="top"/>
          </w:tcPr>
          <w:p>
            <w:pPr>
              <w:spacing w:after="0"/>
            </w:pPr>
            <w:r>
              <w:rPr>
                <w:sz w:val="19"/>
                <w:szCs w:val="19"/>
              </w:rPr>
              <w:t xml:space="preserve">FR-003</w:t>
            </w:r>
          </w:p>
        </w:tc>
        <w:tc>
          <w:tcPr>
            <w:tcW w:type="dxa" w:w="2400"/>
            <w:tcMar>
              <w:top w:type="dxa" w:w="80"/>
              <w:left w:type="dxa" w:w="100"/>
              <w:bottom w:type="dxa" w:w="80"/>
              <w:right w:type="dxa" w:w="100"/>
            </w:tcMar>
            <w:vAlign w:val="top"/>
          </w:tcPr>
          <w:p>
            <w:pPr>
              <w:spacing w:after="0"/>
            </w:pPr>
            <w:r>
              <w:rPr>
                <w:sz w:val="19"/>
                <w:szCs w:val="19"/>
              </w:rPr>
              <w:t xml:space="preserve">Cadence-Aware Grid Reindexing</w:t>
            </w:r>
          </w:p>
        </w:tc>
        <w:tc>
          <w:tcPr>
            <w:tcW w:type="dxa" w:w="2700"/>
            <w:tcMar>
              <w:top w:type="dxa" w:w="80"/>
              <w:left w:type="dxa" w:w="100"/>
              <w:bottom w:type="dxa" w:w="80"/>
              <w:right w:type="dxa" w:w="100"/>
            </w:tcMar>
            <w:vAlign w:val="top"/>
          </w:tcPr>
          <w:p>
            <w:pPr>
              <w:spacing w:after="0"/>
            </w:pPr>
            <w:r>
              <w:rPr>
                <w:sz w:val="16"/>
                <w:szCs w:val="16"/>
              </w:rPr>
              <w:t xml:space="preserve">src/provenance/grid/coverage.py; src/provenance/detectors/row_absent.py</w:t>
            </w:r>
          </w:p>
        </w:tc>
        <w:tc>
          <w:tcPr>
            <w:tcW w:type="dxa" w:w="2960"/>
            <w:tcMar>
              <w:top w:type="dxa" w:w="80"/>
              <w:left w:type="dxa" w:w="100"/>
              <w:bottom w:type="dxa" w:w="80"/>
              <w:right w:type="dxa" w:w="100"/>
            </w:tcMar>
            <w:vAlign w:val="top"/>
          </w:tcPr>
          <w:p>
            <w:pPr>
              <w:spacing w:after="0"/>
            </w:pPr>
            <w:r>
              <w:rPr>
                <w:sz w:val="16"/>
                <w:szCs w:val="16"/>
              </w:rPr>
              <w:t xml:space="preserve">Unit tests in tests/unit for grid/coverage.py; property tests for cadence inference.</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FR-004</w:t>
            </w:r>
          </w:p>
        </w:tc>
        <w:tc>
          <w:tcPr>
            <w:tcW w:type="dxa" w:w="2400"/>
            <w:shd w:fill="F5F8FC" w:val="clear"/>
            <w:tcMar>
              <w:top w:type="dxa" w:w="80"/>
              <w:left w:type="dxa" w:w="100"/>
              <w:bottom w:type="dxa" w:w="80"/>
              <w:right w:type="dxa" w:w="100"/>
            </w:tcMar>
            <w:vAlign w:val="top"/>
          </w:tcPr>
          <w:p>
            <w:pPr>
              <w:spacing w:after="0"/>
            </w:pPr>
            <w:r>
              <w:rPr>
                <w:sz w:val="19"/>
                <w:szCs w:val="19"/>
              </w:rPr>
              <w:t xml:space="preserve">Multi-Detector Environmental Defect Audit</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src/provenance/detectors/registry.py; src/provenance/detectors/*.py (13 modules); src/provenance/audit/orchestrator.py</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per detector (tests/unit); property-based tests (tests/property) for detector invariants; golden-file regression on rendered audit.md.</w:t>
            </w:r>
          </w:p>
        </w:tc>
      </w:tr>
      <w:tr>
        <w:tc>
          <w:tcPr>
            <w:tcW w:type="dxa" w:w="1000"/>
            <w:tcMar>
              <w:top w:type="dxa" w:w="80"/>
              <w:left w:type="dxa" w:w="100"/>
              <w:bottom w:type="dxa" w:w="80"/>
              <w:right w:type="dxa" w:w="100"/>
            </w:tcMar>
            <w:vAlign w:val="top"/>
          </w:tcPr>
          <w:p>
            <w:pPr>
              <w:spacing w:after="0"/>
            </w:pPr>
            <w:r>
              <w:rPr>
                <w:sz w:val="19"/>
                <w:szCs w:val="19"/>
              </w:rPr>
              <w:t xml:space="preserve">FR-005</w:t>
            </w:r>
          </w:p>
        </w:tc>
        <w:tc>
          <w:tcPr>
            <w:tcW w:type="dxa" w:w="2400"/>
            <w:tcMar>
              <w:top w:type="dxa" w:w="80"/>
              <w:left w:type="dxa" w:w="100"/>
              <w:bottom w:type="dxa" w:w="80"/>
              <w:right w:type="dxa" w:w="100"/>
            </w:tcMar>
            <w:vAlign w:val="top"/>
          </w:tcPr>
          <w:p>
            <w:pPr>
              <w:spacing w:after="0"/>
            </w:pPr>
            <w:r>
              <w:rPr>
                <w:sz w:val="19"/>
                <w:szCs w:val="19"/>
              </w:rPr>
              <w:t xml:space="preserve">Defect Rate Computation with Attached Definition</w:t>
            </w:r>
          </w:p>
        </w:tc>
        <w:tc>
          <w:tcPr>
            <w:tcW w:type="dxa" w:w="2700"/>
            <w:tcMar>
              <w:top w:type="dxa" w:w="80"/>
              <w:left w:type="dxa" w:w="100"/>
              <w:bottom w:type="dxa" w:w="80"/>
              <w:right w:type="dxa" w:w="100"/>
            </w:tcMar>
            <w:vAlign w:val="top"/>
          </w:tcPr>
          <w:p>
            <w:pPr>
              <w:spacing w:after="0"/>
            </w:pPr>
            <w:r>
              <w:rPr>
                <w:sz w:val="16"/>
                <w:szCs w:val="16"/>
              </w:rPr>
              <w:t xml:space="preserve">src/provenance/grid/defect_rate.py; CHANGELOG.md (headline reconciliation entry); docs/audit-methodology-v1.0.md</w:t>
            </w:r>
          </w:p>
        </w:tc>
        <w:tc>
          <w:tcPr>
            <w:tcW w:type="dxa" w:w="2960"/>
            <w:tcMar>
              <w:top w:type="dxa" w:w="80"/>
              <w:left w:type="dxa" w:w="100"/>
              <w:bottom w:type="dxa" w:w="80"/>
              <w:right w:type="dxa" w:w="100"/>
            </w:tcMar>
            <w:vAlign w:val="top"/>
          </w:tcPr>
          <w:p>
            <w:pPr>
              <w:spacing w:after="0"/>
            </w:pPr>
            <w:r>
              <w:rPr>
                <w:sz w:val="16"/>
                <w:szCs w:val="16"/>
              </w:rPr>
              <w:t xml:space="preserve">Regression test pinning the exact rate and denominator on the fixture corpus; golden snapshot of the rendered definition string.</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FR-006</w:t>
            </w:r>
          </w:p>
        </w:tc>
        <w:tc>
          <w:tcPr>
            <w:tcW w:type="dxa" w:w="2400"/>
            <w:shd w:fill="F5F8FC" w:val="clear"/>
            <w:tcMar>
              <w:top w:type="dxa" w:w="80"/>
              <w:left w:type="dxa" w:w="100"/>
              <w:bottom w:type="dxa" w:w="80"/>
              <w:right w:type="dxa" w:w="100"/>
            </w:tcMar>
            <w:vAlign w:val="top"/>
          </w:tcPr>
          <w:p>
            <w:pPr>
              <w:spacing w:after="0"/>
            </w:pPr>
            <w:r>
              <w:rPr>
                <w:sz w:val="19"/>
                <w:szCs w:val="19"/>
              </w:rPr>
              <w:t xml:space="preserve">Structural Coverage Tracking</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src/provenance/grid/coverage.py; src/provenance/io/db/models.py (CoverageFact)</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grid/coverage.py; integration test asserting CoverageFact/Defect are mutually exclusive per cell.</w:t>
            </w:r>
          </w:p>
        </w:tc>
      </w:tr>
      <w:tr>
        <w:tc>
          <w:tcPr>
            <w:tcW w:type="dxa" w:w="1000"/>
            <w:tcMar>
              <w:top w:type="dxa" w:w="80"/>
              <w:left w:type="dxa" w:w="100"/>
              <w:bottom w:type="dxa" w:w="80"/>
              <w:right w:type="dxa" w:w="100"/>
            </w:tcMar>
            <w:vAlign w:val="top"/>
          </w:tcPr>
          <w:p>
            <w:pPr>
              <w:spacing w:after="0"/>
            </w:pPr>
            <w:r>
              <w:rPr>
                <w:sz w:val="19"/>
                <w:szCs w:val="19"/>
              </w:rPr>
              <w:t xml:space="preserve">FR-007</w:t>
            </w:r>
          </w:p>
        </w:tc>
        <w:tc>
          <w:tcPr>
            <w:tcW w:type="dxa" w:w="2400"/>
            <w:tcMar>
              <w:top w:type="dxa" w:w="80"/>
              <w:left w:type="dxa" w:w="100"/>
              <w:bottom w:type="dxa" w:w="80"/>
              <w:right w:type="dxa" w:w="100"/>
            </w:tcMar>
            <w:vAlign w:val="top"/>
          </w:tcPr>
          <w:p>
            <w:pPr>
              <w:spacing w:after="0"/>
            </w:pPr>
            <w:r>
              <w:rPr>
                <w:sz w:val="19"/>
                <w:szCs w:val="19"/>
              </w:rPr>
              <w:t xml:space="preserve">Reason-Code Registry and Classification</w:t>
            </w:r>
          </w:p>
        </w:tc>
        <w:tc>
          <w:tcPr>
            <w:tcW w:type="dxa" w:w="2700"/>
            <w:tcMar>
              <w:top w:type="dxa" w:w="80"/>
              <w:left w:type="dxa" w:w="100"/>
              <w:bottom w:type="dxa" w:w="80"/>
              <w:right w:type="dxa" w:w="100"/>
            </w:tcMar>
            <w:vAlign w:val="top"/>
          </w:tcPr>
          <w:p>
            <w:pPr>
              <w:spacing w:after="0"/>
            </w:pPr>
            <w:r>
              <w:rPr>
                <w:sz w:val="16"/>
                <w:szCs w:val="16"/>
              </w:rPr>
              <w:t xml:space="preserve">src/provenance/config/reason_codes.py; src/provenance/cli/main.py (codes_app); tests/architecture</w:t>
            </w:r>
          </w:p>
        </w:tc>
        <w:tc>
          <w:tcPr>
            <w:tcW w:type="dxa" w:w="2960"/>
            <w:tcMar>
              <w:top w:type="dxa" w:w="80"/>
              <w:left w:type="dxa" w:w="100"/>
              <w:bottom w:type="dxa" w:w="80"/>
              <w:right w:type="dxa" w:w="100"/>
            </w:tcMar>
            <w:vAlign w:val="top"/>
          </w:tcPr>
          <w:p>
            <w:pPr>
              <w:spacing w:after="0"/>
            </w:pPr>
            <w:r>
              <w:rPr>
                <w:sz w:val="16"/>
                <w:szCs w:val="16"/>
              </w:rPr>
              <w:t xml:space="preserve">Unit tests asserting every reason code raised anywhere in the codebase exists in the registry (architecture-layer test).</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FR-008</w:t>
            </w:r>
          </w:p>
        </w:tc>
        <w:tc>
          <w:tcPr>
            <w:tcW w:type="dxa" w:w="2400"/>
            <w:shd w:fill="F5F8FC" w:val="clear"/>
            <w:tcMar>
              <w:top w:type="dxa" w:w="80"/>
              <w:left w:type="dxa" w:w="100"/>
              <w:bottom w:type="dxa" w:w="80"/>
              <w:right w:type="dxa" w:w="100"/>
            </w:tcMar>
            <w:vAlign w:val="top"/>
          </w:tcPr>
          <w:p>
            <w:pPr>
              <w:spacing w:after="0"/>
            </w:pPr>
            <w:r>
              <w:rPr>
                <w:sz w:val="19"/>
                <w:szCs w:val="19"/>
              </w:rPr>
              <w:t xml:space="preserve">Weighted Trust Score Computation</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src/provenance/trust/engine.py; src/provenance/trust/score.py; src/provenance/trust/components.py; src/provenance/trust/config/trust_weights.yaml; docs/trust-score-methodology-v1.2-endorsement.md</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per component; regression test pinning the KER11 trajectory; docs/trust-score-methodology-v1.0/1.1/1.2 as the versioned specification.</w:t>
            </w:r>
          </w:p>
        </w:tc>
      </w:tr>
      <w:tr>
        <w:tc>
          <w:tcPr>
            <w:tcW w:type="dxa" w:w="1000"/>
            <w:tcMar>
              <w:top w:type="dxa" w:w="80"/>
              <w:left w:type="dxa" w:w="100"/>
              <w:bottom w:type="dxa" w:w="80"/>
              <w:right w:type="dxa" w:w="100"/>
            </w:tcMar>
            <w:vAlign w:val="top"/>
          </w:tcPr>
          <w:p>
            <w:pPr>
              <w:spacing w:after="0"/>
            </w:pPr>
            <w:r>
              <w:rPr>
                <w:sz w:val="19"/>
                <w:szCs w:val="19"/>
              </w:rPr>
              <w:t xml:space="preserve">FR-009</w:t>
            </w:r>
          </w:p>
        </w:tc>
        <w:tc>
          <w:tcPr>
            <w:tcW w:type="dxa" w:w="2400"/>
            <w:tcMar>
              <w:top w:type="dxa" w:w="80"/>
              <w:left w:type="dxa" w:w="100"/>
              <w:bottom w:type="dxa" w:w="80"/>
              <w:right w:type="dxa" w:w="100"/>
            </w:tcMar>
            <w:vAlign w:val="top"/>
          </w:tcPr>
          <w:p>
            <w:pPr>
              <w:spacing w:after="0"/>
            </w:pPr>
            <w:r>
              <w:rPr>
                <w:sz w:val="19"/>
                <w:szCs w:val="19"/>
              </w:rPr>
              <w:t xml:space="preserve">Imputation Uncertainty Modelling</w:t>
            </w:r>
          </w:p>
        </w:tc>
        <w:tc>
          <w:tcPr>
            <w:tcW w:type="dxa" w:w="2700"/>
            <w:tcMar>
              <w:top w:type="dxa" w:w="80"/>
              <w:left w:type="dxa" w:w="100"/>
              <w:bottom w:type="dxa" w:w="80"/>
              <w:right w:type="dxa" w:w="100"/>
            </w:tcMar>
            <w:vAlign w:val="top"/>
          </w:tcPr>
          <w:p>
            <w:pPr>
              <w:spacing w:after="0"/>
            </w:pPr>
            <w:r>
              <w:rPr>
                <w:sz w:val="16"/>
                <w:szCs w:val="16"/>
              </w:rPr>
              <w:t xml:space="preserve">src/provenance/trust/imputation.py; src/provenance/trust/components.py (ImputationUncertainty handling); src/provenance/models/hstgat/; docs/updates (U16 series, post-phase-7 update prompts)</w:t>
            </w:r>
          </w:p>
        </w:tc>
        <w:tc>
          <w:tcPr>
            <w:tcW w:type="dxa" w:w="2960"/>
            <w:tcMar>
              <w:top w:type="dxa" w:w="80"/>
              <w:left w:type="dxa" w:w="100"/>
              <w:bottom w:type="dxa" w:w="80"/>
              <w:right w:type="dxa" w:w="100"/>
            </w:tcMar>
            <w:vAlign w:val="top"/>
          </w:tcPr>
          <w:p>
            <w:pPr>
              <w:spacing w:after="0"/>
            </w:pPr>
            <w:r>
              <w:rPr>
                <w:sz w:val="16"/>
                <w:szCs w:val="16"/>
              </w:rPr>
              <w:t xml:space="preserve">Unit/integration tests on trust/imputation.py; `make demo-real` auto-trains the missing cached model via an existence check before running.</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FR-010</w:t>
            </w:r>
          </w:p>
        </w:tc>
        <w:tc>
          <w:tcPr>
            <w:tcW w:type="dxa" w:w="2400"/>
            <w:shd w:fill="F5F8FC" w:val="clear"/>
            <w:tcMar>
              <w:top w:type="dxa" w:w="80"/>
              <w:left w:type="dxa" w:w="100"/>
              <w:bottom w:type="dxa" w:w="80"/>
              <w:right w:type="dxa" w:w="100"/>
            </w:tcMar>
            <w:vAlign w:val="top"/>
          </w:tcPr>
          <w:p>
            <w:pPr>
              <w:spacing w:after="0"/>
            </w:pPr>
            <w:r>
              <w:rPr>
                <w:sz w:val="19"/>
                <w:szCs w:val="19"/>
              </w:rPr>
              <w:t xml:space="preserve">Trust Score Time Series and Graceful Degradation</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src/provenance/trust/engine.py; apps/web/src/components/TrustBreakdown.tsx; apps/web/src/components/Sparkline.tsx; docs/trust-score-methodology-v1.1-invariants-and-series.md</w:t>
            </w:r>
          </w:p>
        </w:tc>
        <w:tc>
          <w:tcPr>
            <w:tcW w:type="dxa" w:w="2960"/>
            <w:shd w:fill="F5F8FC" w:val="clear"/>
            <w:tcMar>
              <w:top w:type="dxa" w:w="80"/>
              <w:left w:type="dxa" w:w="100"/>
              <w:bottom w:type="dxa" w:w="80"/>
              <w:right w:type="dxa" w:w="100"/>
            </w:tcMar>
            <w:vAlign w:val="top"/>
          </w:tcPr>
          <w:p>
            <w:pPr>
              <w:spacing w:after="0"/>
            </w:pPr>
            <w:r>
              <w:rPr>
                <w:sz w:val="16"/>
                <w:szCs w:val="16"/>
              </w:rPr>
              <w:t xml:space="preserve">Integration tests; dashboard component tests (apps/web/src/__tests__).</w:t>
            </w:r>
          </w:p>
        </w:tc>
      </w:tr>
      <w:tr>
        <w:tc>
          <w:tcPr>
            <w:tcW w:type="dxa" w:w="1000"/>
            <w:tcMar>
              <w:top w:type="dxa" w:w="80"/>
              <w:left w:type="dxa" w:w="100"/>
              <w:bottom w:type="dxa" w:w="80"/>
              <w:right w:type="dxa" w:w="100"/>
            </w:tcMar>
            <w:vAlign w:val="top"/>
          </w:tcPr>
          <w:p>
            <w:pPr>
              <w:spacing w:after="0"/>
            </w:pPr>
            <w:r>
              <w:rPr>
                <w:sz w:val="19"/>
                <w:szCs w:val="19"/>
              </w:rPr>
              <w:t xml:space="preserve">FR-011</w:t>
            </w:r>
          </w:p>
        </w:tc>
        <w:tc>
          <w:tcPr>
            <w:tcW w:type="dxa" w:w="2400"/>
            <w:tcMar>
              <w:top w:type="dxa" w:w="80"/>
              <w:left w:type="dxa" w:w="100"/>
              <w:bottom w:type="dxa" w:w="80"/>
              <w:right w:type="dxa" w:w="100"/>
            </w:tcMar>
            <w:vAlign w:val="top"/>
          </w:tcPr>
          <w:p>
            <w:pPr>
              <w:spacing w:after="0"/>
            </w:pPr>
            <w:r>
              <w:rPr>
                <w:sz w:val="19"/>
                <w:szCs w:val="19"/>
              </w:rPr>
              <w:t xml:space="preserve">Population-Exposure Risk Weighting</w:t>
            </w:r>
          </w:p>
        </w:tc>
        <w:tc>
          <w:tcPr>
            <w:tcW w:type="dxa" w:w="2700"/>
            <w:tcMar>
              <w:top w:type="dxa" w:w="80"/>
              <w:left w:type="dxa" w:w="100"/>
              <w:bottom w:type="dxa" w:w="80"/>
              <w:right w:type="dxa" w:w="100"/>
            </w:tcMar>
            <w:vAlign w:val="top"/>
          </w:tcPr>
          <w:p>
            <w:pPr>
              <w:spacing w:after="0"/>
            </w:pPr>
            <w:r>
              <w:rPr>
                <w:sz w:val="16"/>
                <w:szCs w:val="16"/>
              </w:rPr>
              <w:t xml:space="preserve">src/provenance/grid/exposure.py; src/provenance/fixtures/gtfs.py; src/provenance/ops/severity.py; docs/decisions (station-zone/exposure notes)</w:t>
            </w:r>
          </w:p>
        </w:tc>
        <w:tc>
          <w:tcPr>
            <w:tcW w:type="dxa" w:w="2960"/>
            <w:tcMar>
              <w:top w:type="dxa" w:w="80"/>
              <w:left w:type="dxa" w:w="100"/>
              <w:bottom w:type="dxa" w:w="80"/>
              <w:right w:type="dxa" w:w="100"/>
            </w:tcMar>
            <w:vAlign w:val="top"/>
          </w:tcPr>
          <w:p>
            <w:pPr>
              <w:spacing w:after="0"/>
            </w:pPr>
            <w:r>
              <w:rPr>
                <w:sz w:val="16"/>
                <w:szCs w:val="16"/>
              </w:rPr>
              <w:t xml:space="preserve">Unit test constructing a high-exposure/low-exposure pair and asserting rank order; docs/phase-reports/phase-7-ops.md.</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FR-012</w:t>
            </w:r>
          </w:p>
        </w:tc>
        <w:tc>
          <w:tcPr>
            <w:tcW w:type="dxa" w:w="2400"/>
            <w:shd w:fill="F5F8FC" w:val="clear"/>
            <w:tcMar>
              <w:top w:type="dxa" w:w="80"/>
              <w:left w:type="dxa" w:w="100"/>
              <w:bottom w:type="dxa" w:w="80"/>
              <w:right w:type="dxa" w:w="100"/>
            </w:tcMar>
            <w:vAlign w:val="top"/>
          </w:tcPr>
          <w:p>
            <w:pPr>
              <w:spacing w:after="0"/>
            </w:pPr>
            <w:r>
              <w:rPr>
                <w:sz w:val="19"/>
                <w:szCs w:val="19"/>
              </w:rPr>
              <w:t xml:space="preserve">Wind-Conditioned Station Graph Construction</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src/provenance/graph/build.py; src/provenance/graph/wind.py; src/provenance/graph/edges.py; src/provenance/graph/topology.py; src/provenance/config/graph.yaml</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graph/wind.py, graph/edges.py, graph/topology.py; property tests on graph invariants.</w:t>
            </w:r>
          </w:p>
        </w:tc>
      </w:tr>
      <w:tr>
        <w:tc>
          <w:tcPr>
            <w:tcW w:type="dxa" w:w="1000"/>
            <w:tcMar>
              <w:top w:type="dxa" w:w="80"/>
              <w:left w:type="dxa" w:w="100"/>
              <w:bottom w:type="dxa" w:w="80"/>
              <w:right w:type="dxa" w:w="100"/>
            </w:tcMar>
            <w:vAlign w:val="top"/>
          </w:tcPr>
          <w:p>
            <w:pPr>
              <w:spacing w:after="0"/>
            </w:pPr>
            <w:r>
              <w:rPr>
                <w:sz w:val="19"/>
                <w:szCs w:val="19"/>
              </w:rPr>
              <w:t xml:space="preserve">FR-013</w:t>
            </w:r>
          </w:p>
        </w:tc>
        <w:tc>
          <w:tcPr>
            <w:tcW w:type="dxa" w:w="2400"/>
            <w:tcMar>
              <w:top w:type="dxa" w:w="80"/>
              <w:left w:type="dxa" w:w="100"/>
              <w:bottom w:type="dxa" w:w="80"/>
              <w:right w:type="dxa" w:w="100"/>
            </w:tcMar>
            <w:vAlign w:val="top"/>
          </w:tcPr>
          <w:p>
            <w:pPr>
              <w:spacing w:after="0"/>
            </w:pPr>
            <w:r>
              <w:rPr>
                <w:sz w:val="19"/>
                <w:szCs w:val="19"/>
              </w:rPr>
              <w:t xml:space="preserve">Candidate Event Detection</w:t>
            </w:r>
          </w:p>
        </w:tc>
        <w:tc>
          <w:tcPr>
            <w:tcW w:type="dxa" w:w="2700"/>
            <w:tcMar>
              <w:top w:type="dxa" w:w="80"/>
              <w:left w:type="dxa" w:w="100"/>
              <w:bottom w:type="dxa" w:w="80"/>
              <w:right w:type="dxa" w:w="100"/>
            </w:tcMar>
            <w:vAlign w:val="top"/>
          </w:tcPr>
          <w:p>
            <w:pPr>
              <w:spacing w:after="0"/>
            </w:pPr>
            <w:r>
              <w:rPr>
                <w:sz w:val="16"/>
                <w:szCs w:val="16"/>
              </w:rPr>
              <w:t xml:space="preserve">src/provenance/detectors/episodes.py; src/provenance/io/db/models.py (Event); CHANGELOG.md (adjudication-not-applicable entry)</w:t>
            </w:r>
          </w:p>
        </w:tc>
        <w:tc>
          <w:tcPr>
            <w:tcW w:type="dxa" w:w="2960"/>
            <w:tcMar>
              <w:top w:type="dxa" w:w="80"/>
              <w:left w:type="dxa" w:w="100"/>
              <w:bottom w:type="dxa" w:w="80"/>
              <w:right w:type="dxa" w:w="100"/>
            </w:tcMar>
            <w:vAlign w:val="top"/>
          </w:tcPr>
          <w:p>
            <w:pPr>
              <w:spacing w:after="0"/>
            </w:pPr>
            <w:r>
              <w:rPr>
                <w:sz w:val="16"/>
                <w:szCs w:val="16"/>
              </w:rPr>
              <w:t xml:space="preserve">Unit tests on detectors/episodes.py; integration test on the event persistence path.</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FR-014</w:t>
            </w:r>
          </w:p>
        </w:tc>
        <w:tc>
          <w:tcPr>
            <w:tcW w:type="dxa" w:w="2400"/>
            <w:shd w:fill="F5F8FC" w:val="clear"/>
            <w:tcMar>
              <w:top w:type="dxa" w:w="80"/>
              <w:left w:type="dxa" w:w="100"/>
              <w:bottom w:type="dxa" w:w="80"/>
              <w:right w:type="dxa" w:w="100"/>
            </w:tcMar>
            <w:vAlign w:val="top"/>
          </w:tcPr>
          <w:p>
            <w:pPr>
              <w:spacing w:after="0"/>
            </w:pPr>
            <w:r>
              <w:rPr>
                <w:sz w:val="19"/>
                <w:szCs w:val="19"/>
              </w:rPr>
              <w:t xml:space="preserve">Plume-vs-Fault Adjudication Verdict</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src/provenance/graph/adjudicate.py; src/provenance/graph/expectation.py; src/provenance/graph/propagation.py; docs/adjudications/ker11-4100-evidence-v1.1.md</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and property tests on graph/adjudicate.py, graph/expectation.py, graph/propagation.py; a documented, versioned adjudication write-up for the KER11 case.</w:t>
            </w:r>
          </w:p>
        </w:tc>
      </w:tr>
      <w:tr>
        <w:tc>
          <w:tcPr>
            <w:tcW w:type="dxa" w:w="1000"/>
            <w:tcMar>
              <w:top w:type="dxa" w:w="80"/>
              <w:left w:type="dxa" w:w="100"/>
              <w:bottom w:type="dxa" w:w="80"/>
              <w:right w:type="dxa" w:w="100"/>
            </w:tcMar>
            <w:vAlign w:val="top"/>
          </w:tcPr>
          <w:p>
            <w:pPr>
              <w:spacing w:after="0"/>
            </w:pPr>
            <w:r>
              <w:rPr>
                <w:sz w:val="19"/>
                <w:szCs w:val="19"/>
              </w:rPr>
              <w:t xml:space="preserve">FR-015</w:t>
            </w:r>
          </w:p>
        </w:tc>
        <w:tc>
          <w:tcPr>
            <w:tcW w:type="dxa" w:w="2400"/>
            <w:tcMar>
              <w:top w:type="dxa" w:w="80"/>
              <w:left w:type="dxa" w:w="100"/>
              <w:bottom w:type="dxa" w:w="80"/>
              <w:right w:type="dxa" w:w="100"/>
            </w:tcMar>
            <w:vAlign w:val="top"/>
          </w:tcPr>
          <w:p>
            <w:pPr>
              <w:spacing w:after="0"/>
            </w:pPr>
            <w:r>
              <w:rPr>
                <w:sz w:val="19"/>
                <w:szCs w:val="19"/>
              </w:rPr>
              <w:t xml:space="preserve">HST-GAT Learned Adjudication with Conformal Intervals</w:t>
            </w:r>
          </w:p>
        </w:tc>
        <w:tc>
          <w:tcPr>
            <w:tcW w:type="dxa" w:w="2700"/>
            <w:tcMar>
              <w:top w:type="dxa" w:w="80"/>
              <w:left w:type="dxa" w:w="100"/>
              <w:bottom w:type="dxa" w:w="80"/>
              <w:right w:type="dxa" w:w="100"/>
            </w:tcMar>
            <w:vAlign w:val="top"/>
          </w:tcPr>
          <w:p>
            <w:pPr>
              <w:spacing w:after="0"/>
            </w:pPr>
            <w:r>
              <w:rPr>
                <w:sz w:val="16"/>
                <w:szCs w:val="16"/>
              </w:rPr>
              <w:t xml:space="preserve">src/provenance/models/hstgat/; src/provenance/models/conformal/; src/provenance/api/routers/graph.py; docs/model-cards/hst-gat-v1.md; docs/decisions/0009-pyg-install.md</w:t>
            </w:r>
          </w:p>
        </w:tc>
        <w:tc>
          <w:tcPr>
            <w:tcW w:type="dxa" w:w="2960"/>
            <w:tcMar>
              <w:top w:type="dxa" w:w="80"/>
              <w:left w:type="dxa" w:w="100"/>
              <w:bottom w:type="dxa" w:w="80"/>
              <w:right w:type="dxa" w:w="100"/>
            </w:tcMar>
            <w:vAlign w:val="top"/>
          </w:tcPr>
          <w:p>
            <w:pPr>
              <w:spacing w:after="0"/>
            </w:pPr>
            <w:r>
              <w:rPr>
                <w:sz w:val="16"/>
                <w:szCs w:val="16"/>
              </w:rPr>
              <w:t xml:space="preserve">Model-card-documented architecture and metrics (representative, corpus-scoped); pinned invariant tests (beta=0, monotonic attention); conformal coverage tests.</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FR-016</w:t>
            </w:r>
          </w:p>
        </w:tc>
        <w:tc>
          <w:tcPr>
            <w:tcW w:type="dxa" w:w="2400"/>
            <w:shd w:fill="F5F8FC" w:val="clear"/>
            <w:tcMar>
              <w:top w:type="dxa" w:w="80"/>
              <w:left w:type="dxa" w:w="100"/>
              <w:bottom w:type="dxa" w:w="80"/>
              <w:right w:type="dxa" w:w="100"/>
            </w:tcMar>
            <w:vAlign w:val="top"/>
          </w:tcPr>
          <w:p>
            <w:pPr>
              <w:spacing w:after="0"/>
            </w:pPr>
            <w:r>
              <w:rPr>
                <w:sz w:val="19"/>
                <w:szCs w:val="19"/>
              </w:rPr>
              <w:t xml:space="preserve">Meteorological Deweathering</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src/provenance/models/deweather/; src/provenance/io/db/models.py (Residual); src/provenance/api/routers/deweather.py; docs/decisions/0008-deweathering-and-fault-classifier.md</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models/deweather; integration test on the residual persistence path and the deweather API.</w:t>
            </w:r>
          </w:p>
        </w:tc>
      </w:tr>
      <w:tr>
        <w:tc>
          <w:tcPr>
            <w:tcW w:type="dxa" w:w="1000"/>
            <w:tcMar>
              <w:top w:type="dxa" w:w="80"/>
              <w:left w:type="dxa" w:w="100"/>
              <w:bottom w:type="dxa" w:w="80"/>
              <w:right w:type="dxa" w:w="100"/>
            </w:tcMar>
            <w:vAlign w:val="top"/>
          </w:tcPr>
          <w:p>
            <w:pPr>
              <w:spacing w:after="0"/>
            </w:pPr>
            <w:r>
              <w:rPr>
                <w:sz w:val="19"/>
                <w:szCs w:val="19"/>
              </w:rPr>
              <w:t xml:space="preserve">FR-017</w:t>
            </w:r>
          </w:p>
        </w:tc>
        <w:tc>
          <w:tcPr>
            <w:tcW w:type="dxa" w:w="2400"/>
            <w:tcMar>
              <w:top w:type="dxa" w:w="80"/>
              <w:left w:type="dxa" w:w="100"/>
              <w:bottom w:type="dxa" w:w="80"/>
              <w:right w:type="dxa" w:w="100"/>
            </w:tcMar>
            <w:vAlign w:val="top"/>
          </w:tcPr>
          <w:p>
            <w:pPr>
              <w:spacing w:after="0"/>
            </w:pPr>
            <w:r>
              <w:rPr>
                <w:sz w:val="19"/>
                <w:szCs w:val="19"/>
              </w:rPr>
              <w:t xml:space="preserve">ML-Based Fault Classification</w:t>
            </w:r>
          </w:p>
        </w:tc>
        <w:tc>
          <w:tcPr>
            <w:tcW w:type="dxa" w:w="2700"/>
            <w:tcMar>
              <w:top w:type="dxa" w:w="80"/>
              <w:left w:type="dxa" w:w="100"/>
              <w:bottom w:type="dxa" w:w="80"/>
              <w:right w:type="dxa" w:w="100"/>
            </w:tcMar>
            <w:vAlign w:val="top"/>
          </w:tcPr>
          <w:p>
            <w:pPr>
              <w:spacing w:after="0"/>
            </w:pPr>
            <w:r>
              <w:rPr>
                <w:sz w:val="16"/>
                <w:szCs w:val="16"/>
              </w:rPr>
              <w:t xml:space="preserve">src/provenance/models/fault/; src/provenance/models/features/; src/provenance/models/cv.py (time-blocked cross-validation)</w:t>
            </w:r>
          </w:p>
        </w:tc>
        <w:tc>
          <w:tcPr>
            <w:tcW w:type="dxa" w:w="2960"/>
            <w:tcMar>
              <w:top w:type="dxa" w:w="80"/>
              <w:left w:type="dxa" w:w="100"/>
              <w:bottom w:type="dxa" w:w="80"/>
              <w:right w:type="dxa" w:w="100"/>
            </w:tcMar>
            <w:vAlign w:val="top"/>
          </w:tcPr>
          <w:p>
            <w:pPr>
              <w:spacing w:after="0"/>
            </w:pPr>
            <w:r>
              <w:rPr>
                <w:sz w:val="16"/>
                <w:szCs w:val="16"/>
              </w:rPr>
              <w:t xml:space="preserve">Unit tests on models/fault; docs/decisions/0008 records the design rationale.</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FR-018</w:t>
            </w:r>
          </w:p>
        </w:tc>
        <w:tc>
          <w:tcPr>
            <w:tcW w:type="dxa" w:w="2400"/>
            <w:shd w:fill="F5F8FC" w:val="clear"/>
            <w:tcMar>
              <w:top w:type="dxa" w:w="80"/>
              <w:left w:type="dxa" w:w="100"/>
              <w:bottom w:type="dxa" w:w="80"/>
              <w:right w:type="dxa" w:w="100"/>
            </w:tcMar>
            <w:vAlign w:val="top"/>
          </w:tcPr>
          <w:p>
            <w:pPr>
              <w:spacing w:after="0"/>
            </w:pPr>
            <w:r>
              <w:rPr>
                <w:sz w:val="19"/>
                <w:szCs w:val="19"/>
              </w:rPr>
              <w:t xml:space="preserve">Reason-Coded, SHAP-Attributed Explanation Service</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src/provenance/explain/service.py; src/provenance/explain/shap_explain.py; src/provenance/explain/render.py; src/provenance/api/routers/explain.py</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explain/service.py, explain/shap_explain.py, explain/render.py.</w:t>
            </w:r>
          </w:p>
        </w:tc>
      </w:tr>
      <w:tr>
        <w:tc>
          <w:tcPr>
            <w:tcW w:type="dxa" w:w="1000"/>
            <w:tcMar>
              <w:top w:type="dxa" w:w="80"/>
              <w:left w:type="dxa" w:w="100"/>
              <w:bottom w:type="dxa" w:w="80"/>
              <w:right w:type="dxa" w:w="100"/>
            </w:tcMar>
            <w:vAlign w:val="top"/>
          </w:tcPr>
          <w:p>
            <w:pPr>
              <w:spacing w:after="0"/>
            </w:pPr>
            <w:r>
              <w:rPr>
                <w:sz w:val="19"/>
                <w:szCs w:val="19"/>
              </w:rPr>
              <w:t xml:space="preserve">FR-019</w:t>
            </w:r>
          </w:p>
        </w:tc>
        <w:tc>
          <w:tcPr>
            <w:tcW w:type="dxa" w:w="2400"/>
            <w:tcMar>
              <w:top w:type="dxa" w:w="80"/>
              <w:left w:type="dxa" w:w="100"/>
              <w:bottom w:type="dxa" w:w="80"/>
              <w:right w:type="dxa" w:w="100"/>
            </w:tcMar>
            <w:vAlign w:val="top"/>
          </w:tcPr>
          <w:p>
            <w:pPr>
              <w:spacing w:after="0"/>
            </w:pPr>
            <w:r>
              <w:rPr>
                <w:sz w:val="19"/>
                <w:szCs w:val="19"/>
              </w:rPr>
              <w:t xml:space="preserve">Role-Based API Access Control</w:t>
            </w:r>
          </w:p>
        </w:tc>
        <w:tc>
          <w:tcPr>
            <w:tcW w:type="dxa" w:w="2700"/>
            <w:tcMar>
              <w:top w:type="dxa" w:w="80"/>
              <w:left w:type="dxa" w:w="100"/>
              <w:bottom w:type="dxa" w:w="80"/>
              <w:right w:type="dxa" w:w="100"/>
            </w:tcMar>
            <w:vAlign w:val="top"/>
          </w:tcPr>
          <w:p>
            <w:pPr>
              <w:spacing w:after="0"/>
            </w:pPr>
            <w:r>
              <w:rPr>
                <w:sz w:val="16"/>
                <w:szCs w:val="16"/>
              </w:rPr>
              <w:t xml:space="preserve">src/provenance/api/auth.py; src/provenance/api/deps.py; docs/decisions/0004-api-auth-phase2.md; docs/decisions/0010-signoff-and-rbac-phase7.md</w:t>
            </w:r>
          </w:p>
        </w:tc>
        <w:tc>
          <w:tcPr>
            <w:tcW w:type="dxa" w:w="2960"/>
            <w:tcMar>
              <w:top w:type="dxa" w:w="80"/>
              <w:left w:type="dxa" w:w="100"/>
              <w:bottom w:type="dxa" w:w="80"/>
              <w:right w:type="dxa" w:w="100"/>
            </w:tcMar>
            <w:vAlign w:val="top"/>
          </w:tcPr>
          <w:p>
            <w:pPr>
              <w:spacing w:after="0"/>
            </w:pPr>
            <w:r>
              <w:rPr>
                <w:sz w:val="16"/>
                <w:szCs w:val="16"/>
              </w:rPr>
              <w:t xml:space="preserve">A full RBAC matrix test (every endpoint x every role, 19x5 per phase-7 report); documented as a deliberate OIDC-shaped deferral.</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FR-020</w:t>
            </w:r>
          </w:p>
        </w:tc>
        <w:tc>
          <w:tcPr>
            <w:tcW w:type="dxa" w:w="2400"/>
            <w:shd w:fill="F5F8FC" w:val="clear"/>
            <w:tcMar>
              <w:top w:type="dxa" w:w="80"/>
              <w:left w:type="dxa" w:w="100"/>
              <w:bottom w:type="dxa" w:w="80"/>
              <w:right w:type="dxa" w:w="100"/>
            </w:tcMar>
            <w:vAlign w:val="top"/>
          </w:tcPr>
          <w:p>
            <w:pPr>
              <w:spacing w:after="0"/>
            </w:pPr>
            <w:r>
              <w:rPr>
                <w:sz w:val="19"/>
                <w:szCs w:val="19"/>
              </w:rPr>
              <w:t xml:space="preserve">Query API for Stations, Readings, Defects, Events, and Trust</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src/provenance/api/routers/{stations,readings,defects,quality,events,audit,deweather,graph,reference}.py; src/provenance/api/pagination.py; src/provenance/api/schemas.py; docs/api/</w:t>
            </w:r>
          </w:p>
        </w:tc>
        <w:tc>
          <w:tcPr>
            <w:tcW w:type="dxa" w:w="2960"/>
            <w:shd w:fill="F5F8FC" w:val="clear"/>
            <w:tcMar>
              <w:top w:type="dxa" w:w="80"/>
              <w:left w:type="dxa" w:w="100"/>
              <w:bottom w:type="dxa" w:w="80"/>
              <w:right w:type="dxa" w:w="100"/>
            </w:tcMar>
            <w:vAlign w:val="top"/>
          </w:tcPr>
          <w:p>
            <w:pPr>
              <w:spacing w:after="0"/>
            </w:pPr>
            <w:r>
              <w:rPr>
                <w:sz w:val="16"/>
                <w:szCs w:val="16"/>
              </w:rPr>
              <w:t xml:space="preserve">Schemathesis property-based fuzzing across every operation (phase-7 gate); router-level unit and integration tests.</w:t>
            </w:r>
          </w:p>
        </w:tc>
      </w:tr>
      <w:tr>
        <w:tc>
          <w:tcPr>
            <w:tcW w:type="dxa" w:w="1000"/>
            <w:tcMar>
              <w:top w:type="dxa" w:w="80"/>
              <w:left w:type="dxa" w:w="100"/>
              <w:bottom w:type="dxa" w:w="80"/>
              <w:right w:type="dxa" w:w="100"/>
            </w:tcMar>
            <w:vAlign w:val="top"/>
          </w:tcPr>
          <w:p>
            <w:pPr>
              <w:spacing w:after="0"/>
            </w:pPr>
            <w:r>
              <w:rPr>
                <w:sz w:val="19"/>
                <w:szCs w:val="19"/>
              </w:rPr>
              <w:t xml:space="preserve">FR-021</w:t>
            </w:r>
          </w:p>
        </w:tc>
        <w:tc>
          <w:tcPr>
            <w:tcW w:type="dxa" w:w="2400"/>
            <w:tcMar>
              <w:top w:type="dxa" w:w="80"/>
              <w:left w:type="dxa" w:w="100"/>
              <w:bottom w:type="dxa" w:w="80"/>
              <w:right w:type="dxa" w:w="100"/>
            </w:tcMar>
            <w:vAlign w:val="top"/>
          </w:tcPr>
          <w:p>
            <w:pPr>
              <w:spacing w:after="0"/>
            </w:pPr>
            <w:r>
              <w:rPr>
                <w:sz w:val="19"/>
                <w:szCs w:val="19"/>
              </w:rPr>
              <w:t xml:space="preserve">Regulatory Audit-Trail Export</w:t>
            </w:r>
          </w:p>
        </w:tc>
        <w:tc>
          <w:tcPr>
            <w:tcW w:type="dxa" w:w="2700"/>
            <w:tcMar>
              <w:top w:type="dxa" w:w="80"/>
              <w:left w:type="dxa" w:w="100"/>
              <w:bottom w:type="dxa" w:w="80"/>
              <w:right w:type="dxa" w:w="100"/>
            </w:tcMar>
            <w:vAlign w:val="top"/>
          </w:tcPr>
          <w:p>
            <w:pPr>
              <w:spacing w:after="0"/>
            </w:pPr>
            <w:r>
              <w:rPr>
                <w:sz w:val="16"/>
                <w:szCs w:val="16"/>
              </w:rPr>
              <w:t xml:space="preserve">src/provenance/report/regulatory.py; src/provenance/report/render.py; src/provenance/report/templates/; src/provenance/api/routers/export.py</w:t>
            </w:r>
          </w:p>
        </w:tc>
        <w:tc>
          <w:tcPr>
            <w:tcW w:type="dxa" w:w="2960"/>
            <w:tcMar>
              <w:top w:type="dxa" w:w="80"/>
              <w:left w:type="dxa" w:w="100"/>
              <w:bottom w:type="dxa" w:w="80"/>
              <w:right w:type="dxa" w:w="100"/>
            </w:tcMar>
            <w:vAlign w:val="top"/>
          </w:tcPr>
          <w:p>
            <w:pPr>
              <w:spacing w:after="0"/>
            </w:pPr>
            <w:r>
              <w:rPr>
                <w:sz w:val="16"/>
                <w:szCs w:val="16"/>
              </w:rPr>
              <w:t xml:space="preserve">Export-completeness test reconciling reading counts; hash-reproducibility test (phase-7 gate).</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FR-022</w:t>
            </w:r>
          </w:p>
        </w:tc>
        <w:tc>
          <w:tcPr>
            <w:tcW w:type="dxa" w:w="2400"/>
            <w:shd w:fill="F5F8FC" w:val="clear"/>
            <w:tcMar>
              <w:top w:type="dxa" w:w="80"/>
              <w:left w:type="dxa" w:w="100"/>
              <w:bottom w:type="dxa" w:w="80"/>
              <w:right w:type="dxa" w:w="100"/>
            </w:tcMar>
            <w:vAlign w:val="top"/>
          </w:tcPr>
          <w:p>
            <w:pPr>
              <w:spacing w:after="0"/>
            </w:pPr>
            <w:r>
              <w:rPr>
                <w:sz w:val="19"/>
                <w:szCs w:val="19"/>
              </w:rPr>
              <w:t xml:space="preserve">Maintenance Ticket Lifecycle</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src/provenance/io/db/models.py (MaintenanceItem, MaintenanceTransition); src/provenance/api/routers/maintenance.py; src/provenance/ops/severity.py</w:t>
            </w:r>
          </w:p>
        </w:tc>
        <w:tc>
          <w:tcPr>
            <w:tcW w:type="dxa" w:w="2960"/>
            <w:shd w:fill="F5F8FC" w:val="clear"/>
            <w:tcMar>
              <w:top w:type="dxa" w:w="80"/>
              <w:left w:type="dxa" w:w="100"/>
              <w:bottom w:type="dxa" w:w="80"/>
              <w:right w:type="dxa" w:w="100"/>
            </w:tcMar>
            <w:vAlign w:val="top"/>
          </w:tcPr>
          <w:p>
            <w:pPr>
              <w:spacing w:after="0"/>
            </w:pPr>
            <w:r>
              <w:rPr>
                <w:sz w:val="16"/>
                <w:szCs w:val="16"/>
              </w:rPr>
              <w:t xml:space="preserve">Unit tests on the priority formula and dedupe constraint; integration test on the transition endpoint.</w:t>
            </w:r>
          </w:p>
        </w:tc>
      </w:tr>
      <w:tr>
        <w:tc>
          <w:tcPr>
            <w:tcW w:type="dxa" w:w="1000"/>
            <w:tcMar>
              <w:top w:type="dxa" w:w="80"/>
              <w:left w:type="dxa" w:w="100"/>
              <w:bottom w:type="dxa" w:w="80"/>
              <w:right w:type="dxa" w:w="100"/>
            </w:tcMar>
            <w:vAlign w:val="top"/>
          </w:tcPr>
          <w:p>
            <w:pPr>
              <w:spacing w:after="0"/>
            </w:pPr>
            <w:r>
              <w:rPr>
                <w:sz w:val="19"/>
                <w:szCs w:val="19"/>
              </w:rPr>
              <w:t xml:space="preserve">FR-023</w:t>
            </w:r>
          </w:p>
        </w:tc>
        <w:tc>
          <w:tcPr>
            <w:tcW w:type="dxa" w:w="2400"/>
            <w:tcMar>
              <w:top w:type="dxa" w:w="80"/>
              <w:left w:type="dxa" w:w="100"/>
              <w:bottom w:type="dxa" w:w="80"/>
              <w:right w:type="dxa" w:w="100"/>
            </w:tcMar>
            <w:vAlign w:val="top"/>
          </w:tcPr>
          <w:p>
            <w:pPr>
              <w:spacing w:after="0"/>
            </w:pPr>
            <w:r>
              <w:rPr>
                <w:sz w:val="19"/>
                <w:szCs w:val="19"/>
              </w:rPr>
              <w:t xml:space="preserve">Risk-Ranked Alert Centre</w:t>
            </w:r>
          </w:p>
        </w:tc>
        <w:tc>
          <w:tcPr>
            <w:tcW w:type="dxa" w:w="2700"/>
            <w:tcMar>
              <w:top w:type="dxa" w:w="80"/>
              <w:left w:type="dxa" w:w="100"/>
              <w:bottom w:type="dxa" w:w="80"/>
              <w:right w:type="dxa" w:w="100"/>
            </w:tcMar>
            <w:vAlign w:val="top"/>
          </w:tcPr>
          <w:p>
            <w:pPr>
              <w:spacing w:after="0"/>
            </w:pPr>
            <w:r>
              <w:rPr>
                <w:sz w:val="16"/>
                <w:szCs w:val="16"/>
              </w:rPr>
              <w:t xml:space="preserve">src/provenance/api/routers/alerts.py; src/provenance/ops/alerts.py; apps/web/src/features/alerts/AlertCentre.tsx</w:t>
            </w:r>
          </w:p>
        </w:tc>
        <w:tc>
          <w:tcPr>
            <w:tcW w:type="dxa" w:w="2960"/>
            <w:tcMar>
              <w:top w:type="dxa" w:w="80"/>
              <w:left w:type="dxa" w:w="100"/>
              <w:bottom w:type="dxa" w:w="80"/>
              <w:right w:type="dxa" w:w="100"/>
            </w:tcMar>
            <w:vAlign w:val="top"/>
          </w:tcPr>
          <w:p>
            <w:pPr>
              <w:spacing w:after="0"/>
            </w:pPr>
            <w:r>
              <w:rPr>
                <w:sz w:val="16"/>
                <w:szCs w:val="16"/>
              </w:rPr>
              <w:t xml:space="preserve">Constructed high-exposure/low-exposure pair test asserting rank order (phase-7 gate).</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FR-024</w:t>
            </w:r>
          </w:p>
        </w:tc>
        <w:tc>
          <w:tcPr>
            <w:tcW w:type="dxa" w:w="2400"/>
            <w:shd w:fill="F5F8FC" w:val="clear"/>
            <w:tcMar>
              <w:top w:type="dxa" w:w="80"/>
              <w:left w:type="dxa" w:w="100"/>
              <w:bottom w:type="dxa" w:w="80"/>
              <w:right w:type="dxa" w:w="100"/>
            </w:tcMar>
            <w:vAlign w:val="top"/>
          </w:tcPr>
          <w:p>
            <w:pPr>
              <w:spacing w:after="0"/>
            </w:pPr>
            <w:r>
              <w:rPr>
                <w:sz w:val="19"/>
                <w:szCs w:val="19"/>
              </w:rPr>
              <w:t xml:space="preserve">Human Sign-off Gate for Public Dispatch</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src/provenance/api/decision/{gate,signoff,channels}.py; src/provenance/io/db/models.py (SignoffToken, Dispatch); docs/decisions/0010-signoff-and-rbac-phase7.md; tests/architecture</w:t>
            </w:r>
          </w:p>
        </w:tc>
        <w:tc>
          <w:tcPr>
            <w:tcW w:type="dxa" w:w="2960"/>
            <w:shd w:fill="F5F8FC" w:val="clear"/>
            <w:tcMar>
              <w:top w:type="dxa" w:w="80"/>
              <w:left w:type="dxa" w:w="100"/>
              <w:bottom w:type="dxa" w:w="80"/>
              <w:right w:type="dxa" w:w="100"/>
            </w:tcMar>
            <w:vAlign w:val="top"/>
          </w:tcPr>
          <w:p>
            <w:pPr>
              <w:spacing w:after="0"/>
            </w:pPr>
            <w:r>
              <w:rPr>
                <w:sz w:val="16"/>
                <w:szCs w:val="16"/>
              </w:rPr>
              <w:t xml:space="preserve">A static call-graph architecture test making 'no alert without sign-off' structurally un-bypassable; idempotency test under retry and under concurrency.</w:t>
            </w:r>
          </w:p>
        </w:tc>
      </w:tr>
      <w:tr>
        <w:tc>
          <w:tcPr>
            <w:tcW w:type="dxa" w:w="1000"/>
            <w:tcMar>
              <w:top w:type="dxa" w:w="80"/>
              <w:left w:type="dxa" w:w="100"/>
              <w:bottom w:type="dxa" w:w="80"/>
              <w:right w:type="dxa" w:w="100"/>
            </w:tcMar>
            <w:vAlign w:val="top"/>
          </w:tcPr>
          <w:p>
            <w:pPr>
              <w:spacing w:after="0"/>
            </w:pPr>
            <w:r>
              <w:rPr>
                <w:sz w:val="19"/>
                <w:szCs w:val="19"/>
              </w:rPr>
              <w:t xml:space="preserve">FR-025</w:t>
            </w:r>
          </w:p>
        </w:tc>
        <w:tc>
          <w:tcPr>
            <w:tcW w:type="dxa" w:w="2400"/>
            <w:tcMar>
              <w:top w:type="dxa" w:w="80"/>
              <w:left w:type="dxa" w:w="100"/>
              <w:bottom w:type="dxa" w:w="80"/>
              <w:right w:type="dxa" w:w="100"/>
            </w:tcMar>
            <w:vAlign w:val="top"/>
          </w:tcPr>
          <w:p>
            <w:pPr>
              <w:spacing w:after="0"/>
            </w:pPr>
            <w:r>
              <w:rPr>
                <w:sz w:val="19"/>
                <w:szCs w:val="19"/>
              </w:rPr>
              <w:t xml:space="preserve">Admin Dashboard and Model-Drift Monitoring</w:t>
            </w:r>
          </w:p>
        </w:tc>
        <w:tc>
          <w:tcPr>
            <w:tcW w:type="dxa" w:w="2700"/>
            <w:tcMar>
              <w:top w:type="dxa" w:w="80"/>
              <w:left w:type="dxa" w:w="100"/>
              <w:bottom w:type="dxa" w:w="80"/>
              <w:right w:type="dxa" w:w="100"/>
            </w:tcMar>
            <w:vAlign w:val="top"/>
          </w:tcPr>
          <w:p>
            <w:pPr>
              <w:spacing w:after="0"/>
            </w:pPr>
            <w:r>
              <w:rPr>
                <w:sz w:val="16"/>
                <w:szCs w:val="16"/>
              </w:rPr>
              <w:t xml:space="preserve">src/provenance/api/routers/admin.py; src/provenance/ops/drift.py; apps/web/src/features/admin/{AdminDashboard,ModelDriftPanels,RbacMatrix}.tsx; infra/monitoring/grafana-model-drift.json</w:t>
            </w:r>
          </w:p>
        </w:tc>
        <w:tc>
          <w:tcPr>
            <w:tcW w:type="dxa" w:w="2960"/>
            <w:tcMar>
              <w:top w:type="dxa" w:w="80"/>
              <w:left w:type="dxa" w:w="100"/>
              <w:bottom w:type="dxa" w:w="80"/>
              <w:right w:type="dxa" w:w="100"/>
            </w:tcMar>
            <w:vAlign w:val="top"/>
          </w:tcPr>
          <w:p>
            <w:pPr>
              <w:spacing w:after="0"/>
            </w:pPr>
            <w:r>
              <w:rPr>
                <w:sz w:val="16"/>
                <w:szCs w:val="16"/>
              </w:rPr>
              <w:t xml:space="preserve">Unit/integration tests on admin.py; infra/monitoring Grafana dashboards for the two-plane (infra + model) monitoring split.</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FR-026</w:t>
            </w:r>
          </w:p>
        </w:tc>
        <w:tc>
          <w:tcPr>
            <w:tcW w:type="dxa" w:w="2400"/>
            <w:shd w:fill="F5F8FC" w:val="clear"/>
            <w:tcMar>
              <w:top w:type="dxa" w:w="80"/>
              <w:left w:type="dxa" w:w="100"/>
              <w:bottom w:type="dxa" w:w="80"/>
              <w:right w:type="dxa" w:w="100"/>
            </w:tcMar>
            <w:vAlign w:val="top"/>
          </w:tcPr>
          <w:p>
            <w:pPr>
              <w:spacing w:after="0"/>
            </w:pPr>
            <w:r>
              <w:rPr>
                <w:sz w:val="19"/>
                <w:szCs w:val="19"/>
              </w:rPr>
              <w:t xml:space="preserve">Deterministic Offline Demo Mode</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src/provenance/ops/demo.py; src/provenance/fixtures/demo_scenario.py; tests/e2e/test_demo_rehearsal.py; docs/demo/</w:t>
            </w:r>
          </w:p>
        </w:tc>
        <w:tc>
          <w:tcPr>
            <w:tcW w:type="dxa" w:w="2960"/>
            <w:shd w:fill="F5F8FC" w:val="clear"/>
            <w:tcMar>
              <w:top w:type="dxa" w:w="80"/>
              <w:left w:type="dxa" w:w="100"/>
              <w:bottom w:type="dxa" w:w="80"/>
              <w:right w:type="dxa" w:w="100"/>
            </w:tcMar>
            <w:vAlign w:val="top"/>
          </w:tcPr>
          <w:p>
            <w:pPr>
              <w:spacing w:after="0"/>
            </w:pPr>
            <w:r>
              <w:rPr>
                <w:sz w:val="16"/>
                <w:szCs w:val="16"/>
              </w:rPr>
              <w:t xml:space="preserve">Demo-mode determinism test; full offline run test with network egress blocked; full-script rehearsal test reaching every key screen state.</w:t>
            </w:r>
          </w:p>
        </w:tc>
      </w:tr>
      <w:tr>
        <w:tc>
          <w:tcPr>
            <w:tcW w:type="dxa" w:w="1000"/>
            <w:tcMar>
              <w:top w:type="dxa" w:w="80"/>
              <w:left w:type="dxa" w:w="100"/>
              <w:bottom w:type="dxa" w:w="80"/>
              <w:right w:type="dxa" w:w="100"/>
            </w:tcMar>
            <w:vAlign w:val="top"/>
          </w:tcPr>
          <w:p>
            <w:pPr>
              <w:spacing w:after="0"/>
            </w:pPr>
            <w:r>
              <w:rPr>
                <w:sz w:val="19"/>
                <w:szCs w:val="19"/>
              </w:rPr>
              <w:t xml:space="preserve">FR-027</w:t>
            </w:r>
          </w:p>
        </w:tc>
        <w:tc>
          <w:tcPr>
            <w:tcW w:type="dxa" w:w="2400"/>
            <w:tcMar>
              <w:top w:type="dxa" w:w="80"/>
              <w:left w:type="dxa" w:w="100"/>
              <w:bottom w:type="dxa" w:w="80"/>
              <w:right w:type="dxa" w:w="100"/>
            </w:tcMar>
            <w:vAlign w:val="top"/>
          </w:tcPr>
          <w:p>
            <w:pPr>
              <w:spacing w:after="0"/>
            </w:pPr>
            <w:r>
              <w:rPr>
                <w:sz w:val="19"/>
                <w:szCs w:val="19"/>
              </w:rPr>
              <w:t xml:space="preserve">Operator Dashboard Visualization</w:t>
            </w:r>
          </w:p>
        </w:tc>
        <w:tc>
          <w:tcPr>
            <w:tcW w:type="dxa" w:w="2700"/>
            <w:tcMar>
              <w:top w:type="dxa" w:w="80"/>
              <w:left w:type="dxa" w:w="100"/>
              <w:bottom w:type="dxa" w:w="80"/>
              <w:right w:type="dxa" w:w="100"/>
            </w:tcMar>
            <w:vAlign w:val="top"/>
          </w:tcPr>
          <w:p>
            <w:pPr>
              <w:spacing w:after="0"/>
            </w:pPr>
            <w:r>
              <w:rPr>
                <w:sz w:val="16"/>
                <w:szCs w:val="16"/>
              </w:rPr>
              <w:t xml:space="preserve">apps/web/src/features/map/{NetworkMap,MapOverlays,windEdges}.tsx; apps/web/src/features/timeline/{EventTimeline,AdjudicationDetail}.tsx; apps/web/src/features/station/StationDetailPanel.tsx; apps/web/src/components/{TrustBreakdown,FactorBreakdown,DataTable}.tsx</w:t>
            </w:r>
          </w:p>
        </w:tc>
        <w:tc>
          <w:tcPr>
            <w:tcW w:type="dxa" w:w="2960"/>
            <w:tcMar>
              <w:top w:type="dxa" w:w="80"/>
              <w:left w:type="dxa" w:w="100"/>
              <w:bottom w:type="dxa" w:w="80"/>
              <w:right w:type="dxa" w:w="100"/>
            </w:tcMar>
            <w:vAlign w:val="top"/>
          </w:tcPr>
          <w:p>
            <w:pPr>
              <w:spacing w:after="0"/>
            </w:pPr>
            <w:r>
              <w:rPr>
                <w:sz w:val="16"/>
                <w:szCs w:val="16"/>
              </w:rPr>
              <w:t xml:space="preserve">Vitest unit/component tests; Playwright visual-baseline and accessibility (axe-core) tests.</w:t>
            </w:r>
          </w:p>
        </w:tc>
      </w:tr>
      <w:tr>
        <w:tc>
          <w:tcPr>
            <w:tcW w:type="dxa" w:w="1000"/>
            <w:shd w:fill="F5F8FC" w:val="clear"/>
            <w:tcMar>
              <w:top w:type="dxa" w:w="80"/>
              <w:left w:type="dxa" w:w="100"/>
              <w:bottom w:type="dxa" w:w="80"/>
              <w:right w:type="dxa" w:w="100"/>
            </w:tcMar>
            <w:vAlign w:val="top"/>
          </w:tcPr>
          <w:p>
            <w:pPr>
              <w:spacing w:after="0"/>
            </w:pPr>
            <w:r>
              <w:rPr>
                <w:sz w:val="19"/>
                <w:szCs w:val="19"/>
              </w:rPr>
              <w:t xml:space="preserve">FR-028</w:t>
            </w:r>
          </w:p>
        </w:tc>
        <w:tc>
          <w:tcPr>
            <w:tcW w:type="dxa" w:w="2400"/>
            <w:shd w:fill="F5F8FC" w:val="clear"/>
            <w:tcMar>
              <w:top w:type="dxa" w:w="80"/>
              <w:left w:type="dxa" w:w="100"/>
              <w:bottom w:type="dxa" w:w="80"/>
              <w:right w:type="dxa" w:w="100"/>
            </w:tcMar>
            <w:vAlign w:val="top"/>
          </w:tcPr>
          <w:p>
            <w:pPr>
              <w:spacing w:after="0"/>
            </w:pPr>
            <w:r>
              <w:rPr>
                <w:sz w:val="19"/>
                <w:szCs w:val="19"/>
              </w:rPr>
              <w:t xml:space="preserve">CLI Operations Tooling (`prov`)</w:t>
            </w:r>
          </w:p>
        </w:tc>
        <w:tc>
          <w:tcPr>
            <w:tcW w:type="dxa" w:w="2700"/>
            <w:shd w:fill="F5F8FC" w:val="clear"/>
            <w:tcMar>
              <w:top w:type="dxa" w:w="80"/>
              <w:left w:type="dxa" w:w="100"/>
              <w:bottom w:type="dxa" w:w="80"/>
              <w:right w:type="dxa" w:w="100"/>
            </w:tcMar>
            <w:vAlign w:val="top"/>
          </w:tcPr>
          <w:p>
            <w:pPr>
              <w:spacing w:after="0"/>
            </w:pPr>
            <w:r>
              <w:rPr>
                <w:sz w:val="16"/>
                <w:szCs w:val="16"/>
              </w:rPr>
              <w:t xml:space="preserve">src/provenance/cli/main.py; Makefile</w:t>
            </w:r>
          </w:p>
        </w:tc>
        <w:tc>
          <w:tcPr>
            <w:tcW w:type="dxa" w:w="2960"/>
            <w:shd w:fill="F5F8FC" w:val="clear"/>
            <w:tcMar>
              <w:top w:type="dxa" w:w="80"/>
              <w:left w:type="dxa" w:w="100"/>
              <w:bottom w:type="dxa" w:w="80"/>
              <w:right w:type="dxa" w:w="100"/>
            </w:tcMar>
            <w:vAlign w:val="top"/>
          </w:tcPr>
          <w:p>
            <w:pPr>
              <w:spacing w:after="0"/>
            </w:pPr>
            <w:r>
              <w:rPr>
                <w:sz w:val="16"/>
                <w:szCs w:val="16"/>
              </w:rPr>
              <w:t xml:space="preserve">CLI-level tests exercising each command; `make check` runs the full backend gate.</w:t>
            </w:r>
          </w:p>
        </w:tc>
      </w:tr>
    </w:tbl>
    <w:p>
      <w:r>
        <w:br w:type="page"/>
      </w:r>
    </w:p>
    <w:p>
      <w:pPr>
        <w:pStyle w:val="Heading1"/>
        <w:spacing w:after="200" w:before="400"/>
      </w:pPr>
      <w:r>
        <w:t xml:space="preserve">24. Gap Analysis</w:t>
      </w:r>
    </w:p>
    <w:p>
      <w:pPr>
        <w:spacing w:after="160" w:line="276"/>
      </w:pPr>
      <w:r>
        <w:t xml:space="preserve">This gap analysis compares the current implementation against the product's own stated direction, using the repository's own flagged review items as primary evidence wherever available.</w:t>
      </w:r>
    </w:p>
    <w:p>
      <w:pPr>
        <w:pStyle w:val="Heading2"/>
        <w:spacing w:after="150" w:before="300"/>
      </w:pPr>
      <w:r>
        <w:t xml:space="preserve">24.1 Implemented</w:t>
      </w:r>
    </w:p>
    <w:p>
      <w:pPr>
        <w:pStyle w:val="ListParagraph"/>
        <w:numPr>
          <w:ilvl w:val="0"/>
          <w:numId w:val="1"/>
        </w:numPr>
        <w:spacing w:after="80" w:line="264"/>
      </w:pPr>
      <w:r>
        <w:t xml:space="preserve">The full B1 (data quality audit) capability: thirteen detectors, a defined and defensible defect rate, coverage-fact tracking, and a versioned reason-code registry.</w:t>
      </w:r>
    </w:p>
    <w:p>
      <w:pPr>
        <w:pStyle w:val="ListParagraph"/>
        <w:numPr>
          <w:ilvl w:val="0"/>
          <w:numId w:val="1"/>
        </w:numPr>
        <w:spacing w:after="80" w:line="264"/>
      </w:pPr>
      <w:r>
        <w:t xml:space="preserve">The B3 (graph adjudication) capability: wind-conditioned graph construction, analytic and HST-GAT-backed adjudication with conformal intervals.</w:t>
      </w:r>
    </w:p>
    <w:p>
      <w:pPr>
        <w:pStyle w:val="ListParagraph"/>
        <w:numPr>
          <w:ilvl w:val="0"/>
          <w:numId w:val="1"/>
        </w:numPr>
        <w:spacing w:after="80" w:line="264"/>
      </w:pPr>
      <w:r>
        <w:t xml:space="preserve">The four-component Trust Score, including a modelled (not merely placeholder) ImputationUncertainty term.</w:t>
      </w:r>
    </w:p>
    <w:p>
      <w:pPr>
        <w:pStyle w:val="ListParagraph"/>
        <w:numPr>
          <w:ilvl w:val="0"/>
          <w:numId w:val="1"/>
        </w:numPr>
        <w:spacing w:after="80" w:line="264"/>
      </w:pPr>
      <w:r>
        <w:t xml:space="preserve">Role-based access control across four roles, with a full endpoint x role test matrix.</w:t>
      </w:r>
    </w:p>
    <w:p>
      <w:pPr>
        <w:pStyle w:val="ListParagraph"/>
        <w:numPr>
          <w:ilvl w:val="0"/>
          <w:numId w:val="1"/>
        </w:numPr>
        <w:spacing w:after="80" w:line="264"/>
      </w:pPr>
      <w:r>
        <w:t xml:space="preserve">The human sign-off gate, structurally enforced by a static call-graph test.</w:t>
      </w:r>
    </w:p>
    <w:p>
      <w:pPr>
        <w:pStyle w:val="ListParagraph"/>
        <w:numPr>
          <w:ilvl w:val="0"/>
          <w:numId w:val="1"/>
        </w:numPr>
        <w:spacing w:after="80" w:line="264"/>
      </w:pPr>
      <w:r>
        <w:t xml:space="preserve">A reproducible regulatory export with a verification hash.</w:t>
      </w:r>
    </w:p>
    <w:p>
      <w:pPr>
        <w:pStyle w:val="ListParagraph"/>
        <w:numPr>
          <w:ilvl w:val="0"/>
          <w:numId w:val="1"/>
        </w:numPr>
        <w:spacing w:after="80" w:line="264"/>
      </w:pPr>
      <w:r>
        <w:t xml:space="preserve">CI-enforced code quality (strict typing, linting, 88%+ coverage gate) and a documented, deterministic offline demo mode.</w:t>
      </w:r>
    </w:p>
    <w:p>
      <w:pPr>
        <w:pStyle w:val="Heading2"/>
        <w:spacing w:after="150" w:before="300"/>
      </w:pPr>
      <w:r>
        <w:t xml:space="preserve">24.2 Partially Implemented</w:t>
      </w:r>
    </w:p>
    <w:p>
      <w:pPr>
        <w:pStyle w:val="ListParagraph"/>
        <w:numPr>
          <w:ilvl w:val="0"/>
          <w:numId w:val="1"/>
        </w:numPr>
        <w:spacing w:after="80" w:line="264"/>
      </w:pPr>
      <w:r>
        <w:t xml:space="preserve">Operational dashboard screens (Alert Centre, Admin, Maintenance Queue): complete at the API/CLI layer, backed by React components in the repository, but — per the Phase-7 report's own flag — not yet exercised by a full browser end-to-end walk, and their integration/rendering maturity in a live browser session was not independently re-verified beyond the component files' presence in this review.</w:t>
      </w:r>
    </w:p>
    <w:p>
      <w:pPr>
        <w:pStyle w:val="ListParagraph"/>
        <w:numPr>
          <w:ilvl w:val="0"/>
          <w:numId w:val="1"/>
        </w:numPr>
        <w:spacing w:after="80" w:line="264"/>
      </w:pPr>
      <w:r>
        <w:t xml:space="preserve">HST-GAT attention overlay: exported per the model card but not yet rendered on the network map.</w:t>
      </w:r>
    </w:p>
    <w:p>
      <w:pPr>
        <w:pStyle w:val="ListParagraph"/>
        <w:numPr>
          <w:ilvl w:val="0"/>
          <w:numId w:val="1"/>
        </w:numPr>
        <w:spacing w:after="80" w:line="264"/>
      </w:pPr>
      <w:r>
        <w:t xml:space="preserve">Station zone_type classification: implemented but explicitly marked status: provisional, curated rather than measured, pending municipal/expert confirmation.</w:t>
      </w:r>
    </w:p>
    <w:p>
      <w:pPr>
        <w:pStyle w:val="ListParagraph"/>
        <w:numPr>
          <w:ilvl w:val="0"/>
          <w:numId w:val="1"/>
        </w:numPr>
        <w:spacing w:after="80" w:line="264"/>
      </w:pPr>
      <w:r>
        <w:t xml:space="preserve">PopulationExposure: implemented but a relative, network-scoped proxy rather than a calibrated absolute measure — not comparable across two different networks without renormalisation.</w:t>
      </w:r>
    </w:p>
    <w:p>
      <w:pPr>
        <w:pStyle w:val="ListParagraph"/>
        <w:numPr>
          <w:ilvl w:val="0"/>
          <w:numId w:val="1"/>
        </w:numPr>
        <w:spacing w:after="80" w:line="264"/>
      </w:pPr>
      <w:r>
        <w:t xml:space="preserve">AI evaluation breadth: model-level invariants are tested, and one real event (KER11) has a full documented adjudication case study, but a broader labelled benchmark across many real events was not found.</w:t>
      </w:r>
    </w:p>
    <w:p>
      <w:pPr>
        <w:pStyle w:val="Heading2"/>
        <w:spacing w:after="150" w:before="300"/>
      </w:pPr>
      <w:r>
        <w:t xml:space="preserve">24.3 Missing</w:t>
      </w:r>
    </w:p>
    <w:p>
      <w:pPr>
        <w:pStyle w:val="ListParagraph"/>
        <w:numPr>
          <w:ilvl w:val="0"/>
          <w:numId w:val="1"/>
        </w:numPr>
        <w:spacing w:after="80" w:line="264"/>
      </w:pPr>
      <w:r>
        <w:t xml:space="preserve">A statistically fitted (as opposed to expert-elicited/endorsed) Trust Score weight calibration — explicitly blocked on the absence of labelled real events.</w:t>
      </w:r>
    </w:p>
    <w:p>
      <w:pPr>
        <w:pStyle w:val="ListParagraph"/>
        <w:numPr>
          <w:ilvl w:val="0"/>
          <w:numId w:val="1"/>
        </w:numPr>
        <w:spacing w:after="80" w:line="264"/>
      </w:pPr>
      <w:r>
        <w:t xml:space="preserve">A production deployment path (Kubernetes manifests, managed cloud hosting, TLS/domain configuration) — explicitly and deliberately deferred.</w:t>
      </w:r>
    </w:p>
    <w:p>
      <w:pPr>
        <w:pStyle w:val="ListParagraph"/>
        <w:numPr>
          <w:ilvl w:val="0"/>
          <w:numId w:val="1"/>
        </w:numPr>
        <w:spacing w:after="80" w:line="264"/>
      </w:pPr>
      <w:r>
        <w:t xml:space="preserve">A live, real-world alert-delivery transport (SMS/email/push) — the current dispatch channel is an offline outbox by design.</w:t>
      </w:r>
    </w:p>
    <w:p>
      <w:pPr>
        <w:pStyle w:val="ListParagraph"/>
        <w:numPr>
          <w:ilvl w:val="0"/>
          <w:numId w:val="1"/>
        </w:numPr>
        <w:spacing w:after="80" w:line="264"/>
      </w:pPr>
      <w:r>
        <w:t xml:space="preserve">A documented numeric performance/availability SLA beyond the pass/fail load-smoke test.</w:t>
      </w:r>
    </w:p>
    <w:p>
      <w:pPr>
        <w:pStyle w:val="ListParagraph"/>
        <w:numPr>
          <w:ilvl w:val="0"/>
          <w:numId w:val="1"/>
        </w:numPr>
        <w:spacing w:after="80" w:line="264"/>
      </w:pPr>
      <w:r>
        <w:t xml:space="preserve">A documented WCAG accessibility conformance target.</w:t>
      </w:r>
    </w:p>
    <w:p>
      <w:pPr>
        <w:pStyle w:val="Heading2"/>
        <w:spacing w:after="150" w:before="300"/>
      </w:pPr>
      <w:r>
        <w:t xml:space="preserve">24.4 Recommended (Prioritised)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300"/>
        <w:gridCol w:w="2160"/>
        <w:gridCol w:w="1600"/>
      </w:tblGrid>
      <w:tr>
        <w:trPr>
          <w:tblHeader/>
        </w:trPr>
        <w:tc>
          <w:tcPr>
            <w:tcW w:type="dxa" w:w="5300"/>
            <w:shd w:fill="1B6AB8" w:val="clear"/>
            <w:tcMar>
              <w:top w:type="dxa" w:w="80"/>
              <w:left w:type="dxa" w:w="100"/>
              <w:bottom w:type="dxa" w:w="80"/>
              <w:right w:type="dxa" w:w="100"/>
            </w:tcMar>
            <w:vAlign w:val="top"/>
          </w:tcPr>
          <w:p>
            <w:pPr>
              <w:spacing w:after="0"/>
            </w:pPr>
            <w:r>
              <w:rPr>
                <w:b/>
                <w:bCs/>
                <w:color w:val="FFFFFF"/>
                <w:sz w:val="19"/>
                <w:szCs w:val="19"/>
              </w:rPr>
              <w:t xml:space="preserve">Gap</w:t>
            </w:r>
          </w:p>
        </w:tc>
        <w:tc>
          <w:tcPr>
            <w:tcW w:type="dxa" w:w="2160"/>
            <w:shd w:fill="1B6AB8" w:val="clear"/>
            <w:tcMar>
              <w:top w:type="dxa" w:w="80"/>
              <w:left w:type="dxa" w:w="100"/>
              <w:bottom w:type="dxa" w:w="80"/>
              <w:right w:type="dxa" w:w="100"/>
            </w:tcMar>
            <w:vAlign w:val="top"/>
          </w:tcPr>
          <w:p>
            <w:pPr>
              <w:spacing w:after="0"/>
            </w:pPr>
            <w:r>
              <w:rPr>
                <w:b/>
                <w:bCs/>
                <w:color w:val="FFFFFF"/>
                <w:sz w:val="19"/>
                <w:szCs w:val="19"/>
              </w:rPr>
              <w:t xml:space="preserve">Category</w:t>
            </w:r>
          </w:p>
        </w:tc>
        <w:tc>
          <w:tcPr>
            <w:tcW w:type="dxa" w:w="1600"/>
            <w:shd w:fill="1B6AB8" w:val="clear"/>
            <w:tcMar>
              <w:top w:type="dxa" w:w="80"/>
              <w:left w:type="dxa" w:w="100"/>
              <w:bottom w:type="dxa" w:w="80"/>
              <w:right w:type="dxa" w:w="100"/>
            </w:tcMar>
            <w:vAlign w:val="top"/>
          </w:tcPr>
          <w:p>
            <w:pPr>
              <w:spacing w:after="0"/>
            </w:pPr>
            <w:r>
              <w:rPr>
                <w:b/>
                <w:bCs/>
                <w:color w:val="FFFFFF"/>
                <w:sz w:val="19"/>
                <w:szCs w:val="19"/>
              </w:rPr>
              <w:t xml:space="preserve">Priority</w:t>
            </w:r>
          </w:p>
        </w:tc>
      </w:tr>
      <w:tr>
        <w:tc>
          <w:tcPr>
            <w:tcW w:type="dxa" w:w="5300"/>
            <w:tcMar>
              <w:top w:type="dxa" w:w="80"/>
              <w:left w:type="dxa" w:w="100"/>
              <w:bottom w:type="dxa" w:w="80"/>
              <w:right w:type="dxa" w:w="100"/>
            </w:tcMar>
            <w:vAlign w:val="top"/>
          </w:tcPr>
          <w:p>
            <w:pPr>
              <w:spacing w:after="0"/>
            </w:pPr>
            <w:r>
              <w:rPr>
                <w:sz w:val="19"/>
                <w:szCs w:val="19"/>
              </w:rPr>
              <w:t xml:space="preserve">Render the Alert Centre, Admin, and Maintenance Queue as reachable dashboard screens (or clearly scope operator training to the API/CLI in the interim), with a deliberate visual-baseline update.</w:t>
            </w:r>
          </w:p>
        </w:tc>
        <w:tc>
          <w:tcPr>
            <w:tcW w:type="dxa" w:w="2160"/>
            <w:tcMar>
              <w:top w:type="dxa" w:w="80"/>
              <w:left w:type="dxa" w:w="100"/>
              <w:bottom w:type="dxa" w:w="80"/>
              <w:right w:type="dxa" w:w="100"/>
            </w:tcMar>
            <w:vAlign w:val="top"/>
          </w:tcPr>
          <w:p>
            <w:pPr>
              <w:spacing w:after="0"/>
            </w:pPr>
            <w:r>
              <w:rPr>
                <w:sz w:val="19"/>
                <w:szCs w:val="19"/>
              </w:rPr>
              <w:t xml:space="preserve">UX / Functional</w:t>
            </w:r>
          </w:p>
        </w:tc>
        <w:tc>
          <w:tcPr>
            <w:tcW w:type="dxa" w:w="1600"/>
            <w:tcMar>
              <w:top w:type="dxa" w:w="80"/>
              <w:left w:type="dxa" w:w="100"/>
              <w:bottom w:type="dxa" w:w="80"/>
              <w:right w:type="dxa" w:w="100"/>
            </w:tcMar>
            <w:vAlign w:val="top"/>
          </w:tcPr>
          <w:p>
            <w:pPr>
              <w:spacing w:after="0"/>
            </w:pPr>
            <w:r>
              <w:rPr>
                <w:sz w:val="19"/>
                <w:szCs w:val="19"/>
              </w:rPr>
              <w:t xml:space="preserve">High</w:t>
            </w:r>
          </w:p>
        </w:tc>
      </w:tr>
      <w:tr>
        <w:tc>
          <w:tcPr>
            <w:tcW w:type="dxa" w:w="5300"/>
            <w:shd w:fill="F5F8FC" w:val="clear"/>
            <w:tcMar>
              <w:top w:type="dxa" w:w="80"/>
              <w:left w:type="dxa" w:w="100"/>
              <w:bottom w:type="dxa" w:w="80"/>
              <w:right w:type="dxa" w:w="100"/>
            </w:tcMar>
            <w:vAlign w:val="top"/>
          </w:tcPr>
          <w:p>
            <w:pPr>
              <w:spacing w:after="0"/>
            </w:pPr>
            <w:r>
              <w:rPr>
                <w:sz w:val="19"/>
                <w:szCs w:val="19"/>
              </w:rPr>
              <w:t xml:space="preserve">Render the HST-GAT attention overlay on the network map.</w:t>
            </w:r>
          </w:p>
        </w:tc>
        <w:tc>
          <w:tcPr>
            <w:tcW w:type="dxa" w:w="2160"/>
            <w:shd w:fill="F5F8FC" w:val="clear"/>
            <w:tcMar>
              <w:top w:type="dxa" w:w="80"/>
              <w:left w:type="dxa" w:w="100"/>
              <w:bottom w:type="dxa" w:w="80"/>
              <w:right w:type="dxa" w:w="100"/>
            </w:tcMar>
            <w:vAlign w:val="top"/>
          </w:tcPr>
          <w:p>
            <w:pPr>
              <w:spacing w:after="0"/>
            </w:pPr>
            <w:r>
              <w:rPr>
                <w:sz w:val="19"/>
                <w:szCs w:val="19"/>
              </w:rPr>
              <w:t xml:space="preserve">UX / AI transparency</w:t>
            </w:r>
          </w:p>
        </w:tc>
        <w:tc>
          <w:tcPr>
            <w:tcW w:type="dxa" w:w="1600"/>
            <w:shd w:fill="F5F8FC" w:val="clear"/>
            <w:tcMar>
              <w:top w:type="dxa" w:w="80"/>
              <w:left w:type="dxa" w:w="100"/>
              <w:bottom w:type="dxa" w:w="80"/>
              <w:right w:type="dxa" w:w="100"/>
            </w:tcMar>
            <w:vAlign w:val="top"/>
          </w:tcPr>
          <w:p>
            <w:pPr>
              <w:spacing w:after="0"/>
            </w:pPr>
            <w:r>
              <w:rPr>
                <w:sz w:val="19"/>
                <w:szCs w:val="19"/>
              </w:rPr>
              <w:t xml:space="preserve">Medium</w:t>
            </w:r>
          </w:p>
        </w:tc>
      </w:tr>
      <w:tr>
        <w:tc>
          <w:tcPr>
            <w:tcW w:type="dxa" w:w="5300"/>
            <w:tcMar>
              <w:top w:type="dxa" w:w="80"/>
              <w:left w:type="dxa" w:w="100"/>
              <w:bottom w:type="dxa" w:w="80"/>
              <w:right w:type="dxa" w:w="100"/>
            </w:tcMar>
            <w:vAlign w:val="top"/>
          </w:tcPr>
          <w:p>
            <w:pPr>
              <w:spacing w:after="0"/>
            </w:pPr>
            <w:r>
              <w:rPr>
                <w:sz w:val="19"/>
                <w:szCs w:val="19"/>
              </w:rPr>
              <w:t xml:space="preserve">Resolve and rehearse the KER11 (or equivalent headline event) narrative against the exact dataset that will be presented, given the documented verdict difference between the synthetic and real corpora.</w:t>
            </w:r>
          </w:p>
        </w:tc>
        <w:tc>
          <w:tcPr>
            <w:tcW w:type="dxa" w:w="2160"/>
            <w:tcMar>
              <w:top w:type="dxa" w:w="80"/>
              <w:left w:type="dxa" w:w="100"/>
              <w:bottom w:type="dxa" w:w="80"/>
              <w:right w:type="dxa" w:w="100"/>
            </w:tcMar>
            <w:vAlign w:val="top"/>
          </w:tcPr>
          <w:p>
            <w:pPr>
              <w:spacing w:after="0"/>
            </w:pPr>
            <w:r>
              <w:rPr>
                <w:sz w:val="19"/>
                <w:szCs w:val="19"/>
              </w:rPr>
              <w:t xml:space="preserve">Documentation / Demo readiness</w:t>
            </w:r>
          </w:p>
        </w:tc>
        <w:tc>
          <w:tcPr>
            <w:tcW w:type="dxa" w:w="1600"/>
            <w:tcMar>
              <w:top w:type="dxa" w:w="80"/>
              <w:left w:type="dxa" w:w="100"/>
              <w:bottom w:type="dxa" w:w="80"/>
              <w:right w:type="dxa" w:w="100"/>
            </w:tcMar>
            <w:vAlign w:val="top"/>
          </w:tcPr>
          <w:p>
            <w:pPr>
              <w:spacing w:after="0"/>
            </w:pPr>
            <w:r>
              <w:rPr>
                <w:sz w:val="19"/>
                <w:szCs w:val="19"/>
              </w:rPr>
              <w:t xml:space="preserve">High</w:t>
            </w:r>
          </w:p>
        </w:tc>
      </w:tr>
      <w:tr>
        <w:tc>
          <w:tcPr>
            <w:tcW w:type="dxa" w:w="5300"/>
            <w:shd w:fill="F5F8FC" w:val="clear"/>
            <w:tcMar>
              <w:top w:type="dxa" w:w="80"/>
              <w:left w:type="dxa" w:w="100"/>
              <w:bottom w:type="dxa" w:w="80"/>
              <w:right w:type="dxa" w:w="100"/>
            </w:tcMar>
            <w:vAlign w:val="top"/>
          </w:tcPr>
          <w:p>
            <w:pPr>
              <w:spacing w:after="0"/>
            </w:pPr>
            <w:r>
              <w:rPr>
                <w:sz w:val="19"/>
                <w:szCs w:val="19"/>
              </w:rPr>
              <w:t xml:space="preserve">Define numeric performance and availability targets and extend load testing beyond the current smoke test.</w:t>
            </w:r>
          </w:p>
        </w:tc>
        <w:tc>
          <w:tcPr>
            <w:tcW w:type="dxa" w:w="2160"/>
            <w:shd w:fill="F5F8FC" w:val="clear"/>
            <w:tcMar>
              <w:top w:type="dxa" w:w="80"/>
              <w:left w:type="dxa" w:w="100"/>
              <w:bottom w:type="dxa" w:w="80"/>
              <w:right w:type="dxa" w:w="100"/>
            </w:tcMar>
            <w:vAlign w:val="top"/>
          </w:tcPr>
          <w:p>
            <w:pPr>
              <w:spacing w:after="0"/>
            </w:pPr>
            <w:r>
              <w:rPr>
                <w:sz w:val="19"/>
                <w:szCs w:val="19"/>
              </w:rPr>
              <w:t xml:space="preserve">Non-functional / Scalability</w:t>
            </w:r>
          </w:p>
        </w:tc>
        <w:tc>
          <w:tcPr>
            <w:tcW w:type="dxa" w:w="1600"/>
            <w:shd w:fill="F5F8FC" w:val="clear"/>
            <w:tcMar>
              <w:top w:type="dxa" w:w="80"/>
              <w:left w:type="dxa" w:w="100"/>
              <w:bottom w:type="dxa" w:w="80"/>
              <w:right w:type="dxa" w:w="100"/>
            </w:tcMar>
            <w:vAlign w:val="top"/>
          </w:tcPr>
          <w:p>
            <w:pPr>
              <w:spacing w:after="0"/>
            </w:pPr>
            <w:r>
              <w:rPr>
                <w:sz w:val="19"/>
                <w:szCs w:val="19"/>
              </w:rPr>
              <w:t xml:space="preserve">Medium</w:t>
            </w:r>
          </w:p>
        </w:tc>
      </w:tr>
      <w:tr>
        <w:tc>
          <w:tcPr>
            <w:tcW w:type="dxa" w:w="5300"/>
            <w:tcMar>
              <w:top w:type="dxa" w:w="80"/>
              <w:left w:type="dxa" w:w="100"/>
              <w:bottom w:type="dxa" w:w="80"/>
              <w:right w:type="dxa" w:w="100"/>
            </w:tcMar>
            <w:vAlign w:val="top"/>
          </w:tcPr>
          <w:p>
            <w:pPr>
              <w:spacing w:after="0"/>
            </w:pPr>
            <w:r>
              <w:rPr>
                <w:sz w:val="19"/>
                <w:szCs w:val="19"/>
              </w:rPr>
              <w:t xml:space="preserve">Plan and execute the OIDC authentication migration once the system moves beyond a competition demo.</w:t>
            </w:r>
          </w:p>
        </w:tc>
        <w:tc>
          <w:tcPr>
            <w:tcW w:type="dxa" w:w="2160"/>
            <w:tcMar>
              <w:top w:type="dxa" w:w="80"/>
              <w:left w:type="dxa" w:w="100"/>
              <w:bottom w:type="dxa" w:w="80"/>
              <w:right w:type="dxa" w:w="100"/>
            </w:tcMar>
            <w:vAlign w:val="top"/>
          </w:tcPr>
          <w:p>
            <w:pPr>
              <w:spacing w:after="0"/>
            </w:pPr>
            <w:r>
              <w:rPr>
                <w:sz w:val="19"/>
                <w:szCs w:val="19"/>
              </w:rPr>
              <w:t xml:space="preserve">Security</w:t>
            </w:r>
          </w:p>
        </w:tc>
        <w:tc>
          <w:tcPr>
            <w:tcW w:type="dxa" w:w="1600"/>
            <w:tcMar>
              <w:top w:type="dxa" w:w="80"/>
              <w:left w:type="dxa" w:w="100"/>
              <w:bottom w:type="dxa" w:w="80"/>
              <w:right w:type="dxa" w:w="100"/>
            </w:tcMar>
            <w:vAlign w:val="top"/>
          </w:tcPr>
          <w:p>
            <w:pPr>
              <w:spacing w:after="0"/>
            </w:pPr>
            <w:r>
              <w:rPr>
                <w:sz w:val="19"/>
                <w:szCs w:val="19"/>
              </w:rPr>
              <w:t xml:space="preserve">Medium</w:t>
            </w:r>
          </w:p>
        </w:tc>
      </w:tr>
      <w:tr>
        <w:tc>
          <w:tcPr>
            <w:tcW w:type="dxa" w:w="5300"/>
            <w:shd w:fill="F5F8FC" w:val="clear"/>
            <w:tcMar>
              <w:top w:type="dxa" w:w="80"/>
              <w:left w:type="dxa" w:w="100"/>
              <w:bottom w:type="dxa" w:w="80"/>
              <w:right w:type="dxa" w:w="100"/>
            </w:tcMar>
            <w:vAlign w:val="top"/>
          </w:tcPr>
          <w:p>
            <w:pPr>
              <w:spacing w:after="0"/>
            </w:pPr>
            <w:r>
              <w:rPr>
                <w:sz w:val="19"/>
                <w:szCs w:val="19"/>
              </w:rPr>
              <w:t xml:space="preserve">Broaden AI evaluation to a labelled multi-event benchmark once more real adjudicated events are available.</w:t>
            </w:r>
          </w:p>
        </w:tc>
        <w:tc>
          <w:tcPr>
            <w:tcW w:type="dxa" w:w="2160"/>
            <w:shd w:fill="F5F8FC" w:val="clear"/>
            <w:tcMar>
              <w:top w:type="dxa" w:w="80"/>
              <w:left w:type="dxa" w:w="100"/>
              <w:bottom w:type="dxa" w:w="80"/>
              <w:right w:type="dxa" w:w="100"/>
            </w:tcMar>
            <w:vAlign w:val="top"/>
          </w:tcPr>
          <w:p>
            <w:pPr>
              <w:spacing w:after="0"/>
            </w:pPr>
            <w:r>
              <w:rPr>
                <w:sz w:val="19"/>
                <w:szCs w:val="19"/>
              </w:rPr>
              <w:t xml:space="preserve">AI / Data</w:t>
            </w:r>
          </w:p>
        </w:tc>
        <w:tc>
          <w:tcPr>
            <w:tcW w:type="dxa" w:w="1600"/>
            <w:shd w:fill="F5F8FC" w:val="clear"/>
            <w:tcMar>
              <w:top w:type="dxa" w:w="80"/>
              <w:left w:type="dxa" w:w="100"/>
              <w:bottom w:type="dxa" w:w="80"/>
              <w:right w:type="dxa" w:w="100"/>
            </w:tcMar>
            <w:vAlign w:val="top"/>
          </w:tcPr>
          <w:p>
            <w:pPr>
              <w:spacing w:after="0"/>
            </w:pPr>
            <w:r>
              <w:rPr>
                <w:sz w:val="19"/>
                <w:szCs w:val="19"/>
              </w:rPr>
              <w:t xml:space="preserve">Medium</w:t>
            </w:r>
          </w:p>
        </w:tc>
      </w:tr>
      <w:tr>
        <w:tc>
          <w:tcPr>
            <w:tcW w:type="dxa" w:w="5300"/>
            <w:tcMar>
              <w:top w:type="dxa" w:w="80"/>
              <w:left w:type="dxa" w:w="100"/>
              <w:bottom w:type="dxa" w:w="80"/>
              <w:right w:type="dxa" w:w="100"/>
            </w:tcMar>
            <w:vAlign w:val="top"/>
          </w:tcPr>
          <w:p>
            <w:pPr>
              <w:spacing w:after="0"/>
            </w:pPr>
            <w:r>
              <w:rPr>
                <w:sz w:val="19"/>
                <w:szCs w:val="19"/>
              </w:rPr>
              <w:t xml:space="preserve">Establish a documented WCAG accessibility target and extend automated coverage accordingly.</w:t>
            </w:r>
          </w:p>
        </w:tc>
        <w:tc>
          <w:tcPr>
            <w:tcW w:type="dxa" w:w="2160"/>
            <w:tcMar>
              <w:top w:type="dxa" w:w="80"/>
              <w:left w:type="dxa" w:w="100"/>
              <w:bottom w:type="dxa" w:w="80"/>
              <w:right w:type="dxa" w:w="100"/>
            </w:tcMar>
            <w:vAlign w:val="top"/>
          </w:tcPr>
          <w:p>
            <w:pPr>
              <w:spacing w:after="0"/>
            </w:pPr>
            <w:r>
              <w:rPr>
                <w:sz w:val="19"/>
                <w:szCs w:val="19"/>
              </w:rPr>
              <w:t xml:space="preserve">Accessibility / Documentation</w:t>
            </w:r>
          </w:p>
        </w:tc>
        <w:tc>
          <w:tcPr>
            <w:tcW w:type="dxa" w:w="1600"/>
            <w:tcMar>
              <w:top w:type="dxa" w:w="80"/>
              <w:left w:type="dxa" w:w="100"/>
              <w:bottom w:type="dxa" w:w="80"/>
              <w:right w:type="dxa" w:w="100"/>
            </w:tcMar>
            <w:vAlign w:val="top"/>
          </w:tcPr>
          <w:p>
            <w:pPr>
              <w:spacing w:after="0"/>
            </w:pPr>
            <w:r>
              <w:rPr>
                <w:sz w:val="19"/>
                <w:szCs w:val="19"/>
              </w:rPr>
              <w:t xml:space="preserve">Low</w:t>
            </w:r>
          </w:p>
        </w:tc>
      </w:tr>
      <w:tr>
        <w:tc>
          <w:tcPr>
            <w:tcW w:type="dxa" w:w="5300"/>
            <w:shd w:fill="F5F8FC" w:val="clear"/>
            <w:tcMar>
              <w:top w:type="dxa" w:w="80"/>
              <w:left w:type="dxa" w:w="100"/>
              <w:bottom w:type="dxa" w:w="80"/>
              <w:right w:type="dxa" w:w="100"/>
            </w:tcMar>
            <w:vAlign w:val="top"/>
          </w:tcPr>
          <w:p>
            <w:pPr>
              <w:spacing w:after="0"/>
            </w:pPr>
            <w:r>
              <w:rPr>
                <w:sz w:val="19"/>
                <w:szCs w:val="19"/>
              </w:rPr>
              <w:t xml:space="preserve">Define a production log-aggregation and alert-rule policy beyond the current Prometheus scrape + Grafana dashboards.</w:t>
            </w:r>
          </w:p>
        </w:tc>
        <w:tc>
          <w:tcPr>
            <w:tcW w:type="dxa" w:w="2160"/>
            <w:shd w:fill="F5F8FC" w:val="clear"/>
            <w:tcMar>
              <w:top w:type="dxa" w:w="80"/>
              <w:left w:type="dxa" w:w="100"/>
              <w:bottom w:type="dxa" w:w="80"/>
              <w:right w:type="dxa" w:w="100"/>
            </w:tcMar>
            <w:vAlign w:val="top"/>
          </w:tcPr>
          <w:p>
            <w:pPr>
              <w:spacing w:after="0"/>
            </w:pPr>
            <w:r>
              <w:rPr>
                <w:sz w:val="19"/>
                <w:szCs w:val="19"/>
              </w:rPr>
              <w:t xml:space="preserve">Observability</w:t>
            </w:r>
          </w:p>
        </w:tc>
        <w:tc>
          <w:tcPr>
            <w:tcW w:type="dxa" w:w="1600"/>
            <w:shd w:fill="F5F8FC" w:val="clear"/>
            <w:tcMar>
              <w:top w:type="dxa" w:w="80"/>
              <w:left w:type="dxa" w:w="100"/>
              <w:bottom w:type="dxa" w:w="80"/>
              <w:right w:type="dxa" w:w="100"/>
            </w:tcMar>
            <w:vAlign w:val="top"/>
          </w:tcPr>
          <w:p>
            <w:pPr>
              <w:spacing w:after="0"/>
            </w:pPr>
            <w:r>
              <w:rPr>
                <w:sz w:val="19"/>
                <w:szCs w:val="19"/>
              </w:rPr>
              <w:t xml:space="preserve">Low</w:t>
            </w:r>
          </w:p>
        </w:tc>
      </w:tr>
    </w:tbl>
    <w:p>
      <w:r>
        <w:br w:type="page"/>
      </w:r>
    </w:p>
    <w:p>
      <w:pPr>
        <w:pStyle w:val="Heading1"/>
        <w:spacing w:after="200" w:before="400"/>
      </w:pPr>
      <w:r>
        <w:t xml:space="preserve">25. Future Requirements</w:t>
      </w:r>
    </w:p>
    <w:p>
      <w:pPr>
        <w:spacing w:after="160" w:line="276"/>
      </w:pPr>
      <w:r>
        <w:t xml:space="preserve">The items below are Proposed / Future Requirements. None are currently implemented; each is grounded in a direction the repository itself records (a phase-report flag, a methodology-document caveat, or an ADR-recorded deferral), not an invented feature.</w:t>
      </w:r>
    </w:p>
    <w:p>
      <w:pPr>
        <w:spacing w:after="40" w:before="160"/>
      </w:pPr>
      <w:r>
        <w:rPr>
          <w:b/>
          <w:bCs/>
        </w:rPr>
        <w:t xml:space="preserve">FUT-001 — Statistically Fitted Trust Score Weights </w:t>
      </w:r>
      <w:r>
        <w:rPr>
          <w:i/>
          <w:iCs/>
          <w:color w:val="990000"/>
        </w:rPr>
        <w:t xml:space="preserve">[Proposed / Future Requirement]</w:t>
      </w:r>
    </w:p>
    <w:p>
      <w:pPr>
        <w:spacing w:after="160" w:line="276"/>
      </w:pPr>
      <w:r>
        <w:t xml:space="preserve">Replace the expert-elicited, governance-endorsed v1 weights with a logistic refit against a labelled set of real adjudicated events, once such a set exists.</w:t>
      </w:r>
    </w:p>
    <w:p>
      <w:pPr>
        <w:spacing w:after="200"/>
      </w:pPr>
      <w:r>
        <w:rPr>
          <w:i/>
          <w:iCs/>
          <w:color w:val="4A5568"/>
          <w:sz w:val="18"/>
          <w:szCs w:val="18"/>
        </w:rPr>
        <w:t xml:space="preserve">Grounded in: </w:t>
      </w:r>
      <w:r>
        <w:rPr>
          <w:i/>
          <w:iCs/>
          <w:color w:val="4A5568"/>
          <w:sz w:val="18"/>
          <w:szCs w:val="18"/>
        </w:rPr>
        <w:t xml:space="preserve">docs/trust-score-methodology-v1.2-endorsement.md ('a refit against labelled events remains the v2 plan; there are still no labels').</w:t>
      </w:r>
    </w:p>
    <w:p>
      <w:pPr>
        <w:spacing w:after="40" w:before="160"/>
      </w:pPr>
      <w:r>
        <w:rPr>
          <w:b/>
          <w:bCs/>
        </w:rPr>
        <w:t xml:space="preserve">FUT-002 — Rendered Operational Dashboard Screens </w:t>
      </w:r>
      <w:r>
        <w:rPr>
          <w:i/>
          <w:iCs/>
          <w:color w:val="990000"/>
        </w:rPr>
        <w:t xml:space="preserve">[Proposed / Future Requirement]</w:t>
      </w:r>
    </w:p>
    <w:p>
      <w:pPr>
        <w:spacing w:after="160" w:line="276"/>
      </w:pPr>
      <w:r>
        <w:t xml:space="preserve">Build the Alert Centre, Admin Dashboard, and Maintenance Queue as reachable React screens (they are currently API/CLI-complete only), with a deliberate visual-baseline regeneration.</w:t>
      </w:r>
    </w:p>
    <w:p>
      <w:pPr>
        <w:spacing w:after="200"/>
      </w:pPr>
      <w:r>
        <w:rPr>
          <w:i/>
          <w:iCs/>
          <w:color w:val="4A5568"/>
          <w:sz w:val="18"/>
          <w:szCs w:val="18"/>
        </w:rPr>
        <w:t xml:space="preserve">Grounded in: </w:t>
      </w:r>
      <w:r>
        <w:rPr>
          <w:i/>
          <w:iCs/>
          <w:color w:val="4A5568"/>
          <w:sz w:val="18"/>
          <w:szCs w:val="18"/>
        </w:rPr>
        <w:t xml:space="preserve">docs/phase-reports/phase-7-ops.md, flagged for review.</w:t>
      </w:r>
    </w:p>
    <w:p>
      <w:pPr>
        <w:spacing w:after="40" w:before="160"/>
      </w:pPr>
      <w:r>
        <w:rPr>
          <w:b/>
          <w:bCs/>
        </w:rPr>
        <w:t xml:space="preserve">FUT-003 — Rendered HST-GAT Attention Overlay </w:t>
      </w:r>
      <w:r>
        <w:rPr>
          <w:i/>
          <w:iCs/>
          <w:color w:val="990000"/>
        </w:rPr>
        <w:t xml:space="preserve">[Proposed / Future Requirement]</w:t>
      </w:r>
    </w:p>
    <w:p>
      <w:pPr>
        <w:spacing w:after="160" w:line="276"/>
      </w:pPr>
      <w:r>
        <w:t xml:space="preserve">Surface the exported attention weights as a map layer so an operator can see which neighbouring stations drove a given adjudication.</w:t>
      </w:r>
    </w:p>
    <w:p>
      <w:pPr>
        <w:spacing w:after="200"/>
      </w:pPr>
      <w:r>
        <w:rPr>
          <w:i/>
          <w:iCs/>
          <w:color w:val="4A5568"/>
          <w:sz w:val="18"/>
          <w:szCs w:val="18"/>
        </w:rPr>
        <w:t xml:space="preserve">Grounded in: </w:t>
      </w:r>
      <w:r>
        <w:rPr>
          <w:i/>
          <w:iCs/>
          <w:color w:val="4A5568"/>
          <w:sz w:val="18"/>
          <w:szCs w:val="18"/>
        </w:rPr>
        <w:t xml:space="preserve">docs/model-cards/hst-gat-v1.md (overlay 'exported' but not yet rendered).</w:t>
      </w:r>
    </w:p>
    <w:p>
      <w:pPr>
        <w:spacing w:after="40" w:before="160"/>
      </w:pPr>
      <w:r>
        <w:rPr>
          <w:b/>
          <w:bCs/>
        </w:rPr>
        <w:t xml:space="preserve">FUT-004 — Municipal/Expert-Confirmed Station Zone Classification </w:t>
      </w:r>
      <w:r>
        <w:rPr>
          <w:i/>
          <w:iCs/>
          <w:color w:val="990000"/>
        </w:rPr>
        <w:t xml:space="preserve">[Proposed / Future Requirement]</w:t>
      </w:r>
    </w:p>
    <w:p>
      <w:pPr>
        <w:spacing w:after="160" w:line="276"/>
      </w:pPr>
      <w:r>
        <w:t xml:space="preserve">Replace the curated, provisional zone_type classification with a municipally confirmed one.</w:t>
      </w:r>
    </w:p>
    <w:p>
      <w:pPr>
        <w:spacing w:after="200"/>
      </w:pPr>
      <w:r>
        <w:rPr>
          <w:i/>
          <w:iCs/>
          <w:color w:val="4A5568"/>
          <w:sz w:val="18"/>
          <w:szCs w:val="18"/>
        </w:rPr>
        <w:t xml:space="preserve">Grounded in: </w:t>
      </w:r>
      <w:r>
        <w:rPr>
          <w:i/>
          <w:iCs/>
          <w:color w:val="4A5568"/>
          <w:sz w:val="18"/>
          <w:szCs w:val="18"/>
        </w:rPr>
        <w:t xml:space="preserve">docs/trust-score-methodology-v1.2-endorsement.md (status: provisional).</w:t>
      </w:r>
    </w:p>
    <w:p>
      <w:pPr>
        <w:spacing w:after="40" w:before="160"/>
      </w:pPr>
      <w:r>
        <w:rPr>
          <w:b/>
          <w:bCs/>
        </w:rPr>
        <w:t xml:space="preserve">FUT-005 — Cross-Network PopulationExposure Normalisation </w:t>
      </w:r>
      <w:r>
        <w:rPr>
          <w:i/>
          <w:iCs/>
          <w:color w:val="990000"/>
        </w:rPr>
        <w:t xml:space="preserve">[Proposed / Future Requirement]</w:t>
      </w:r>
    </w:p>
    <w:p>
      <w:pPr>
        <w:spacing w:after="160" w:line="276"/>
      </w:pPr>
      <w:r>
        <w:t xml:space="preserve">Move PopulationExposure from a relative (min-max, single-network) proxy to a normalisation comparable across networks.</w:t>
      </w:r>
    </w:p>
    <w:p>
      <w:pPr>
        <w:spacing w:after="200"/>
      </w:pPr>
      <w:r>
        <w:rPr>
          <w:i/>
          <w:iCs/>
          <w:color w:val="4A5568"/>
          <w:sz w:val="18"/>
          <w:szCs w:val="18"/>
        </w:rPr>
        <w:t xml:space="preserve">Grounded in: </w:t>
      </w:r>
      <w:r>
        <w:rPr>
          <w:i/>
          <w:iCs/>
          <w:color w:val="4A5568"/>
          <w:sz w:val="18"/>
          <w:szCs w:val="18"/>
        </w:rPr>
        <w:t xml:space="preserve">docs/phase-reports/phase-7-ops.md (flagged for review).</w:t>
      </w:r>
    </w:p>
    <w:p>
      <w:pPr>
        <w:spacing w:after="40" w:before="160"/>
      </w:pPr>
      <w:r>
        <w:rPr>
          <w:b/>
          <w:bCs/>
        </w:rPr>
        <w:t xml:space="preserve">FUT-006 — OIDC-Based Authentication </w:t>
      </w:r>
      <w:r>
        <w:rPr>
          <w:i/>
          <w:iCs/>
          <w:color w:val="990000"/>
        </w:rPr>
        <w:t xml:space="preserve">[Proposed / Future Requirement]</w:t>
      </w:r>
    </w:p>
    <w:p>
      <w:pPr>
        <w:spacing w:after="160" w:line="276"/>
      </w:pPr>
      <w:r>
        <w:t xml:space="preserve">Execute the already-planned migration from static API keys to a full OIDC identity provider; the RBAC role model is already shaped for this.</w:t>
      </w:r>
    </w:p>
    <w:p>
      <w:pPr>
        <w:spacing w:after="200"/>
      </w:pPr>
      <w:r>
        <w:rPr>
          <w:i/>
          <w:iCs/>
          <w:color w:val="4A5568"/>
          <w:sz w:val="18"/>
          <w:szCs w:val="18"/>
        </w:rPr>
        <w:t xml:space="preserve">Grounded in: </w:t>
      </w:r>
      <w:r>
        <w:rPr>
          <w:i/>
          <w:iCs/>
          <w:color w:val="4A5568"/>
          <w:sz w:val="18"/>
          <w:szCs w:val="18"/>
        </w:rPr>
        <w:t xml:space="preserve">docs/decisions/0004-api-auth-phase2.md; 0010-signoff-and-rbac-phase7.md.</w:t>
      </w:r>
    </w:p>
    <w:p>
      <w:pPr>
        <w:spacing w:after="40" w:before="160"/>
      </w:pPr>
      <w:r>
        <w:rPr>
          <w:b/>
          <w:bCs/>
        </w:rPr>
        <w:t xml:space="preserve">FUT-007 — Kubernetes Production Deployment </w:t>
      </w:r>
      <w:r>
        <w:rPr>
          <w:i/>
          <w:iCs/>
          <w:color w:val="990000"/>
        </w:rPr>
        <w:t xml:space="preserve">[Proposed / Future Requirement]</w:t>
      </w:r>
    </w:p>
    <w:p>
      <w:pPr>
        <w:spacing w:after="160" w:line="276"/>
      </w:pPr>
      <w:r>
        <w:t xml:space="preserve">Build production-grade Kubernetes manifests once a real (non-demo) deployment is planned.</w:t>
      </w:r>
    </w:p>
    <w:p>
      <w:pPr>
        <w:spacing w:after="200"/>
      </w:pPr>
      <w:r>
        <w:rPr>
          <w:i/>
          <w:iCs/>
          <w:color w:val="4A5568"/>
          <w:sz w:val="18"/>
          <w:szCs w:val="18"/>
        </w:rPr>
        <w:t xml:space="preserve">Grounded in: </w:t>
      </w:r>
      <w:r>
        <w:rPr>
          <w:i/>
          <w:iCs/>
          <w:color w:val="4A5568"/>
          <w:sz w:val="18"/>
          <w:szCs w:val="18"/>
        </w:rPr>
        <w:t xml:space="preserve">infra/k8s/README.md.</w:t>
      </w:r>
    </w:p>
    <w:p>
      <w:pPr>
        <w:spacing w:after="40" w:before="160"/>
      </w:pPr>
      <w:r>
        <w:rPr>
          <w:b/>
          <w:bCs/>
        </w:rPr>
        <w:t xml:space="preserve">FUT-008 — Live Public Alert Delivery Transport </w:t>
      </w:r>
      <w:r>
        <w:rPr>
          <w:i/>
          <w:iCs/>
          <w:color w:val="990000"/>
        </w:rPr>
        <w:t xml:space="preserve">[Proposed / Future Requirement]</w:t>
      </w:r>
    </w:p>
    <w:p>
      <w:pPr>
        <w:spacing w:after="160" w:line="276"/>
      </w:pPr>
      <w:r>
        <w:t xml:space="preserve">Replace the offline outbox-based dispatch channel with a real SMS/email/push transport injected at the documented deliver boundary.</w:t>
      </w:r>
    </w:p>
    <w:p>
      <w:pPr>
        <w:spacing w:after="200"/>
      </w:pPr>
      <w:r>
        <w:rPr>
          <w:i/>
          <w:iCs/>
          <w:color w:val="4A5568"/>
          <w:sz w:val="18"/>
          <w:szCs w:val="18"/>
        </w:rPr>
        <w:t xml:space="preserve">Grounded in: </w:t>
      </w:r>
      <w:r>
        <w:rPr>
          <w:i/>
          <w:iCs/>
          <w:color w:val="4A5568"/>
          <w:sz w:val="18"/>
          <w:szCs w:val="18"/>
        </w:rPr>
        <w:t xml:space="preserve">src/provenance/api/decision/channels.py; docs/decisions/0010.</w:t>
      </w:r>
    </w:p>
    <w:p>
      <w:pPr>
        <w:spacing w:after="40" w:before="160"/>
      </w:pPr>
      <w:r>
        <w:rPr>
          <w:b/>
          <w:bCs/>
        </w:rPr>
        <w:t xml:space="preserve">FUT-009 — Broader Labelled AI Evaluation </w:t>
      </w:r>
      <w:r>
        <w:rPr>
          <w:i/>
          <w:iCs/>
          <w:color w:val="990000"/>
        </w:rPr>
        <w:t xml:space="preserve">[Proposed / Future Requirement]</w:t>
      </w:r>
    </w:p>
    <w:p>
      <w:pPr>
        <w:spacing w:after="160" w:line="276"/>
      </w:pPr>
      <w:r>
        <w:t xml:space="preserve">Extend AI evaluation from the single documented KER11 case study and representative synthetic-corpus model-card metrics to a multi-event, labelled benchmark.</w:t>
      </w:r>
    </w:p>
    <w:p>
      <w:pPr>
        <w:spacing w:after="200"/>
      </w:pPr>
      <w:r>
        <w:rPr>
          <w:i/>
          <w:iCs/>
          <w:color w:val="4A5568"/>
          <w:sz w:val="18"/>
          <w:szCs w:val="18"/>
        </w:rPr>
        <w:t xml:space="preserve">Grounded in: </w:t>
      </w:r>
      <w:r>
        <w:rPr>
          <w:i/>
          <w:iCs/>
          <w:color w:val="4A5568"/>
          <w:sz w:val="18"/>
          <w:szCs w:val="18"/>
        </w:rPr>
        <w:t xml:space="preserve">docs/model-cards/hst-gat-v1.md; docs/adjudications/.</w:t>
      </w:r>
    </w:p>
    <w:p>
      <w:pPr>
        <w:spacing w:after="40" w:before="160"/>
      </w:pPr>
      <w:r>
        <w:rPr>
          <w:b/>
          <w:bCs/>
        </w:rPr>
        <w:t xml:space="preserve">FUT-010 — Formal Performance and Availability SLAs </w:t>
      </w:r>
      <w:r>
        <w:rPr>
          <w:i/>
          <w:iCs/>
          <w:color w:val="990000"/>
        </w:rPr>
        <w:t xml:space="preserve">[Proposed / Future Requirement]</w:t>
      </w:r>
    </w:p>
    <w:p>
      <w:pPr>
        <w:spacing w:after="160" w:line="276"/>
      </w:pPr>
      <w:r>
        <w:t xml:space="preserve">Define numeric latency/throughput/uptime targets and extend load testing beyond the current 50-client smoke test.</w:t>
      </w:r>
    </w:p>
    <w:p>
      <w:pPr>
        <w:spacing w:after="200"/>
      </w:pPr>
      <w:r>
        <w:rPr>
          <w:i/>
          <w:iCs/>
          <w:color w:val="4A5568"/>
          <w:sz w:val="18"/>
          <w:szCs w:val="18"/>
        </w:rPr>
        <w:t xml:space="preserve">Grounded in: </w:t>
      </w:r>
      <w:r>
        <w:rPr>
          <w:i/>
          <w:iCs/>
          <w:color w:val="4A5568"/>
          <w:sz w:val="18"/>
          <w:szCs w:val="18"/>
        </w:rPr>
        <w:t xml:space="preserve">docs/phase-reports/phase-7-ops.md (load smoke test only).</w:t>
      </w:r>
    </w:p>
    <w:p>
      <w:r>
        <w:br w:type="page"/>
      </w:r>
    </w:p>
    <w:p>
      <w:pPr>
        <w:pStyle w:val="Heading1"/>
        <w:spacing w:after="200" w:before="400"/>
      </w:pPr>
      <w:r>
        <w:t xml:space="preserve">26. Acceptance Criteria</w:t>
      </w:r>
    </w:p>
    <w:p>
      <w:pPr>
        <w:spacing w:after="160" w:line="276"/>
      </w:pPr>
      <w:r>
        <w:t xml:space="preserve">Given-When-Then acceptance criteria for the most important requirements, derived directly from the documented behaviour and test evidence for each.</w:t>
      </w:r>
    </w:p>
    <w:p>
      <w:pPr>
        <w:pStyle w:val="Heading2"/>
        <w:spacing w:after="150" w:before="300"/>
      </w:pPr>
      <w:r>
        <w:t xml:space="preserve">FR-001 — Idempotent Ingestion</w:t>
      </w:r>
    </w:p>
    <w:p>
      <w:pPr>
        <w:spacing w:after="200" w:line="264"/>
      </w:pPr>
      <w:r>
        <w:rPr>
          <w:b/>
          <w:bCs/>
        </w:rPr>
        <w:t xml:space="preserve">Given </w:t>
      </w:r>
      <w:r>
        <w:t xml:space="preserve">a raw data file has already been ingested as IngestBatch B </w:t>
      </w:r>
      <w:r>
        <w:rPr>
          <w:b/>
          <w:bCs/>
        </w:rPr>
        <w:t xml:space="preserve">when </w:t>
      </w:r>
      <w:r>
        <w:t xml:space="preserve">the same byte-identical file is ingested again </w:t>
      </w:r>
      <w:r>
        <w:rPr>
          <w:b/>
          <w:bCs/>
        </w:rPr>
        <w:t xml:space="preserve">then </w:t>
      </w:r>
      <w:r>
        <w:t xml:space="preserve">the system shall create no new Reading rows and shall not create a duplicate IngestBatch.</w:t>
      </w:r>
    </w:p>
    <w:p>
      <w:pPr>
        <w:pStyle w:val="Heading2"/>
        <w:spacing w:after="150" w:before="300"/>
      </w:pPr>
      <w:r>
        <w:t xml:space="preserve">FR-004 — Multi-Detector Audit</w:t>
      </w:r>
    </w:p>
    <w:p>
      <w:pPr>
        <w:spacing w:after="200" w:line="264"/>
      </w:pPr>
      <w:r>
        <w:rPr>
          <w:b/>
          <w:bCs/>
        </w:rPr>
        <w:t xml:space="preserve">Given </w:t>
      </w:r>
      <w:r>
        <w:t xml:space="preserve">a canonical reading frame with at least one frozen sensor series and one physically impossible cross-parameter value exists </w:t>
      </w:r>
      <w:r>
        <w:rPr>
          <w:b/>
          <w:bCs/>
        </w:rPr>
        <w:t xml:space="preserve">when </w:t>
      </w:r>
      <w:r>
        <w:t xml:space="preserve">an audit run is executed </w:t>
      </w:r>
      <w:r>
        <w:rPr>
          <w:b/>
          <w:bCs/>
        </w:rPr>
        <w:t xml:space="preserve">then </w:t>
      </w:r>
      <w:r>
        <w:t xml:space="preserve">the system shall report both findings as distinct Defect records, each with a valid reason code and evidence.</w:t>
      </w:r>
    </w:p>
    <w:p>
      <w:pPr>
        <w:pStyle w:val="Heading2"/>
        <w:spacing w:after="150" w:before="300"/>
      </w:pPr>
      <w:r>
        <w:t xml:space="preserve">FR-005 — Defect Rate Definition</w:t>
      </w:r>
    </w:p>
    <w:p>
      <w:pPr>
        <w:spacing w:after="200" w:line="264"/>
      </w:pPr>
      <w:r>
        <w:rPr>
          <w:b/>
          <w:bCs/>
        </w:rPr>
        <w:t xml:space="preserve">Given </w:t>
      </w:r>
      <w:r>
        <w:t xml:space="preserve">an audit run has completed </w:t>
      </w:r>
      <w:r>
        <w:rPr>
          <w:b/>
          <w:bCs/>
        </w:rPr>
        <w:t xml:space="preserve">when </w:t>
      </w:r>
      <w:r>
        <w:t xml:space="preserve">the defect rate is rendered in the API, the CLI report, or the regulatory export </w:t>
      </w:r>
      <w:r>
        <w:rPr>
          <w:b/>
          <w:bCs/>
        </w:rPr>
        <w:t xml:space="preserve">then </w:t>
      </w:r>
      <w:r>
        <w:t xml:space="preserve">the system shall render the exact DEFINITION string alongside the numeric rate in every rendering location.</w:t>
      </w:r>
    </w:p>
    <w:p>
      <w:pPr>
        <w:pStyle w:val="Heading2"/>
        <w:spacing w:after="150" w:before="300"/>
      </w:pPr>
      <w:r>
        <w:t xml:space="preserve">FR-008 — Trust Score Explanation</w:t>
      </w:r>
    </w:p>
    <w:p>
      <w:pPr>
        <w:spacing w:after="200" w:line="264"/>
      </w:pPr>
      <w:r>
        <w:rPr>
          <w:b/>
          <w:bCs/>
        </w:rPr>
        <w:t xml:space="preserve">Given </w:t>
      </w:r>
      <w:r>
        <w:t xml:space="preserve">a Trust Score is requested for a station and timestamp </w:t>
      </w:r>
      <w:r>
        <w:rPr>
          <w:b/>
          <w:bCs/>
        </w:rPr>
        <w:t xml:space="preserve">when </w:t>
      </w:r>
      <w:r>
        <w:t xml:space="preserve">the API returns a response </w:t>
      </w:r>
      <w:r>
        <w:rPr>
          <w:b/>
          <w:bCs/>
        </w:rPr>
        <w:t xml:space="preserve">then </w:t>
      </w:r>
      <w:r>
        <w:t xml:space="preserve">the system shall include the four component values and at least one reason code, and shall never return a bare numeric score.</w:t>
      </w:r>
    </w:p>
    <w:p>
      <w:pPr>
        <w:pStyle w:val="Heading2"/>
        <w:spacing w:after="150" w:before="300"/>
      </w:pPr>
      <w:r>
        <w:t xml:space="preserve">FR-014 — Adjudication Verdict</w:t>
      </w:r>
    </w:p>
    <w:p>
      <w:pPr>
        <w:spacing w:after="200" w:line="264"/>
      </w:pPr>
      <w:r>
        <w:rPr>
          <w:b/>
          <w:bCs/>
        </w:rPr>
        <w:t xml:space="preserve">Given </w:t>
      </w:r>
      <w:r>
        <w:t xml:space="preserve">a candidate event has insufficient neighbour data to compare against the plume expectation </w:t>
      </w:r>
      <w:r>
        <w:rPr>
          <w:b/>
          <w:bCs/>
        </w:rPr>
        <w:t xml:space="preserve">when </w:t>
      </w:r>
      <w:r>
        <w:t xml:space="preserve">adjudication runs </w:t>
      </w:r>
      <w:r>
        <w:rPr>
          <w:b/>
          <w:bCs/>
        </w:rPr>
        <w:t xml:space="preserve">then </w:t>
      </w:r>
      <w:r>
        <w:t xml:space="preserve">the system shall assign the verdict AMBIGUOUS and shall not force a LIKELY_REAL or LIKELY_FAULT classification.</w:t>
      </w:r>
    </w:p>
    <w:p>
      <w:pPr>
        <w:pStyle w:val="Heading2"/>
        <w:spacing w:after="150" w:before="300"/>
      </w:pPr>
      <w:r>
        <w:t xml:space="preserve">FR-019 — Role-Based Access Control</w:t>
      </w:r>
    </w:p>
    <w:p>
      <w:pPr>
        <w:spacing w:after="200" w:line="264"/>
      </w:pPr>
      <w:r>
        <w:rPr>
          <w:b/>
          <w:bCs/>
        </w:rPr>
        <w:t xml:space="preserve">Given </w:t>
      </w:r>
      <w:r>
        <w:t xml:space="preserve">a request is made to a researcher-gated endpoint with a valid public_read-tier API key </w:t>
      </w:r>
      <w:r>
        <w:rPr>
          <w:b/>
          <w:bCs/>
        </w:rPr>
        <w:t xml:space="preserve">when </w:t>
      </w:r>
      <w:r>
        <w:t xml:space="preserve">the request is received </w:t>
      </w:r>
      <w:r>
        <w:rPr>
          <w:b/>
          <w:bCs/>
        </w:rPr>
        <w:t xml:space="preserve">then </w:t>
      </w:r>
      <w:r>
        <w:t xml:space="preserve">the system shall respond with HTTP 403 and an RFC 7807 problem body naming the required role.</w:t>
      </w:r>
    </w:p>
    <w:p>
      <w:pPr>
        <w:pStyle w:val="Heading2"/>
        <w:spacing w:after="150" w:before="300"/>
      </w:pPr>
      <w:r>
        <w:t xml:space="preserve">FR-021 — Regulatory Export Reconciliation</w:t>
      </w:r>
    </w:p>
    <w:p>
      <w:pPr>
        <w:spacing w:after="200" w:line="264"/>
      </w:pPr>
      <w:r>
        <w:rPr>
          <w:b/>
          <w:bCs/>
        </w:rPr>
        <w:t xml:space="preserve">Given </w:t>
      </w:r>
      <w:r>
        <w:t xml:space="preserve">an audit run and its regulatory export both exist </w:t>
      </w:r>
      <w:r>
        <w:rPr>
          <w:b/>
          <w:bCs/>
        </w:rPr>
        <w:t xml:space="preserve">when </w:t>
      </w:r>
      <w:r>
        <w:t xml:space="preserve">the reading count in the export is compared against the database </w:t>
      </w:r>
      <w:r>
        <w:rPr>
          <w:b/>
          <w:bCs/>
        </w:rPr>
        <w:t xml:space="preserve">then </w:t>
      </w:r>
      <w:r>
        <w:t xml:space="preserve">the system shall show an exact reconciliation, and repeated export generation shall produce the same verification hash.</w:t>
      </w:r>
    </w:p>
    <w:p>
      <w:pPr>
        <w:pStyle w:val="Heading2"/>
        <w:spacing w:after="150" w:before="300"/>
      </w:pPr>
      <w:r>
        <w:t xml:space="preserve">FR-024 — Sign-off Gate</w:t>
      </w:r>
    </w:p>
    <w:p>
      <w:pPr>
        <w:spacing w:after="200" w:line="264"/>
      </w:pPr>
      <w:r>
        <w:rPr>
          <w:b/>
          <w:bCs/>
        </w:rPr>
        <w:t xml:space="preserve">Given </w:t>
      </w:r>
      <w:r>
        <w:t xml:space="preserve">an event has a LIKELY_REAL verdict but no valid, non-expired sign-off token exists </w:t>
      </w:r>
      <w:r>
        <w:rPr>
          <w:b/>
          <w:bCs/>
        </w:rPr>
        <w:t xml:space="preserve">when </w:t>
      </w:r>
      <w:r>
        <w:t xml:space="preserve">a dispatch is attempted </w:t>
      </w:r>
      <w:r>
        <w:rPr>
          <w:b/>
          <w:bCs/>
        </w:rPr>
        <w:t xml:space="preserve">then </w:t>
      </w:r>
      <w:r>
        <w:t xml:space="preserve">the system shall refuse the dispatch and shall not deliver any public-facing alert.</w:t>
      </w:r>
    </w:p>
    <w:p>
      <w:pPr>
        <w:pStyle w:val="Heading2"/>
        <w:spacing w:after="150" w:before="300"/>
      </w:pPr>
      <w:r>
        <w:t xml:space="preserve">FR-024 — Dispatch Idempotency</w:t>
      </w:r>
    </w:p>
    <w:p>
      <w:pPr>
        <w:spacing w:after="200" w:line="264"/>
      </w:pPr>
      <w:r>
        <w:rPr>
          <w:b/>
          <w:bCs/>
        </w:rPr>
        <w:t xml:space="preserve">Given </w:t>
      </w:r>
      <w:r>
        <w:t xml:space="preserve">a dispatch has already succeeded for (event, channel, sign-off) </w:t>
      </w:r>
      <w:r>
        <w:rPr>
          <w:b/>
          <w:bCs/>
        </w:rPr>
        <w:t xml:space="preserve">when </w:t>
      </w:r>
      <w:r>
        <w:t xml:space="preserve">the same dispatch request is retried </w:t>
      </w:r>
      <w:r>
        <w:rPr>
          <w:b/>
          <w:bCs/>
        </w:rPr>
        <w:t xml:space="preserve">then </w:t>
      </w:r>
      <w:r>
        <w:t xml:space="preserve">the system shall return the original receipt and shall not create a second Dispatch row or send a duplicate alert.</w:t>
      </w:r>
    </w:p>
    <w:p>
      <w:pPr>
        <w:pStyle w:val="Heading2"/>
        <w:spacing w:after="150" w:before="300"/>
      </w:pPr>
      <w:r>
        <w:t xml:space="preserve">FR-026 — Deterministic Demo</w:t>
      </w:r>
    </w:p>
    <w:p>
      <w:pPr>
        <w:spacing w:after="200" w:line="264"/>
      </w:pPr>
      <w:r>
        <w:rPr>
          <w:b/>
          <w:bCs/>
        </w:rPr>
        <w:t xml:space="preserve">Given </w:t>
      </w:r>
      <w:r>
        <w:t xml:space="preserve">a named demo scenario is run twice, with network egress blocked both times </w:t>
      </w:r>
      <w:r>
        <w:rPr>
          <w:b/>
          <w:bCs/>
        </w:rPr>
        <w:t xml:space="preserve">when </w:t>
      </w:r>
      <w:r>
        <w:t xml:space="preserve">the two runs' outputs are compared </w:t>
      </w:r>
      <w:r>
        <w:rPr>
          <w:b/>
          <w:bCs/>
        </w:rPr>
        <w:t xml:space="preserve">then </w:t>
      </w:r>
      <w:r>
        <w:t xml:space="preserve">the system shall produce byte-identical output on both runs.</w:t>
      </w:r>
    </w:p>
    <w:p>
      <w:r>
        <w:br w:type="page"/>
      </w:r>
    </w:p>
    <w:p>
      <w:pPr>
        <w:pStyle w:val="Heading1"/>
        <w:spacing w:after="200" w:before="400"/>
      </w:pPr>
      <w:r>
        <w:t xml:space="preserve">27.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6AB8" w:val="clear"/>
            <w:tcMar>
              <w:top w:type="dxa" w:w="80"/>
              <w:left w:type="dxa" w:w="100"/>
              <w:bottom w:type="dxa" w:w="80"/>
              <w:right w:type="dxa" w:w="100"/>
            </w:tcMar>
            <w:vAlign w:val="top"/>
          </w:tcPr>
          <w:p>
            <w:pPr>
              <w:spacing w:after="0"/>
            </w:pPr>
            <w:r>
              <w:rPr>
                <w:b/>
                <w:bCs/>
                <w:color w:val="FFFFFF"/>
                <w:sz w:val="19"/>
                <w:szCs w:val="19"/>
              </w:rPr>
              <w:t xml:space="preserve">Layer</w:t>
            </w:r>
          </w:p>
        </w:tc>
        <w:tc>
          <w:tcPr>
            <w:tcW w:type="dxa" w:w="7160"/>
            <w:shd w:fill="1B6AB8" w:val="clear"/>
            <w:tcMar>
              <w:top w:type="dxa" w:w="80"/>
              <w:left w:type="dxa" w:w="100"/>
              <w:bottom w:type="dxa" w:w="80"/>
              <w:right w:type="dxa" w:w="100"/>
            </w:tcMar>
            <w:vAlign w:val="top"/>
          </w:tcPr>
          <w:p>
            <w:pPr>
              <w:spacing w:after="0"/>
            </w:pPr>
            <w:r>
              <w:rPr>
                <w:b/>
                <w:bCs/>
                <w:color w:val="FFFFFF"/>
                <w:sz w:val="19"/>
                <w:szCs w:val="19"/>
              </w:rPr>
              <w:t xml:space="preserve">Technologies</w:t>
            </w:r>
          </w:p>
        </w:tc>
      </w:tr>
      <w:tr>
        <w:tc>
          <w:tcPr>
            <w:tcW w:type="dxa" w:w="2200"/>
            <w:tcMar>
              <w:top w:type="dxa" w:w="80"/>
              <w:left w:type="dxa" w:w="100"/>
              <w:bottom w:type="dxa" w:w="80"/>
              <w:right w:type="dxa" w:w="100"/>
            </w:tcMar>
            <w:vAlign w:val="top"/>
          </w:tcPr>
          <w:p>
            <w:pPr>
              <w:spacing w:after="0"/>
            </w:pPr>
            <w:r>
              <w:rPr>
                <w:sz w:val="19"/>
                <w:szCs w:val="19"/>
              </w:rPr>
              <w:t xml:space="preserve">Frontend</w:t>
            </w:r>
          </w:p>
        </w:tc>
        <w:tc>
          <w:tcPr>
            <w:tcW w:type="dxa" w:w="7160"/>
            <w:tcMar>
              <w:top w:type="dxa" w:w="80"/>
              <w:left w:type="dxa" w:w="100"/>
              <w:bottom w:type="dxa" w:w="80"/>
              <w:right w:type="dxa" w:w="100"/>
            </w:tcMar>
            <w:vAlign w:val="top"/>
          </w:tcPr>
          <w:p>
            <w:pPr>
              <w:spacing w:after="0"/>
            </w:pPr>
            <w:r>
              <w:rPr>
                <w:sz w:val="19"/>
                <w:szCs w:val="19"/>
              </w:rPr>
              <w:t xml:space="preserve">React 18, TypeScript 5.5, Vite 5, TanStack Query, react-router-dom, MapLibre GL + Protomaps (basemap tiles), Recharts, Tailwind CSS</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Backend</w:t>
            </w:r>
          </w:p>
        </w:tc>
        <w:tc>
          <w:tcPr>
            <w:tcW w:type="dxa" w:w="7160"/>
            <w:shd w:fill="F5F8FC" w:val="clear"/>
            <w:tcMar>
              <w:top w:type="dxa" w:w="80"/>
              <w:left w:type="dxa" w:w="100"/>
              <w:bottom w:type="dxa" w:w="80"/>
              <w:right w:type="dxa" w:w="100"/>
            </w:tcMar>
            <w:vAlign w:val="top"/>
          </w:tcPr>
          <w:p>
            <w:pPr>
              <w:spacing w:after="0"/>
            </w:pPr>
            <w:r>
              <w:rPr>
                <w:sz w:val="19"/>
                <w:szCs w:val="19"/>
              </w:rPr>
              <w:t xml:space="preserve">Python 3.12, FastAPI, Pydantic v2, Typer (CLI), structlog, Uvicorn</w:t>
            </w:r>
          </w:p>
        </w:tc>
      </w:tr>
      <w:tr>
        <w:tc>
          <w:tcPr>
            <w:tcW w:type="dxa" w:w="2200"/>
            <w:tcMar>
              <w:top w:type="dxa" w:w="80"/>
              <w:left w:type="dxa" w:w="100"/>
              <w:bottom w:type="dxa" w:w="80"/>
              <w:right w:type="dxa" w:w="100"/>
            </w:tcMar>
            <w:vAlign w:val="top"/>
          </w:tcPr>
          <w:p>
            <w:pPr>
              <w:spacing w:after="0"/>
            </w:pPr>
            <w:r>
              <w:rPr>
                <w:sz w:val="19"/>
                <w:szCs w:val="19"/>
              </w:rPr>
              <w:t xml:space="preserve">Database</w:t>
            </w:r>
          </w:p>
        </w:tc>
        <w:tc>
          <w:tcPr>
            <w:tcW w:type="dxa" w:w="7160"/>
            <w:tcMar>
              <w:top w:type="dxa" w:w="80"/>
              <w:left w:type="dxa" w:w="100"/>
              <w:bottom w:type="dxa" w:w="80"/>
              <w:right w:type="dxa" w:w="100"/>
            </w:tcMar>
            <w:vAlign w:val="top"/>
          </w:tcPr>
          <w:p>
            <w:pPr>
              <w:spacing w:after="0"/>
            </w:pPr>
            <w:r>
              <w:rPr>
                <w:sz w:val="19"/>
                <w:szCs w:val="19"/>
              </w:rPr>
              <w:t xml:space="preserve">TimescaleDB (PostgreSQL 16 + PostGIS), SQLAlchemy 2.0 (async ORM), Alembic (migrations), GeoAlchemy2, psycopg 3; SQLite for tests</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AI / ML</w:t>
            </w:r>
          </w:p>
        </w:tc>
        <w:tc>
          <w:tcPr>
            <w:tcW w:type="dxa" w:w="7160"/>
            <w:shd w:fill="F5F8FC" w:val="clear"/>
            <w:tcMar>
              <w:top w:type="dxa" w:w="80"/>
              <w:left w:type="dxa" w:w="100"/>
              <w:bottom w:type="dxa" w:w="80"/>
              <w:right w:type="dxa" w:w="100"/>
            </w:tcMar>
            <w:vAlign w:val="top"/>
          </w:tcPr>
          <w:p>
            <w:pPr>
              <w:spacing w:after="0"/>
            </w:pPr>
            <w:r>
              <w:rPr>
                <w:sz w:val="19"/>
                <w:szCs w:val="19"/>
              </w:rPr>
              <w:t xml:space="preserve">PyTorch (2.2–2.9), PyTorch Geometric (2.5–2.7), scikit-learn, LightGBM, SHAP, SciPy, NumPy, pandas, pandera (schema validation), numba</w:t>
            </w:r>
          </w:p>
        </w:tc>
      </w:tr>
      <w:tr>
        <w:tc>
          <w:tcPr>
            <w:tcW w:type="dxa" w:w="2200"/>
            <w:tcMar>
              <w:top w:type="dxa" w:w="80"/>
              <w:left w:type="dxa" w:w="100"/>
              <w:bottom w:type="dxa" w:w="80"/>
              <w:right w:type="dxa" w:w="100"/>
            </w:tcMar>
            <w:vAlign w:val="top"/>
          </w:tcPr>
          <w:p>
            <w:pPr>
              <w:spacing w:after="0"/>
            </w:pPr>
            <w:r>
              <w:rPr>
                <w:sz w:val="19"/>
                <w:szCs w:val="19"/>
              </w:rPr>
              <w:t xml:space="preserve">APIs</w:t>
            </w:r>
          </w:p>
        </w:tc>
        <w:tc>
          <w:tcPr>
            <w:tcW w:type="dxa" w:w="7160"/>
            <w:tcMar>
              <w:top w:type="dxa" w:w="80"/>
              <w:left w:type="dxa" w:w="100"/>
              <w:bottom w:type="dxa" w:w="80"/>
              <w:right w:type="dxa" w:w="100"/>
            </w:tcMar>
            <w:vAlign w:val="top"/>
          </w:tcPr>
          <w:p>
            <w:pPr>
              <w:spacing w:after="0"/>
            </w:pPr>
            <w:r>
              <w:rPr>
                <w:sz w:val="19"/>
                <w:szCs w:val="19"/>
              </w:rPr>
              <w:t xml:space="preserve">REST/JSON over HTTPS, OpenAPI 3 (FastAPI-generated), RFC 7807 Problem Details</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Authentication</w:t>
            </w:r>
          </w:p>
        </w:tc>
        <w:tc>
          <w:tcPr>
            <w:tcW w:type="dxa" w:w="7160"/>
            <w:shd w:fill="F5F8FC" w:val="clear"/>
            <w:tcMar>
              <w:top w:type="dxa" w:w="80"/>
              <w:left w:type="dxa" w:w="100"/>
              <w:bottom w:type="dxa" w:w="80"/>
              <w:right w:type="dxa" w:w="100"/>
            </w:tcMar>
            <w:vAlign w:val="top"/>
          </w:tcPr>
          <w:p>
            <w:pPr>
              <w:spacing w:after="0"/>
            </w:pPr>
            <w:r>
              <w:rPr>
                <w:sz w:val="19"/>
                <w:szCs w:val="19"/>
              </w:rPr>
              <w:t xml:space="preserve">X-API-Key header, four-role RBAC (public_read, researcher, operator, admin); OIDC-shaped migration path documented but not yet implemented</w:t>
            </w:r>
          </w:p>
        </w:tc>
      </w:tr>
      <w:tr>
        <w:tc>
          <w:tcPr>
            <w:tcW w:type="dxa" w:w="2200"/>
            <w:tcMar>
              <w:top w:type="dxa" w:w="80"/>
              <w:left w:type="dxa" w:w="100"/>
              <w:bottom w:type="dxa" w:w="80"/>
              <w:right w:type="dxa" w:w="100"/>
            </w:tcMar>
            <w:vAlign w:val="top"/>
          </w:tcPr>
          <w:p>
            <w:pPr>
              <w:spacing w:after="0"/>
            </w:pPr>
            <w:r>
              <w:rPr>
                <w:sz w:val="19"/>
                <w:szCs w:val="19"/>
              </w:rPr>
              <w:t xml:space="preserve">Storage</w:t>
            </w:r>
          </w:p>
        </w:tc>
        <w:tc>
          <w:tcPr>
            <w:tcW w:type="dxa" w:w="7160"/>
            <w:tcMar>
              <w:top w:type="dxa" w:w="80"/>
              <w:left w:type="dxa" w:w="100"/>
              <w:bottom w:type="dxa" w:w="80"/>
              <w:right w:type="dxa" w:w="100"/>
            </w:tcMar>
            <w:vAlign w:val="top"/>
          </w:tcPr>
          <w:p>
            <w:pPr>
              <w:spacing w:after="0"/>
            </w:pPr>
            <w:r>
              <w:rPr>
                <w:sz w:val="19"/>
                <w:szCs w:val="19"/>
              </w:rPr>
              <w:t xml:space="preserve">Docker named volumes (TimescaleDB data); local data/ directory (never committed) for raw/interim/processed environmental data</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Infrastructure</w:t>
            </w:r>
          </w:p>
        </w:tc>
        <w:tc>
          <w:tcPr>
            <w:tcW w:type="dxa" w:w="7160"/>
            <w:shd w:fill="F5F8FC" w:val="clear"/>
            <w:tcMar>
              <w:top w:type="dxa" w:w="80"/>
              <w:left w:type="dxa" w:w="100"/>
              <w:bottom w:type="dxa" w:w="80"/>
              <w:right w:type="dxa" w:w="100"/>
            </w:tcMar>
            <w:vAlign w:val="top"/>
          </w:tcPr>
          <w:p>
            <w:pPr>
              <w:spacing w:after="0"/>
            </w:pPr>
            <w:r>
              <w:rPr>
                <w:sz w:val="19"/>
                <w:szCs w:val="19"/>
              </w:rPr>
              <w:t xml:space="preserve">Docker Compose (local/demo), Dockerfiles for API and web; Kubernetes manifests deferred (infra/k8s)</w:t>
            </w:r>
          </w:p>
        </w:tc>
      </w:tr>
      <w:tr>
        <w:tc>
          <w:tcPr>
            <w:tcW w:type="dxa" w:w="2200"/>
            <w:tcMar>
              <w:top w:type="dxa" w:w="80"/>
              <w:left w:type="dxa" w:w="100"/>
              <w:bottom w:type="dxa" w:w="80"/>
              <w:right w:type="dxa" w:w="100"/>
            </w:tcMar>
            <w:vAlign w:val="top"/>
          </w:tcPr>
          <w:p>
            <w:pPr>
              <w:spacing w:after="0"/>
            </w:pPr>
            <w:r>
              <w:rPr>
                <w:sz w:val="19"/>
                <w:szCs w:val="19"/>
              </w:rPr>
              <w:t xml:space="preserve">DevOps</w:t>
            </w:r>
          </w:p>
        </w:tc>
        <w:tc>
          <w:tcPr>
            <w:tcW w:type="dxa" w:w="7160"/>
            <w:tcMar>
              <w:top w:type="dxa" w:w="80"/>
              <w:left w:type="dxa" w:w="100"/>
              <w:bottom w:type="dxa" w:w="80"/>
              <w:right w:type="dxa" w:w="100"/>
            </w:tcMar>
            <w:vAlign w:val="top"/>
          </w:tcPr>
          <w:p>
            <w:pPr>
              <w:spacing w:after="0"/>
            </w:pPr>
            <w:r>
              <w:rPr>
                <w:sz w:val="19"/>
                <w:szCs w:val="19"/>
              </w:rPr>
              <w:t xml:space="preserve">GitHub Actions (ci.yml, codeql.yml, frontend.yml), uv (Python env/package management), pnpm (frontend package management), pre-commit hooks</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Testing</w:t>
            </w:r>
          </w:p>
        </w:tc>
        <w:tc>
          <w:tcPr>
            <w:tcW w:type="dxa" w:w="7160"/>
            <w:shd w:fill="F5F8FC" w:val="clear"/>
            <w:tcMar>
              <w:top w:type="dxa" w:w="80"/>
              <w:left w:type="dxa" w:w="100"/>
              <w:bottom w:type="dxa" w:w="80"/>
              <w:right w:type="dxa" w:w="100"/>
            </w:tcMar>
            <w:vAlign w:val="top"/>
          </w:tcPr>
          <w:p>
            <w:pPr>
              <w:spacing w:after="0"/>
            </w:pPr>
            <w:r>
              <w:rPr>
                <w:sz w:val="19"/>
                <w:szCs w:val="19"/>
              </w:rPr>
              <w:t xml:space="preserve">pytest, pytest-cov, pytest-randomly, hypothesis (property testing), schemathesis (API fuzzing), httpx; Vitest, Testing Library, Playwright, axe-core</w:t>
            </w:r>
          </w:p>
        </w:tc>
      </w:tr>
      <w:tr>
        <w:tc>
          <w:tcPr>
            <w:tcW w:type="dxa" w:w="2200"/>
            <w:tcMar>
              <w:top w:type="dxa" w:w="80"/>
              <w:left w:type="dxa" w:w="100"/>
              <w:bottom w:type="dxa" w:w="80"/>
              <w:right w:type="dxa" w:w="100"/>
            </w:tcMar>
            <w:vAlign w:val="top"/>
          </w:tcPr>
          <w:p>
            <w:pPr>
              <w:spacing w:after="0"/>
            </w:pPr>
            <w:r>
              <w:rPr>
                <w:sz w:val="19"/>
                <w:szCs w:val="19"/>
              </w:rPr>
              <w:t xml:space="preserve">Visualization</w:t>
            </w:r>
          </w:p>
        </w:tc>
        <w:tc>
          <w:tcPr>
            <w:tcW w:type="dxa" w:w="7160"/>
            <w:tcMar>
              <w:top w:type="dxa" w:w="80"/>
              <w:left w:type="dxa" w:w="100"/>
              <w:bottom w:type="dxa" w:w="80"/>
              <w:right w:type="dxa" w:w="100"/>
            </w:tcMar>
            <w:vAlign w:val="top"/>
          </w:tcPr>
          <w:p>
            <w:pPr>
              <w:spacing w:after="0"/>
            </w:pPr>
            <w:r>
              <w:rPr>
                <w:sz w:val="19"/>
                <w:szCs w:val="19"/>
              </w:rPr>
              <w:t xml:space="preserve">Recharts (trust/quality charts), MapLibre GL (network map, wind edges, attention overlay), Rich (CLI console output)</w:t>
            </w:r>
          </w:p>
        </w:tc>
      </w:tr>
      <w:tr>
        <w:tc>
          <w:tcPr>
            <w:tcW w:type="dxa" w:w="2200"/>
            <w:shd w:fill="F5F8FC" w:val="clear"/>
            <w:tcMar>
              <w:top w:type="dxa" w:w="80"/>
              <w:left w:type="dxa" w:w="100"/>
              <w:bottom w:type="dxa" w:w="80"/>
              <w:right w:type="dxa" w:w="100"/>
            </w:tcMar>
            <w:vAlign w:val="top"/>
          </w:tcPr>
          <w:p>
            <w:pPr>
              <w:spacing w:after="0"/>
            </w:pPr>
            <w:r>
              <w:rPr>
                <w:sz w:val="19"/>
                <w:szCs w:val="19"/>
              </w:rPr>
              <w:t xml:space="preserve">External Services / Feeds</w:t>
            </w:r>
          </w:p>
        </w:tc>
        <w:tc>
          <w:tcPr>
            <w:tcW w:type="dxa" w:w="7160"/>
            <w:shd w:fill="F5F8FC" w:val="clear"/>
            <w:tcMar>
              <w:top w:type="dxa" w:w="80"/>
              <w:left w:type="dxa" w:w="100"/>
              <w:bottom w:type="dxa" w:w="80"/>
              <w:right w:type="dxa" w:w="100"/>
            </w:tcMar>
            <w:vAlign w:val="top"/>
          </w:tcPr>
          <w:p>
            <w:pPr>
              <w:spacing w:after="0"/>
            </w:pPr>
            <w:r>
              <w:rPr>
                <w:sz w:val="19"/>
                <w:szCs w:val="19"/>
              </w:rPr>
              <w:t xml:space="preserve">Green Sentinel export, Enclod traffic counters, HungaroMet weather, DKV GTFS (Volan Egyesules) — all offline file drops</w:t>
            </w:r>
          </w:p>
        </w:tc>
      </w:tr>
      <w:tr>
        <w:tc>
          <w:tcPr>
            <w:tcW w:type="dxa" w:w="2200"/>
            <w:tcMar>
              <w:top w:type="dxa" w:w="80"/>
              <w:left w:type="dxa" w:w="100"/>
              <w:bottom w:type="dxa" w:w="80"/>
              <w:right w:type="dxa" w:w="100"/>
            </w:tcMar>
            <w:vAlign w:val="top"/>
          </w:tcPr>
          <w:p>
            <w:pPr>
              <w:spacing w:after="0"/>
            </w:pPr>
            <w:r>
              <w:rPr>
                <w:sz w:val="19"/>
                <w:szCs w:val="19"/>
              </w:rPr>
              <w:t xml:space="preserve">Monitoring</w:t>
            </w:r>
          </w:p>
        </w:tc>
        <w:tc>
          <w:tcPr>
            <w:tcW w:type="dxa" w:w="7160"/>
            <w:tcMar>
              <w:top w:type="dxa" w:w="80"/>
              <w:left w:type="dxa" w:w="100"/>
              <w:bottom w:type="dxa" w:w="80"/>
              <w:right w:type="dxa" w:w="100"/>
            </w:tcMar>
            <w:vAlign w:val="top"/>
          </w:tcPr>
          <w:p>
            <w:pPr>
              <w:spacing w:after="0"/>
            </w:pPr>
            <w:r>
              <w:rPr>
                <w:sz w:val="19"/>
                <w:szCs w:val="19"/>
              </w:rPr>
              <w:t xml:space="preserve">Prometheus (/metrics scrape), Grafana (two dashboards: infra health, model drift)</w:t>
            </w:r>
          </w:p>
        </w:tc>
      </w:tr>
    </w:tbl>
    <w:p>
      <w:r>
        <w:br w:type="page"/>
      </w:r>
    </w:p>
    <w:p>
      <w:pPr>
        <w:pStyle w:val="Heading1"/>
        <w:spacing w:after="200" w:before="400"/>
      </w:pPr>
      <w:r>
        <w:t xml:space="preserve">28. List of Figures</w:t>
      </w:r>
    </w:p>
    <w:p>
      <w:pPr>
        <w:spacing w:after="160" w:line="276"/>
      </w:pPr>
      <w:r>
        <w:t xml:space="preserve">All architecture diagrams in this document were constructed directly from the reviewed source: router definitions, ORM models, docker-compose service topology, and the pipeline module structure. No diagram element represents an unverified or invented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shd w:fill="1B6AB8" w:val="clear"/>
            <w:tcMar>
              <w:top w:type="dxa" w:w="80"/>
              <w:left w:type="dxa" w:w="100"/>
              <w:bottom w:type="dxa" w:w="80"/>
              <w:right w:type="dxa" w:w="100"/>
            </w:tcMar>
            <w:vAlign w:val="top"/>
          </w:tcPr>
          <w:p>
            <w:pPr>
              <w:spacing w:after="0"/>
            </w:pPr>
            <w:r>
              <w:rPr>
                <w:b/>
                <w:bCs/>
                <w:color w:val="FFFFFF"/>
                <w:sz w:val="19"/>
                <w:szCs w:val="19"/>
              </w:rPr>
              <w:t xml:space="preserve">Figure</w:t>
            </w:r>
          </w:p>
        </w:tc>
        <w:tc>
          <w:tcPr>
            <w:tcW w:type="dxa" w:w="4700"/>
            <w:shd w:fill="1B6AB8" w:val="clear"/>
            <w:tcMar>
              <w:top w:type="dxa" w:w="80"/>
              <w:left w:type="dxa" w:w="100"/>
              <w:bottom w:type="dxa" w:w="80"/>
              <w:right w:type="dxa" w:w="100"/>
            </w:tcMar>
            <w:vAlign w:val="top"/>
          </w:tcPr>
          <w:p>
            <w:pPr>
              <w:spacing w:after="0"/>
            </w:pPr>
            <w:r>
              <w:rPr>
                <w:b/>
                <w:bCs/>
                <w:color w:val="FFFFFF"/>
                <w:sz w:val="19"/>
                <w:szCs w:val="19"/>
              </w:rPr>
              <w:t xml:space="preserve">Title</w:t>
            </w:r>
          </w:p>
        </w:tc>
        <w:tc>
          <w:tcPr>
            <w:tcW w:type="dxa" w:w="3060"/>
            <w:shd w:fill="1B6AB8" w:val="clear"/>
            <w:tcMar>
              <w:top w:type="dxa" w:w="80"/>
              <w:left w:type="dxa" w:w="100"/>
              <w:bottom w:type="dxa" w:w="80"/>
              <w:right w:type="dxa" w:w="100"/>
            </w:tcMar>
            <w:vAlign w:val="top"/>
          </w:tcPr>
          <w:p>
            <w:pPr>
              <w:spacing w:after="0"/>
            </w:pPr>
            <w:r>
              <w:rPr>
                <w:b/>
                <w:bCs/>
                <w:color w:val="FFFFFF"/>
                <w:sz w:val="19"/>
                <w:szCs w:val="19"/>
              </w:rPr>
              <w:t xml:space="preserve">Location</w:t>
            </w:r>
          </w:p>
        </w:tc>
      </w:tr>
      <w:tr>
        <w:tc>
          <w:tcPr>
            <w:tcW w:type="dxa" w:w="1600"/>
            <w:tcMar>
              <w:top w:type="dxa" w:w="80"/>
              <w:left w:type="dxa" w:w="100"/>
              <w:bottom w:type="dxa" w:w="80"/>
              <w:right w:type="dxa" w:w="100"/>
            </w:tcMar>
            <w:vAlign w:val="top"/>
          </w:tcPr>
          <w:p>
            <w:pPr>
              <w:spacing w:after="0"/>
            </w:pPr>
            <w:r>
              <w:rPr>
                <w:sz w:val="19"/>
                <w:szCs w:val="19"/>
              </w:rPr>
              <w:t xml:space="preserve">Figure 1</w:t>
            </w:r>
          </w:p>
        </w:tc>
        <w:tc>
          <w:tcPr>
            <w:tcW w:type="dxa" w:w="4700"/>
            <w:tcMar>
              <w:top w:type="dxa" w:w="80"/>
              <w:left w:type="dxa" w:w="100"/>
              <w:bottom w:type="dxa" w:w="80"/>
              <w:right w:type="dxa" w:w="100"/>
            </w:tcMar>
            <w:vAlign w:val="top"/>
          </w:tcPr>
          <w:p>
            <w:pPr>
              <w:spacing w:after="0"/>
            </w:pPr>
            <w:r>
              <w:rPr>
                <w:sz w:val="19"/>
                <w:szCs w:val="19"/>
              </w:rPr>
              <w:t xml:space="preserve">System Context Diagram</w:t>
            </w:r>
          </w:p>
        </w:tc>
        <w:tc>
          <w:tcPr>
            <w:tcW w:type="dxa" w:w="3060"/>
            <w:tcMar>
              <w:top w:type="dxa" w:w="80"/>
              <w:left w:type="dxa" w:w="100"/>
              <w:bottom w:type="dxa" w:w="80"/>
              <w:right w:type="dxa" w:w="100"/>
            </w:tcMar>
            <w:vAlign w:val="top"/>
          </w:tcPr>
          <w:p>
            <w:pPr>
              <w:spacing w:after="0"/>
            </w:pPr>
            <w:r>
              <w:rPr>
                <w:sz w:val="19"/>
                <w:szCs w:val="19"/>
              </w:rPr>
              <w:t xml:space="preserve">Section 3</w:t>
            </w:r>
          </w:p>
        </w:tc>
      </w:tr>
      <w:tr>
        <w:tc>
          <w:tcPr>
            <w:tcW w:type="dxa" w:w="1600"/>
            <w:shd w:fill="F5F8FC" w:val="clear"/>
            <w:tcMar>
              <w:top w:type="dxa" w:w="80"/>
              <w:left w:type="dxa" w:w="100"/>
              <w:bottom w:type="dxa" w:w="80"/>
              <w:right w:type="dxa" w:w="100"/>
            </w:tcMar>
            <w:vAlign w:val="top"/>
          </w:tcPr>
          <w:p>
            <w:pPr>
              <w:spacing w:after="0"/>
            </w:pPr>
            <w:r>
              <w:rPr>
                <w:sz w:val="19"/>
                <w:szCs w:val="19"/>
              </w:rPr>
              <w:t xml:space="preserve">Figure 2</w:t>
            </w:r>
          </w:p>
        </w:tc>
        <w:tc>
          <w:tcPr>
            <w:tcW w:type="dxa" w:w="4700"/>
            <w:shd w:fill="F5F8FC" w:val="clear"/>
            <w:tcMar>
              <w:top w:type="dxa" w:w="80"/>
              <w:left w:type="dxa" w:w="100"/>
              <w:bottom w:type="dxa" w:w="80"/>
              <w:right w:type="dxa" w:w="100"/>
            </w:tcMar>
            <w:vAlign w:val="top"/>
          </w:tcPr>
          <w:p>
            <w:pPr>
              <w:spacing w:after="0"/>
            </w:pPr>
            <w:r>
              <w:rPr>
                <w:sz w:val="19"/>
                <w:szCs w:val="19"/>
              </w:rPr>
              <w:t xml:space="preserve">High-Level Architecture</w:t>
            </w:r>
          </w:p>
        </w:tc>
        <w:tc>
          <w:tcPr>
            <w:tcW w:type="dxa" w:w="3060"/>
            <w:shd w:fill="F5F8FC" w:val="clear"/>
            <w:tcMar>
              <w:top w:type="dxa" w:w="80"/>
              <w:left w:type="dxa" w:w="100"/>
              <w:bottom w:type="dxa" w:w="80"/>
              <w:right w:type="dxa" w:w="100"/>
            </w:tcMar>
            <w:vAlign w:val="top"/>
          </w:tcPr>
          <w:p>
            <w:pPr>
              <w:spacing w:after="0"/>
            </w:pPr>
            <w:r>
              <w:rPr>
                <w:sz w:val="19"/>
                <w:szCs w:val="19"/>
              </w:rPr>
              <w:t xml:space="preserve">Section 4.1</w:t>
            </w:r>
          </w:p>
        </w:tc>
      </w:tr>
      <w:tr>
        <w:tc>
          <w:tcPr>
            <w:tcW w:type="dxa" w:w="1600"/>
            <w:tcMar>
              <w:top w:type="dxa" w:w="80"/>
              <w:left w:type="dxa" w:w="100"/>
              <w:bottom w:type="dxa" w:w="80"/>
              <w:right w:type="dxa" w:w="100"/>
            </w:tcMar>
            <w:vAlign w:val="top"/>
          </w:tcPr>
          <w:p>
            <w:pPr>
              <w:spacing w:after="0"/>
            </w:pPr>
            <w:r>
              <w:rPr>
                <w:sz w:val="19"/>
                <w:szCs w:val="19"/>
              </w:rPr>
              <w:t xml:space="preserve">Figure 3</w:t>
            </w:r>
          </w:p>
        </w:tc>
        <w:tc>
          <w:tcPr>
            <w:tcW w:type="dxa" w:w="4700"/>
            <w:tcMar>
              <w:top w:type="dxa" w:w="80"/>
              <w:left w:type="dxa" w:w="100"/>
              <w:bottom w:type="dxa" w:w="80"/>
              <w:right w:type="dxa" w:w="100"/>
            </w:tcMar>
            <w:vAlign w:val="top"/>
          </w:tcPr>
          <w:p>
            <w:pPr>
              <w:spacing w:after="0"/>
            </w:pPr>
            <w:r>
              <w:rPr>
                <w:sz w:val="19"/>
                <w:szCs w:val="19"/>
              </w:rPr>
              <w:t xml:space="preserve">Deployment Architecture</w:t>
            </w:r>
          </w:p>
        </w:tc>
        <w:tc>
          <w:tcPr>
            <w:tcW w:type="dxa" w:w="3060"/>
            <w:tcMar>
              <w:top w:type="dxa" w:w="80"/>
              <w:left w:type="dxa" w:w="100"/>
              <w:bottom w:type="dxa" w:w="80"/>
              <w:right w:type="dxa" w:w="100"/>
            </w:tcMar>
            <w:vAlign w:val="top"/>
          </w:tcPr>
          <w:p>
            <w:pPr>
              <w:spacing w:after="0"/>
            </w:pPr>
            <w:r>
              <w:rPr>
                <w:sz w:val="19"/>
                <w:szCs w:val="19"/>
              </w:rPr>
              <w:t xml:space="preserve">Section 4.9</w:t>
            </w:r>
          </w:p>
        </w:tc>
      </w:tr>
      <w:tr>
        <w:tc>
          <w:tcPr>
            <w:tcW w:type="dxa" w:w="1600"/>
            <w:shd w:fill="F5F8FC" w:val="clear"/>
            <w:tcMar>
              <w:top w:type="dxa" w:w="80"/>
              <w:left w:type="dxa" w:w="100"/>
              <w:bottom w:type="dxa" w:w="80"/>
              <w:right w:type="dxa" w:w="100"/>
            </w:tcMar>
            <w:vAlign w:val="top"/>
          </w:tcPr>
          <w:p>
            <w:pPr>
              <w:spacing w:after="0"/>
            </w:pPr>
            <w:r>
              <w:rPr>
                <w:sz w:val="19"/>
                <w:szCs w:val="19"/>
              </w:rPr>
              <w:t xml:space="preserve">Figure 4</w:t>
            </w:r>
          </w:p>
        </w:tc>
        <w:tc>
          <w:tcPr>
            <w:tcW w:type="dxa" w:w="4700"/>
            <w:shd w:fill="F5F8FC" w:val="clear"/>
            <w:tcMar>
              <w:top w:type="dxa" w:w="80"/>
              <w:left w:type="dxa" w:w="100"/>
              <w:bottom w:type="dxa" w:w="80"/>
              <w:right w:type="dxa" w:w="100"/>
            </w:tcMar>
            <w:vAlign w:val="top"/>
          </w:tcPr>
          <w:p>
            <w:pPr>
              <w:spacing w:after="0"/>
            </w:pPr>
            <w:r>
              <w:rPr>
                <w:sz w:val="19"/>
                <w:szCs w:val="19"/>
              </w:rPr>
              <w:t xml:space="preserve">Entity-Relationship Model</w:t>
            </w:r>
          </w:p>
        </w:tc>
        <w:tc>
          <w:tcPr>
            <w:tcW w:type="dxa" w:w="3060"/>
            <w:shd w:fill="F5F8FC" w:val="clear"/>
            <w:tcMar>
              <w:top w:type="dxa" w:w="80"/>
              <w:left w:type="dxa" w:w="100"/>
              <w:bottom w:type="dxa" w:w="80"/>
              <w:right w:type="dxa" w:w="100"/>
            </w:tcMar>
            <w:vAlign w:val="top"/>
          </w:tcPr>
          <w:p>
            <w:pPr>
              <w:spacing w:after="0"/>
            </w:pPr>
            <w:r>
              <w:rPr>
                <w:sz w:val="19"/>
                <w:szCs w:val="19"/>
              </w:rPr>
              <w:t xml:space="preserve">Section 8.5</w:t>
            </w:r>
          </w:p>
        </w:tc>
      </w:tr>
      <w:tr>
        <w:tc>
          <w:tcPr>
            <w:tcW w:type="dxa" w:w="1600"/>
            <w:tcMar>
              <w:top w:type="dxa" w:w="80"/>
              <w:left w:type="dxa" w:w="100"/>
              <w:bottom w:type="dxa" w:w="80"/>
              <w:right w:type="dxa" w:w="100"/>
            </w:tcMar>
            <w:vAlign w:val="top"/>
          </w:tcPr>
          <w:p>
            <w:pPr>
              <w:spacing w:after="0"/>
            </w:pPr>
            <w:r>
              <w:rPr>
                <w:sz w:val="19"/>
                <w:szCs w:val="19"/>
              </w:rPr>
              <w:t xml:space="preserve">Figure 5</w:t>
            </w:r>
          </w:p>
        </w:tc>
        <w:tc>
          <w:tcPr>
            <w:tcW w:type="dxa" w:w="4700"/>
            <w:tcMar>
              <w:top w:type="dxa" w:w="80"/>
              <w:left w:type="dxa" w:w="100"/>
              <w:bottom w:type="dxa" w:w="80"/>
              <w:right w:type="dxa" w:w="100"/>
            </w:tcMar>
            <w:vAlign w:val="top"/>
          </w:tcPr>
          <w:p>
            <w:pPr>
              <w:spacing w:after="0"/>
            </w:pPr>
            <w:r>
              <w:rPr>
                <w:sz w:val="19"/>
                <w:szCs w:val="19"/>
              </w:rPr>
              <w:t xml:space="preserve">Provenance Lifecycle</w:t>
            </w:r>
          </w:p>
        </w:tc>
        <w:tc>
          <w:tcPr>
            <w:tcW w:type="dxa" w:w="3060"/>
            <w:tcMar>
              <w:top w:type="dxa" w:w="80"/>
              <w:left w:type="dxa" w:w="100"/>
              <w:bottom w:type="dxa" w:w="80"/>
              <w:right w:type="dxa" w:w="100"/>
            </w:tcMar>
            <w:vAlign w:val="top"/>
          </w:tcPr>
          <w:p>
            <w:pPr>
              <w:spacing w:after="0"/>
            </w:pPr>
            <w:r>
              <w:rPr>
                <w:sz w:val="19"/>
                <w:szCs w:val="19"/>
              </w:rPr>
              <w:t xml:space="preserve">Section 10.1</w:t>
            </w:r>
          </w:p>
        </w:tc>
      </w:tr>
      <w:tr>
        <w:tc>
          <w:tcPr>
            <w:tcW w:type="dxa" w:w="1600"/>
            <w:shd w:fill="F5F8FC" w:val="clear"/>
            <w:tcMar>
              <w:top w:type="dxa" w:w="80"/>
              <w:left w:type="dxa" w:w="100"/>
              <w:bottom w:type="dxa" w:w="80"/>
              <w:right w:type="dxa" w:w="100"/>
            </w:tcMar>
            <w:vAlign w:val="top"/>
          </w:tcPr>
          <w:p>
            <w:pPr>
              <w:spacing w:after="0"/>
            </w:pPr>
            <w:r>
              <w:rPr>
                <w:sz w:val="19"/>
                <w:szCs w:val="19"/>
              </w:rPr>
              <w:t xml:space="preserve">Figure 6</w:t>
            </w:r>
          </w:p>
        </w:tc>
        <w:tc>
          <w:tcPr>
            <w:tcW w:type="dxa" w:w="4700"/>
            <w:shd w:fill="F5F8FC" w:val="clear"/>
            <w:tcMar>
              <w:top w:type="dxa" w:w="80"/>
              <w:left w:type="dxa" w:w="100"/>
              <w:bottom w:type="dxa" w:w="80"/>
              <w:right w:type="dxa" w:w="100"/>
            </w:tcMar>
            <w:vAlign w:val="top"/>
          </w:tcPr>
          <w:p>
            <w:pPr>
              <w:spacing w:after="0"/>
            </w:pPr>
            <w:r>
              <w:rPr>
                <w:sz w:val="19"/>
                <w:szCs w:val="19"/>
              </w:rPr>
              <w:t xml:space="preserve">Deployment Architecture (Kubernetes deferral detail)</w:t>
            </w:r>
          </w:p>
        </w:tc>
        <w:tc>
          <w:tcPr>
            <w:tcW w:type="dxa" w:w="3060"/>
            <w:shd w:fill="F5F8FC" w:val="clear"/>
            <w:tcMar>
              <w:top w:type="dxa" w:w="80"/>
              <w:left w:type="dxa" w:w="100"/>
              <w:bottom w:type="dxa" w:w="80"/>
              <w:right w:type="dxa" w:w="100"/>
            </w:tcMar>
            <w:vAlign w:val="top"/>
          </w:tcPr>
          <w:p>
            <w:pPr>
              <w:spacing w:after="0"/>
            </w:pPr>
            <w:r>
              <w:rPr>
                <w:sz w:val="19"/>
                <w:szCs w:val="19"/>
              </w:rPr>
              <w:t xml:space="preserve">Section 18.4</w:t>
            </w:r>
          </w:p>
        </w:tc>
      </w:tr>
    </w:tbl>
    <w:p>
      <w:r>
        <w:br w:type="page"/>
      </w:r>
    </w:p>
    <w:p>
      <w:pPr>
        <w:pStyle w:val="Heading1"/>
        <w:spacing w:after="200" w:before="400"/>
      </w:pPr>
      <w:r>
        <w:t xml:space="preserve">29. Executive Assessment</w:t>
      </w:r>
    </w:p>
    <w:p>
      <w:pPr>
        <w:pStyle w:val="Heading2"/>
        <w:spacing w:after="150" w:before="300"/>
      </w:pPr>
      <w:r>
        <w:t xml:space="preserve">29.1 Current Product Capabilities</w:t>
      </w:r>
    </w:p>
    <w:p>
      <w:pPr>
        <w:spacing w:after="160" w:line="276"/>
      </w:pPr>
      <w:r>
        <w:t xml:space="preserve">As implemented and verified against the repository, Provenance ingests multi-source environmental and contextual data with idempotent, checksum-based loading; runs a thirteen-detector defect audit that surfaces silent data-quality problems invisible to conventional completeness metrics; computes a fully explained, component-level Trust Score per station and time; adjudicates large events as real pollution versus sensor fault using a wind-conditioned graph model with an optional learned (HST-GAT) alternative and calibrated conformal intervals; deweathers pollutant series and classifies probable faults with an explainable ML model; and operates a maintenance queue, a risk-ranked Alert Centre, and a structurally enforced human sign-off gate for any public-facing dispatch — all behind a four-role, RBAC-gated REST API and a partially rendered React dashboard, with a reproducible regulatory export.</w:t>
      </w:r>
    </w:p>
    <w:p>
      <w:pPr>
        <w:pStyle w:val="Heading2"/>
        <w:spacing w:after="150" w:before="300"/>
      </w:pPr>
      <w:r>
        <w:t xml:space="preserve">29.2 Technical Strengths</w:t>
      </w:r>
    </w:p>
    <w:p>
      <w:pPr>
        <w:pStyle w:val="ListParagraph"/>
        <w:numPr>
          <w:ilvl w:val="0"/>
          <w:numId w:val="1"/>
        </w:numPr>
        <w:spacing w:after="80" w:line="264"/>
      </w:pPr>
      <w:r>
        <w:t xml:space="preserve">Evidence discipline is unusually strong for a competition project: every headline number carries its own definition; audit runs are reproducible by construction (code_version + config_hash + data_checksum); documentation is versioned and never edited in place.</w:t>
      </w:r>
    </w:p>
    <w:p>
      <w:pPr>
        <w:pStyle w:val="ListParagraph"/>
        <w:numPr>
          <w:ilvl w:val="0"/>
          <w:numId w:val="1"/>
        </w:numPr>
        <w:spacing w:after="80" w:line="264"/>
      </w:pPr>
      <w:r>
        <w:t xml:space="preserve">Structural (not merely policy) enforcement of critical guarantees: a static call-graph test makes the sign-off gate un-bypassable; database-level non-nullable columns enforce the 'never a bare score' guarantee; a layering test enforces the pipeline's dependency direction.</w:t>
      </w:r>
    </w:p>
    <w:p>
      <w:pPr>
        <w:pStyle w:val="ListParagraph"/>
        <w:numPr>
          <w:ilvl w:val="0"/>
          <w:numId w:val="1"/>
        </w:numPr>
        <w:spacing w:after="80" w:line="264"/>
      </w:pPr>
      <w:r>
        <w:t xml:space="preserve">Rigorous engineering gates: strict mypy typing, linting, an 88%+ coverage requirement (measured 90.57%), property-based and schema-fuzz testing, and a deterministic, network-egress-blocked demo mode.</w:t>
      </w:r>
    </w:p>
    <w:p>
      <w:pPr>
        <w:pStyle w:val="ListParagraph"/>
        <w:numPr>
          <w:ilvl w:val="0"/>
          <w:numId w:val="1"/>
        </w:numPr>
        <w:spacing w:after="80" w:line="264"/>
      </w:pPr>
      <w:r>
        <w:t xml:space="preserve">Honest self-documentation: the project's own phase reports and methodology documents proactively flag caveats (weight compression on real data, provisional zone classification, un-rendered operational screens) rather than glossing over them — the same discipline this SRS was asked to apply.</w:t>
      </w:r>
    </w:p>
    <w:p>
      <w:pPr>
        <w:pStyle w:val="Heading2"/>
        <w:spacing w:after="150" w:before="300"/>
      </w:pPr>
      <w:r>
        <w:t xml:space="preserve">29.3 Technical Gaps</w:t>
      </w:r>
    </w:p>
    <w:p>
      <w:pPr>
        <w:pStyle w:val="ListParagraph"/>
        <w:numPr>
          <w:ilvl w:val="0"/>
          <w:numId w:val="1"/>
        </w:numPr>
        <w:spacing w:after="80" w:line="264"/>
      </w:pPr>
      <w:r>
        <w:t xml:space="preserve">No numeric performance/availability SLA exists beyond a pass/fail concurrency smoke test.</w:t>
      </w:r>
    </w:p>
    <w:p>
      <w:pPr>
        <w:pStyle w:val="ListParagraph"/>
        <w:numPr>
          <w:ilvl w:val="0"/>
          <w:numId w:val="1"/>
        </w:numPr>
        <w:spacing w:after="80" w:line="264"/>
      </w:pPr>
      <w:r>
        <w:t xml:space="preserve">Authentication is a deliberately deferred static-key scheme, not yet the OIDC transport the role model is already shaped for.</w:t>
      </w:r>
    </w:p>
    <w:p>
      <w:pPr>
        <w:pStyle w:val="ListParagraph"/>
        <w:numPr>
          <w:ilvl w:val="0"/>
          <w:numId w:val="1"/>
        </w:numPr>
        <w:spacing w:after="80" w:line="264"/>
      </w:pPr>
      <w:r>
        <w:t xml:space="preserve">No production deployment path (Kubernetes, managed hosting, TLS/domain) is implemented; only a documented intent to build one later.</w:t>
      </w:r>
    </w:p>
    <w:p>
      <w:pPr>
        <w:pStyle w:val="Heading2"/>
        <w:spacing w:after="150" w:before="300"/>
      </w:pPr>
      <w:r>
        <w:t xml:space="preserve">29.4 Product Gaps</w:t>
      </w:r>
    </w:p>
    <w:p>
      <w:pPr>
        <w:pStyle w:val="ListParagraph"/>
        <w:numPr>
          <w:ilvl w:val="0"/>
          <w:numId w:val="1"/>
        </w:numPr>
        <w:spacing w:after="80" w:line="264"/>
      </w:pPr>
      <w:r>
        <w:t xml:space="preserve">Three operator-facing surfaces (Alert Centre, Admin, Maintenance Queue) are complete at the API/CLI layer but not yet reachable as rendered dashboard screens.</w:t>
      </w:r>
    </w:p>
    <w:p>
      <w:pPr>
        <w:pStyle w:val="ListParagraph"/>
        <w:numPr>
          <w:ilvl w:val="0"/>
          <w:numId w:val="1"/>
        </w:numPr>
        <w:spacing w:after="80" w:line="264"/>
      </w:pPr>
      <w:r>
        <w:t xml:space="preserve">The HST-GAT attention overlay is computed and exported but not yet visualised on the map.</w:t>
      </w:r>
    </w:p>
    <w:p>
      <w:pPr>
        <w:pStyle w:val="ListParagraph"/>
        <w:numPr>
          <w:ilvl w:val="0"/>
          <w:numId w:val="1"/>
        </w:numPr>
        <w:spacing w:after="80" w:line="264"/>
      </w:pPr>
      <w:r>
        <w:t xml:space="preserve">The Trust Score's weights remain expert-elicited rather than statistically fitted, for the documented reason that no labelled event dataset yet exists.</w:t>
      </w:r>
    </w:p>
    <w:p>
      <w:pPr>
        <w:pStyle w:val="Heading2"/>
        <w:spacing w:after="150" w:before="300"/>
      </w:pPr>
      <w:r>
        <w:t xml:space="preserve">29.5 Recommended Next Five Requirements</w:t>
      </w:r>
    </w:p>
    <w:p>
      <w:pPr>
        <w:pStyle w:val="ListParagraph"/>
        <w:numPr>
          <w:ilvl w:val="0"/>
          <w:numId w:val="1"/>
        </w:numPr>
        <w:spacing w:after="80" w:line="264"/>
      </w:pPr>
      <w:r>
        <w:t xml:space="preserve">1. Render the Alert Centre, Admin Dashboard, and Maintenance Queue as reachable screens with a deliberate visual-baseline update (closes the largest gap between documented capability and demonstrable capability).</w:t>
      </w:r>
    </w:p>
    <w:p>
      <w:pPr>
        <w:pStyle w:val="ListParagraph"/>
        <w:numPr>
          <w:ilvl w:val="0"/>
          <w:numId w:val="1"/>
        </w:numPr>
        <w:spacing w:after="80" w:line="264"/>
      </w:pPr>
      <w:r>
        <w:t xml:space="preserve">2. Confirm and rehearse the headline adjudication narrative (e.g., KER11) against the exact dataset that will be presented, resolving the documented synthetic-vs-real verdict discrepancy.</w:t>
      </w:r>
    </w:p>
    <w:p>
      <w:pPr>
        <w:pStyle w:val="ListParagraph"/>
        <w:numPr>
          <w:ilvl w:val="0"/>
          <w:numId w:val="1"/>
        </w:numPr>
        <w:spacing w:after="80" w:line="264"/>
      </w:pPr>
      <w:r>
        <w:t xml:space="preserve">3. Render the HST-GAT attention overlay on the network map to make the graph adjudicator's reasoning visible, not only queryable.</w:t>
      </w:r>
    </w:p>
    <w:p>
      <w:pPr>
        <w:pStyle w:val="ListParagraph"/>
        <w:numPr>
          <w:ilvl w:val="0"/>
          <w:numId w:val="1"/>
        </w:numPr>
        <w:spacing w:after="80" w:line="264"/>
      </w:pPr>
      <w:r>
        <w:t xml:space="preserve">4. Define and test explicit performance/availability targets beyond the current smoke test, ahead of any deployment broader than a single-machine demo.</w:t>
      </w:r>
    </w:p>
    <w:p>
      <w:pPr>
        <w:pStyle w:val="ListParagraph"/>
        <w:numPr>
          <w:ilvl w:val="0"/>
          <w:numId w:val="1"/>
        </w:numPr>
        <w:spacing w:after="80" w:line="264"/>
      </w:pPr>
      <w:r>
        <w:t xml:space="preserve">5. Begin collecting or synthesising a labelled event dataset to unblock the planned v2 logistic refit of the Trust Score weights.</w:t>
      </w:r>
    </w:p>
    <w:p>
      <w:pPr>
        <w:pStyle w:val="Heading2"/>
        <w:spacing w:after="150" w:before="300"/>
      </w:pPr>
      <w:r>
        <w:t xml:space="preserve">29.6 Technical Maturity</w:t>
      </w:r>
    </w:p>
    <w:p>
      <w:pPr>
        <w:spacing w:after="160" w:line="276"/>
      </w:pPr>
      <w:r>
        <w:t xml:space="preserve">Classification: MVP, trending toward Production-ready for its demo/competition scope.</w:t>
      </w:r>
    </w:p>
    <w:p>
      <w:pPr>
        <w:spacing w:after="160" w:line="276"/>
      </w:pPr>
      <w:r>
        <w:t xml:space="preserve">Rationale: the system exceeds typical MVP rigor in its testing discipline (strict typing, 90%+ coverage, property-based and API-fuzz testing, architecture-invariant tests, CI gates on every push), its reproducibility guarantees (hash-chained audit runs, versioned documentation), and its structural safety guarantee (the un-bypassable sign-off gate) — characteristics more commonly associated with production-hardened systems. It falls short of full Production-ready or Enterprise-ready status because: (a) it has no numeric performance/availability SLA or sustained-load testing beyond a smoke test; (b) authentication is a static-key scheme with a documented but unexecuted OIDC migration; (c) it has no production hosting, TLS, or Kubernetes deployment — only Docker Compose for local/demo use; and (d) three operator-facing dashboard screens exist at the API layer only. These are consistent with a system built to be an outstanding, technically rigorous competition entry and a credible MVP foundation, not yet a hardened, horizontally scalable, multi-tenant production service.</w:t>
      </w:r>
    </w:p>
    <w:p>
      <w:r>
        <w:br w:type="page"/>
      </w:r>
    </w:p>
    <w:p>
      <w:pPr>
        <w:pStyle w:val="Heading1"/>
        <w:spacing w:after="200" w:before="400"/>
      </w:pPr>
      <w:r>
        <w:t xml:space="preserve">Appendix A — Reason Code Registry (Categories)</w:t>
      </w:r>
    </w:p>
    <w:p>
      <w:pPr>
        <w:spacing w:after="160" w:line="276"/>
      </w:pPr>
      <w:r>
        <w:t xml:space="preserve">The full registry (config/reason_codes.py) defines R01–R23 (audit/detector findings) and T00–T06 (adjudication/trust findings), each with a description and a counts_toward_rate flag. Representative codes referenced elsewhere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1B6AB8" w:val="clear"/>
            <w:tcMar>
              <w:top w:type="dxa" w:w="80"/>
              <w:left w:type="dxa" w:w="100"/>
              <w:bottom w:type="dxa" w:w="80"/>
              <w:right w:type="dxa" w:w="100"/>
            </w:tcMar>
            <w:vAlign w:val="top"/>
          </w:tcPr>
          <w:p>
            <w:pPr>
              <w:spacing w:after="0"/>
            </w:pPr>
            <w:r>
              <w:rPr>
                <w:b/>
                <w:bCs/>
                <w:color w:val="FFFFFF"/>
                <w:sz w:val="19"/>
                <w:szCs w:val="19"/>
              </w:rPr>
              <w:t xml:space="preserve">Code</w:t>
            </w:r>
          </w:p>
        </w:tc>
        <w:tc>
          <w:tcPr>
            <w:tcW w:type="dxa" w:w="2400"/>
            <w:shd w:fill="1B6AB8" w:val="clear"/>
            <w:tcMar>
              <w:top w:type="dxa" w:w="80"/>
              <w:left w:type="dxa" w:w="100"/>
              <w:bottom w:type="dxa" w:w="80"/>
              <w:right w:type="dxa" w:w="100"/>
            </w:tcMar>
            <w:vAlign w:val="top"/>
          </w:tcPr>
          <w:p>
            <w:pPr>
              <w:spacing w:after="0"/>
            </w:pPr>
            <w:r>
              <w:rPr>
                <w:b/>
                <w:bCs/>
                <w:color w:val="FFFFFF"/>
                <w:sz w:val="19"/>
                <w:szCs w:val="19"/>
              </w:rPr>
              <w:t xml:space="preserve">Category</w:t>
            </w:r>
          </w:p>
        </w:tc>
        <w:tc>
          <w:tcPr>
            <w:tcW w:type="dxa" w:w="5560"/>
            <w:shd w:fill="1B6AB8" w:val="clear"/>
            <w:tcMar>
              <w:top w:type="dxa" w:w="80"/>
              <w:left w:type="dxa" w:w="100"/>
              <w:bottom w:type="dxa" w:w="80"/>
              <w:right w:type="dxa" w:w="100"/>
            </w:tcMar>
            <w:vAlign w:val="top"/>
          </w:tcPr>
          <w:p>
            <w:pPr>
              <w:spacing w:after="0"/>
            </w:pPr>
            <w:r>
              <w:rPr>
                <w:b/>
                <w:bCs/>
                <w:color w:val="FFFFFF"/>
                <w:sz w:val="19"/>
                <w:szCs w:val="19"/>
              </w:rPr>
              <w:t xml:space="preserve">Meaning (as referenced in this document)</w:t>
            </w:r>
          </w:p>
        </w:tc>
      </w:tr>
      <w:tr>
        <w:tc>
          <w:tcPr>
            <w:tcW w:type="dxa" w:w="1400"/>
            <w:tcMar>
              <w:top w:type="dxa" w:w="80"/>
              <w:left w:type="dxa" w:w="100"/>
              <w:bottom w:type="dxa" w:w="80"/>
              <w:right w:type="dxa" w:w="100"/>
            </w:tcMar>
            <w:vAlign w:val="top"/>
          </w:tcPr>
          <w:p>
            <w:pPr>
              <w:spacing w:after="0"/>
            </w:pPr>
            <w:r>
              <w:rPr>
                <w:sz w:val="19"/>
                <w:szCs w:val="19"/>
              </w:rPr>
              <w:t xml:space="preserve">R01</w:t>
            </w:r>
          </w:p>
        </w:tc>
        <w:tc>
          <w:tcPr>
            <w:tcW w:type="dxa" w:w="2400"/>
            <w:tcMar>
              <w:top w:type="dxa" w:w="80"/>
              <w:left w:type="dxa" w:w="100"/>
              <w:bottom w:type="dxa" w:w="80"/>
              <w:right w:type="dxa" w:w="100"/>
            </w:tcMar>
            <w:vAlign w:val="top"/>
          </w:tcPr>
          <w:p>
            <w:pPr>
              <w:spacing w:after="0"/>
            </w:pPr>
            <w:r>
              <w:rPr>
                <w:sz w:val="19"/>
                <w:szCs w:val="19"/>
              </w:rPr>
              <w:t xml:space="preserve">Audit</w:t>
            </w:r>
          </w:p>
        </w:tc>
        <w:tc>
          <w:tcPr>
            <w:tcW w:type="dxa" w:w="5560"/>
            <w:tcMar>
              <w:top w:type="dxa" w:w="80"/>
              <w:left w:type="dxa" w:w="100"/>
              <w:bottom w:type="dxa" w:w="80"/>
              <w:right w:type="dxa" w:w="100"/>
            </w:tcMar>
            <w:vAlign w:val="top"/>
          </w:tcPr>
          <w:p>
            <w:pPr>
              <w:spacing w:after="0"/>
            </w:pPr>
            <w:r>
              <w:rPr>
                <w:sz w:val="19"/>
                <w:szCs w:val="19"/>
              </w:rPr>
              <w:t xml:space="preserve">Row absent — a reading structurally expected but missing from the grid; 48.97% of the real-export headline defect count per CHANGELOG.md.</w:t>
            </w:r>
          </w:p>
        </w:tc>
      </w:tr>
      <w:tr>
        <w:tc>
          <w:tcPr>
            <w:tcW w:type="dxa" w:w="1400"/>
            <w:shd w:fill="F5F8FC" w:val="clear"/>
            <w:tcMar>
              <w:top w:type="dxa" w:w="80"/>
              <w:left w:type="dxa" w:w="100"/>
              <w:bottom w:type="dxa" w:w="80"/>
              <w:right w:type="dxa" w:w="100"/>
            </w:tcMar>
            <w:vAlign w:val="top"/>
          </w:tcPr>
          <w:p>
            <w:pPr>
              <w:spacing w:after="0"/>
            </w:pPr>
            <w:r>
              <w:rPr>
                <w:sz w:val="19"/>
                <w:szCs w:val="19"/>
              </w:rPr>
              <w:t xml:space="preserve">R11</w:t>
            </w:r>
          </w:p>
        </w:tc>
        <w:tc>
          <w:tcPr>
            <w:tcW w:type="dxa" w:w="2400"/>
            <w:shd w:fill="F5F8FC" w:val="clear"/>
            <w:tcMar>
              <w:top w:type="dxa" w:w="80"/>
              <w:left w:type="dxa" w:w="100"/>
              <w:bottom w:type="dxa" w:w="80"/>
              <w:right w:type="dxa" w:w="100"/>
            </w:tcMar>
            <w:vAlign w:val="top"/>
          </w:tcPr>
          <w:p>
            <w:pPr>
              <w:spacing w:after="0"/>
            </w:pPr>
            <w:r>
              <w:rPr>
                <w:sz w:val="19"/>
                <w:szCs w:val="19"/>
              </w:rPr>
              <w:t xml:space="preserve">Audit</w:t>
            </w:r>
          </w:p>
        </w:tc>
        <w:tc>
          <w:tcPr>
            <w:tcW w:type="dxa" w:w="5560"/>
            <w:shd w:fill="F5F8FC" w:val="clear"/>
            <w:tcMar>
              <w:top w:type="dxa" w:w="80"/>
              <w:left w:type="dxa" w:w="100"/>
              <w:bottom w:type="dxa" w:w="80"/>
              <w:right w:type="dxa" w:w="100"/>
            </w:tcMar>
            <w:vAlign w:val="top"/>
          </w:tcPr>
          <w:p>
            <w:pPr>
              <w:spacing w:after="0"/>
            </w:pPr>
            <w:r>
              <w:rPr>
                <w:sz w:val="19"/>
                <w:szCs w:val="19"/>
              </w:rPr>
              <w:t xml:space="preserve">NO detection-limit floor / left-censoring (2,111 flags on the real export).</w:t>
            </w:r>
          </w:p>
        </w:tc>
      </w:tr>
      <w:tr>
        <w:tc>
          <w:tcPr>
            <w:tcW w:type="dxa" w:w="1400"/>
            <w:tcMar>
              <w:top w:type="dxa" w:w="80"/>
              <w:left w:type="dxa" w:w="100"/>
              <w:bottom w:type="dxa" w:w="80"/>
              <w:right w:type="dxa" w:w="100"/>
            </w:tcMar>
            <w:vAlign w:val="top"/>
          </w:tcPr>
          <w:p>
            <w:pPr>
              <w:spacing w:after="0"/>
            </w:pPr>
            <w:r>
              <w:rPr>
                <w:sz w:val="19"/>
                <w:szCs w:val="19"/>
              </w:rPr>
              <w:t xml:space="preserve">R12</w:t>
            </w:r>
          </w:p>
        </w:tc>
        <w:tc>
          <w:tcPr>
            <w:tcW w:type="dxa" w:w="2400"/>
            <w:tcMar>
              <w:top w:type="dxa" w:w="80"/>
              <w:left w:type="dxa" w:w="100"/>
              <w:bottom w:type="dxa" w:w="80"/>
              <w:right w:type="dxa" w:w="100"/>
            </w:tcMar>
            <w:vAlign w:val="top"/>
          </w:tcPr>
          <w:p>
            <w:pPr>
              <w:spacing w:after="0"/>
            </w:pPr>
            <w:r>
              <w:rPr>
                <w:sz w:val="19"/>
                <w:szCs w:val="19"/>
              </w:rPr>
              <w:t xml:space="preserve">Audit</w:t>
            </w:r>
          </w:p>
        </w:tc>
        <w:tc>
          <w:tcPr>
            <w:tcW w:type="dxa" w:w="5560"/>
            <w:tcMar>
              <w:top w:type="dxa" w:w="80"/>
              <w:left w:type="dxa" w:w="100"/>
              <w:bottom w:type="dxa" w:w="80"/>
              <w:right w:type="dxa" w:w="100"/>
            </w:tcMar>
            <w:vAlign w:val="top"/>
          </w:tcPr>
          <w:p>
            <w:pPr>
              <w:spacing w:after="0"/>
            </w:pPr>
            <w:r>
              <w:rPr>
                <w:sz w:val="19"/>
                <w:szCs w:val="19"/>
              </w:rPr>
              <w:t xml:space="preserve">Frozen sensor — zero/near-zero variance over a run of readings (12,194 flags across 13 stations on the real export).</w:t>
            </w:r>
          </w:p>
        </w:tc>
      </w:tr>
      <w:tr>
        <w:tc>
          <w:tcPr>
            <w:tcW w:type="dxa" w:w="1400"/>
            <w:shd w:fill="F5F8FC" w:val="clear"/>
            <w:tcMar>
              <w:top w:type="dxa" w:w="80"/>
              <w:left w:type="dxa" w:w="100"/>
              <w:bottom w:type="dxa" w:w="80"/>
              <w:right w:type="dxa" w:w="100"/>
            </w:tcMar>
            <w:vAlign w:val="top"/>
          </w:tcPr>
          <w:p>
            <w:pPr>
              <w:spacing w:after="0"/>
            </w:pPr>
            <w:r>
              <w:rPr>
                <w:sz w:val="19"/>
                <w:szCs w:val="19"/>
              </w:rPr>
              <w:t xml:space="preserve">T04</w:t>
            </w:r>
          </w:p>
        </w:tc>
        <w:tc>
          <w:tcPr>
            <w:tcW w:type="dxa" w:w="2400"/>
            <w:shd w:fill="F5F8FC" w:val="clear"/>
            <w:tcMar>
              <w:top w:type="dxa" w:w="80"/>
              <w:left w:type="dxa" w:w="100"/>
              <w:bottom w:type="dxa" w:w="80"/>
              <w:right w:type="dxa" w:w="100"/>
            </w:tcMar>
            <w:vAlign w:val="top"/>
          </w:tcPr>
          <w:p>
            <w:pPr>
              <w:spacing w:after="0"/>
            </w:pPr>
            <w:r>
              <w:rPr>
                <w:sz w:val="19"/>
                <w:szCs w:val="19"/>
              </w:rPr>
              <w:t xml:space="preserve">Trust / Adjudication</w:t>
            </w:r>
          </w:p>
        </w:tc>
        <w:tc>
          <w:tcPr>
            <w:tcW w:type="dxa" w:w="5560"/>
            <w:shd w:fill="F5F8FC" w:val="clear"/>
            <w:tcMar>
              <w:top w:type="dxa" w:w="80"/>
              <w:left w:type="dxa" w:w="100"/>
              <w:bottom w:type="dxa" w:w="80"/>
              <w:right w:type="dxa" w:w="100"/>
            </w:tcMar>
            <w:vAlign w:val="top"/>
          </w:tcPr>
          <w:p>
            <w:pPr>
              <w:spacing w:after="0"/>
            </w:pPr>
            <w:r>
              <w:rPr>
                <w:sz w:val="19"/>
                <w:szCs w:val="19"/>
              </w:rPr>
              <w:t xml:space="preserve">Physical implausibility — drives PhysicalPlausibility to 0 in the Trust Score; the KER11 4100.7 microg/m3 PM10 event's code on the real export.</w:t>
            </w:r>
          </w:p>
        </w:tc>
      </w:tr>
    </w:tbl>
    <w:p>
      <w:pPr>
        <w:spacing w:after="200" w:before="80"/>
      </w:pPr>
      <w:r>
        <w:rPr>
          <w:b/>
          <w:bCs/>
          <w:i/>
          <w:iCs/>
          <w:sz w:val="20"/>
          <w:szCs w:val="20"/>
        </w:rPr>
        <w:t xml:space="preserve">Note: </w:t>
      </w:r>
      <w:r>
        <w:rPr>
          <w:i/>
          <w:iCs/>
          <w:color w:val="4A5568"/>
          <w:sz w:val="20"/>
          <w:szCs w:val="20"/>
        </w:rPr>
        <w:t xml:space="preserve">This is a representative excerpt, not the full registry. Run `prov codes list` against the repository for the complete, current set.</w:t>
      </w:r>
    </w:p>
    <w:p>
      <w:pPr>
        <w:pStyle w:val="Heading1"/>
        <w:spacing w:after="200" w:before="400"/>
      </w:pPr>
      <w:r>
        <w:t xml:space="preserve">Appendix B — Prepared By and Methodology</w:t>
      </w:r>
    </w:p>
    <w:p>
      <w:pPr>
        <w:spacing w:after="160" w:line="276"/>
      </w:pPr>
      <w:r>
        <w:t xml:space="preserve">This SRS was prepared by a structured review of the public Provenance repository (github.com/Kenastark/Provenance) as of 24 August 2026: cloning the repository; reading the README, CLAUDE.md, and SETUP.md; enumerating and reading the backend pipeline modules, API routers, authentication and dependency layers, and ORM models; enumerating the frontend feature and component structure and package manifest; reading CI workflow definitions, Docker/Compose/Kubernetes configuration; and reading the versioned documentation set (architecture decision records, model cards, trust-score and audit methodology documents, phase reports, the KER11 adjudication case study, and the changelog). No application code, deployment script, or infrastructure command was executed as part of this review; all findings are based on static reading of source and documentation. Every substantive technical claim in this document cites the specific file(s) that support it.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color w:val="718096"/>
        <w:sz w:val="16"/>
        <w:szCs w:val="16"/>
      </w:rPr>
      <w:t xml:space="preserve">Page </w:t>
    </w:r>
    <w:r>
      <w:rPr>
        <w:color w:val="718096"/>
        <w:sz w:val="16"/>
        <w:szCs w:val="16"/>
      </w:rPr>
      <w:fldChar w:fldCharType="begin"/>
      <w:instrText xml:space="preserve">PAGE</w:instrText>
      <w:fldChar w:fldCharType="separate"/>
      <w:fldChar w:fldCharType="end"/>
    </w:r>
    <w:r>
      <w:rPr>
        <w:color w:val="718096"/>
        <w:sz w:val="16"/>
        <w:szCs w:val="16"/>
      </w:rPr>
      <w:t xml:space="preserve"> of </w:t>
    </w:r>
    <w:r>
      <w:rPr>
        <w:color w:val="718096"/>
        <w:sz w:val="16"/>
        <w:szCs w:val="16"/>
      </w:rPr>
      <w:fldChar w:fldCharType="begin"/>
      <w:instrText xml:space="preserve">NUMPAGES</w:instrText>
      <w:fldChar w:fldCharType="separate"/>
      <w:fldChar w:fldCharType="end"/>
    </w:r>
    <w:r>
      <w:rPr>
        <w:color w:val="718096"/>
        <w:sz w:val="16"/>
        <w:szCs w:val="16"/>
      </w:rPr>
      <w:t xml:space="preserve">   |   Provenance SRS v1.0   |   24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color w:val="718096"/>
        <w:sz w:val="16"/>
        <w:szCs w:val="16"/>
      </w:rPr>
      <w:t xml:space="preserve">Provenance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AB8" w:sz="6" w:space="4"/>
      </w:pBdr>
      <w:spacing w:after="200" w:before="360"/>
      <w:outlineLvl w:val="0"/>
    </w:pPr>
    <w:rPr>
      <w:rFonts w:ascii="Calibri" w:cs="Calibri" w:eastAsia="Calibri" w:hAnsi="Calibri"/>
      <w:b/>
      <w:bCs/>
      <w:color w:val="1B6AB8"/>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6324F"/>
      <w:sz w:val="25"/>
      <w:szCs w:val="25"/>
    </w:rPr>
  </w:style>
  <w:style w:type="paragraph" w:styleId="Heading3">
    <w:name w:val="Heading 3"/>
    <w:basedOn w:val="Normal"/>
    <w:next w:val="Normal"/>
    <w:qFormat/>
    <w:pPr>
      <w:spacing w:after="100" w:before="220"/>
      <w:outlineLvl w:val="2"/>
    </w:pPr>
    <w:rPr>
      <w:rFonts w:ascii="Calibri" w:cs="Calibri" w:eastAsia="Calibri" w:hAnsi="Calibri"/>
      <w:b/>
      <w:bCs/>
      <w:i w:val="false"/>
      <w:iCs w:val="false"/>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3678990676b0228520d6eeecdcba48644cfec0.png"/><Relationship Id="rId10" Type="http://schemas.openxmlformats.org/officeDocument/2006/relationships/image" Target="media/aff6e452df9780b809553fcd752de29c32276fd9.png"/><Relationship Id="rId11" Type="http://schemas.openxmlformats.org/officeDocument/2006/relationships/image" Target="media/93a7ab7e90b047bb0dc39e44e65ab09e1b742de5.png"/><Relationship Id="rId12" Type="http://schemas.openxmlformats.org/officeDocument/2006/relationships/image" Target="media/12425733292a52c304e5d22c122faba1f374ca80.png"/><Relationship Id="rId13" Type="http://schemas.openxmlformats.org/officeDocument/2006/relationships/image" Target="media/9d650c3255fe9eac03e90d4bfae7329286c4271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 — Software Requirements Specification</dc:title>
  <dc:creator>Provenance SRS Generator</dc:creator>
  <dc:description>Software Requirements Specification for Provenance, an AI trust layer for environmental data</dc:description>
  <cp:lastModifiedBy>Un-named</cp:lastModifiedBy>
  <cp:revision>1</cp:revision>
  <dcterms:created xsi:type="dcterms:W3CDTF">2026-08-24T20:37:30.082Z</dcterms:created>
  <dcterms:modified xsi:type="dcterms:W3CDTF">2026-08-24T20:37:30.082Z</dcterms:modified>
</cp:coreProperties>
</file>

<file path=docProps/custom.xml><?xml version="1.0" encoding="utf-8"?>
<Properties xmlns="http://schemas.openxmlformats.org/officeDocument/2006/custom-properties" xmlns:vt="http://schemas.openxmlformats.org/officeDocument/2006/docPropsVTypes"/>
</file>