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76" w:lineRule="auto"/>
        <w:jc w:val="center"/>
      </w:pPr>
      <w:r>
        <w:t>Министерство науки и высшего образования Российской Федерации</w:t>
      </w:r>
    </w:p>
    <w:p>
      <w:pPr>
        <w:spacing w:after="0" w:line="276" w:lineRule="auto"/>
        <w:jc w:val="center"/>
      </w:pPr>
      <w:r>
        <w:t>ФГАОУ ВО «УрФУ имени первого Президента России Б.Н. Ельцина»</w:t>
      </w:r>
    </w:p>
    <w:p>
      <w:pPr>
        <w:spacing w:after="0" w:line="276" w:lineRule="auto"/>
        <w:jc w:val="center"/>
      </w:pPr>
      <w:r>
        <w:t>ИРИТ-РТФ</w:t>
      </w:r>
    </w:p>
    <w:p>
      <w:pPr>
        <w:spacing w:after="0" w:line="276" w:lineRule="auto"/>
        <w:jc w:val="center"/>
      </w:pPr>
      <w:r>
        <w:t>Центр ускоренного обучения</w:t>
      </w:r>
    </w:p>
    <w:p>
      <w:pPr>
        <w:pStyle w:val="Title"/>
        <w:spacing w:before="2000"/>
        <w:jc w:val="center"/>
      </w:pPr>
      <w:r>
        <w:t>ОТЧЕТ ПО ЛАБОРАТОРНОЙ РАБОТЕ № 5</w:t>
      </w:r>
    </w:p>
    <w:p>
      <w:pPr>
        <w:jc w:val="center"/>
      </w:pPr>
      <w:r>
        <w:t>по дисциплине «Технологии программирования»</w:t>
      </w:r>
    </w:p>
    <w:p>
      <w:pPr>
        <w:spacing w:before="400"/>
        <w:jc w:val="center"/>
      </w:pPr>
      <w:r>
        <w:rPr>
          <w:b/>
          <w:sz w:val="28"/>
        </w:rPr>
        <w:t>РАСЧЁТ ПРЕМИЙ И МОДУЛЬНОЕ ТЕСТИРОВАНИЕ</w:t>
      </w:r>
    </w:p>
    <w:p>
      <w:pPr>
        <w:spacing w:before="1900"/>
      </w:pPr>
      <w:r>
        <w:t>Студент группы РИЗ-250938у:</w:t>
        <w:tab/>
        <w:t>К.А. Скуратов</w:t>
        <w:br/>
        <w:t>Преподаватель:</w:t>
        <w:tab/>
        <w:t>_____________________</w:t>
      </w:r>
    </w:p>
    <w:p>
      <w:pPr>
        <w:spacing w:before="1400"/>
        <w:jc w:val="center"/>
      </w:pPr>
      <w:r>
        <w:t>Екатеринбург 2026</w:t>
      </w:r>
    </w:p>
    <w:p>
      <w:r>
        <w:br w:type="page"/>
      </w:r>
    </w:p>
    <w:p>
      <w:pPr>
        <w:pStyle w:val="Heading1"/>
      </w:pPr>
      <w:r>
        <w:t>Цель работы</w:t>
      </w:r>
    </w:p>
    <w:p>
      <w:pPr>
        <w:ind w:firstLine="504"/>
        <w:jc w:val="both"/>
      </w:pPr>
      <w:r>
        <w:t>Реализовать расчёт годовой и квартальной премии, учесть високосный год и проверить бизнес-логику с помощью JUnit 5.</w:t>
      </w:r>
    </w:p>
    <w:p>
      <w:pPr>
        <w:pStyle w:val="Heading1"/>
      </w:pPr>
      <w:r>
        <w:t>Описание задачи</w:t>
      </w:r>
    </w:p>
    <w:p>
      <w:pPr>
        <w:ind w:firstLine="504"/>
        <w:jc w:val="both"/>
      </w:pPr>
      <w:r>
        <w:t>Работа включает базовую реализацию по методическим указаниям и дополнительное задание. Также подготовлены ответы на все шесть контрольных вопросов.</w:t>
      </w:r>
    </w:p>
    <w:p>
      <w:pPr>
        <w:ind w:firstLine="504"/>
        <w:jc w:val="both"/>
      </w:pPr>
      <w:r>
        <w:t>Средства выполнения: Java 17, Maven 3.9.9, Spring Boot 3.1.5. Проект: lab05.</w:t>
      </w:r>
    </w:p>
    <w:p>
      <w:pPr>
        <w:ind w:firstLine="504"/>
        <w:jc w:val="both"/>
      </w:pPr>
      <w:r>
        <w:t>Версия Spring Boot 3.1.5 соответствует конфигурации из методических указаний к ЛР 6. Для единой совместимости использованы Java 17 и импорты jakarta вместо javax. Это фиксированная учебная конфигурация.</w:t>
      </w:r>
    </w:p>
    <w:p>
      <w:pPr>
        <w:pStyle w:val="Heading1"/>
      </w:pPr>
      <w:r>
        <w:t>Ход выполнения</w:t>
      </w:r>
    </w:p>
    <w:p>
      <w:pPr>
        <w:pStyle w:val="Heading2"/>
      </w:pPr>
      <w:r>
        <w:t>Расчёт годовой премии</w:t>
      </w:r>
    </w:p>
    <w:p>
      <w:pPr>
        <w:ind w:firstLine="504"/>
        <w:jc w:val="both"/>
      </w:pPr>
      <w:r>
        <w:t>Request расширен полями position, salary, bonus, workDays, year и quarter. Response содержит annualBonus и quarterlyBonus. Комментарии к каждому полю описывают его назначение. Контроллер передаёт бизнес-обработку ProcessingService, а расчёт выполняет AnnualBonusService.</w:t>
      </w:r>
    </w:p>
    <w:p>
      <w:pPr>
        <w:ind w:firstLine="504"/>
        <w:jc w:val="both"/>
      </w:pPr>
      <w:r>
        <w:t>Формула из методички сохранена: годовая премия = salary × bonus × daysInYear × positionCoefficient / workDays. Число дней определяется Year.of(year).length(), поэтому для 2023 года используется 365, для 2024 — 366, а для 2100 — 365.</w:t>
      </w:r>
    </w:p>
    <w:p>
      <w:pPr>
        <w:ind w:firstLine="504"/>
        <w:jc w:val="both"/>
      </w:pPr>
      <w:r>
        <w:t>Коэффициенты исходных должностей: DEV=2,2; HR=1,2; TL=2,6. Для добавленных должностей в рамках реализации приняты PO=2,8; TPM=3,0; CTO=3,5, поскольку в задании их коэффициенты не указаны. TL, PO, TPM и CTO имеют isManager=true.</w:t>
      </w:r>
    </w:p>
    <w:p>
      <w:pPr>
        <w:pStyle w:val="Heading2"/>
      </w:pPr>
      <w:r>
        <w:t>Квартальная премия и проверки</w:t>
      </w:r>
    </w:p>
    <w:p>
      <w:pPr>
        <w:ind w:firstLine="504"/>
        <w:jc w:val="both"/>
      </w:pPr>
      <w:r>
        <w:t>Квартальная формула в задании не задана. Принята аналогия с годовой: salary × bonus × daysInQuarter × coefficient / workDays. workDays — тот же показатель отработанных дней, что и в годовом запросе. Число календарных дней квартала рассчитывается между его первым днём и первым днём следующего квартала.</w:t>
      </w:r>
    </w:p>
    <w:p>
      <w:pPr>
        <w:ind w:firstLine="504"/>
        <w:jc w:val="both"/>
      </w:pPr>
      <w:r>
        <w:t>Прямой вызов quarterly для DEV или HR выбрасывает IllegalArgumentException. В HTTP-ответе для неуправленца annualBonus рассчитывается, quarterlyBonus остаётся null; метод quarterly не вызывается. Проверяются положительное salary, неотрицательное bonus, конечность чисел, ненулевое workDays и квартал 1–4.</w:t>
      </w:r>
    </w:p>
    <w:p>
      <w:pPr>
        <w:ind w:firstLine="504"/>
        <w:jc w:val="both"/>
      </w:pPr>
      <w:r>
        <w:t>Набор JUnit 5 содержит 9 тестов: обычный год, високосный год, правило столетия, два варианта первого квартала, запрет неуправленцу, нулевые дни, недопустимый квартал и все управленческие должности. Для double применён допуск 10⁻⁶.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cantSplit/>
          <w:tblHeader/>
        </w:trPr>
        <w:tc>
          <w:tcPr>
            <w:tcW w:type="dxa" w:w="3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4"/>
          </w:tcPr>
          <w:p>
            <w:pPr>
              <w:spacing w:line="276" w:lineRule="auto" w:after="100" w:before="100"/>
            </w:pPr>
            <w:r>
              <w:rPr>
                <w:b/>
                <w:sz w:val="22"/>
              </w:rPr>
              <w:t>Расчёт</w:t>
            </w:r>
          </w:p>
        </w:tc>
        <w:tc>
          <w:tcPr>
            <w:tcW w:type="dxa" w:w="3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4"/>
          </w:tcPr>
          <w:p>
            <w:pPr>
              <w:spacing w:line="276" w:lineRule="auto" w:after="100" w:before="100"/>
            </w:pPr>
            <w:r>
              <w:rPr>
                <w:b/>
                <w:sz w:val="22"/>
              </w:rPr>
              <w:t>Входные условия</w:t>
            </w:r>
          </w:p>
        </w:tc>
        <w:tc>
          <w:tcPr>
            <w:tcW w:type="dxa" w:w="3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4"/>
          </w:tcPr>
          <w:p>
            <w:pPr>
              <w:spacing w:line="276" w:lineRule="auto" w:after="100" w:before="100"/>
            </w:pPr>
            <w:r>
              <w:rPr>
                <w:b/>
                <w:sz w:val="22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3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76" w:lineRule="auto" w:after="100" w:before="100"/>
            </w:pPr>
            <w:r>
              <w:rPr>
                <w:b w:val="0"/>
                <w:sz w:val="22"/>
              </w:rPr>
              <w:t>Годовая HR</w:t>
            </w:r>
          </w:p>
        </w:tc>
        <w:tc>
          <w:tcPr>
            <w:tcW w:type="dxa" w:w="3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76" w:lineRule="auto" w:after="100" w:before="100"/>
            </w:pPr>
            <w:r>
              <w:rPr>
                <w:b w:val="0"/>
                <w:sz w:val="22"/>
              </w:rPr>
              <w:t>2023; 100000; 2; 243</w:t>
            </w:r>
          </w:p>
        </w:tc>
        <w:tc>
          <w:tcPr>
            <w:tcW w:type="dxa" w:w="3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76" w:lineRule="auto" w:after="100" w:before="100"/>
            </w:pPr>
            <w:r>
              <w:rPr>
                <w:b w:val="0"/>
                <w:sz w:val="22"/>
              </w:rPr>
              <w:t>360493,8271604938</w:t>
            </w:r>
          </w:p>
        </w:tc>
      </w:tr>
      <w:tr>
        <w:trPr>
          <w:cantSplit/>
        </w:trPr>
        <w:tc>
          <w:tcPr>
            <w:tcW w:type="dxa" w:w="3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76" w:lineRule="auto" w:after="100" w:before="100"/>
            </w:pPr>
            <w:r>
              <w:rPr>
                <w:b w:val="0"/>
                <w:sz w:val="22"/>
              </w:rPr>
              <w:t>Годовая HR</w:t>
            </w:r>
          </w:p>
        </w:tc>
        <w:tc>
          <w:tcPr>
            <w:tcW w:type="dxa" w:w="3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76" w:lineRule="auto" w:after="100" w:before="100"/>
            </w:pPr>
            <w:r>
              <w:rPr>
                <w:b w:val="0"/>
                <w:sz w:val="22"/>
              </w:rPr>
              <w:t>2024; 100000; 2; 243</w:t>
            </w:r>
          </w:p>
        </w:tc>
        <w:tc>
          <w:tcPr>
            <w:tcW w:type="dxa" w:w="3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76" w:lineRule="auto" w:after="100" w:before="100"/>
            </w:pPr>
            <w:r>
              <w:rPr>
                <w:b w:val="0"/>
                <w:sz w:val="22"/>
              </w:rPr>
              <w:t>361481,4814814815</w:t>
            </w:r>
          </w:p>
        </w:tc>
      </w:tr>
      <w:tr>
        <w:trPr>
          <w:cantSplit/>
        </w:trPr>
        <w:tc>
          <w:tcPr>
            <w:tcW w:type="dxa" w:w="3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76" w:lineRule="auto" w:after="100" w:before="100"/>
            </w:pPr>
            <w:r>
              <w:rPr>
                <w:b w:val="0"/>
                <w:sz w:val="22"/>
              </w:rPr>
              <w:t>Квартальная TL</w:t>
            </w:r>
          </w:p>
        </w:tc>
        <w:tc>
          <w:tcPr>
            <w:tcW w:type="dxa" w:w="3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76" w:lineRule="auto" w:after="100" w:before="100"/>
            </w:pPr>
            <w:r>
              <w:rPr>
                <w:b w:val="0"/>
                <w:sz w:val="22"/>
              </w:rPr>
              <w:t>2024; I кв.; 100000; 2; 243</w:t>
            </w:r>
          </w:p>
        </w:tc>
        <w:tc>
          <w:tcPr>
            <w:tcW w:type="dxa" w:w="3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76" w:lineRule="auto" w:after="100" w:before="100"/>
            </w:pPr>
            <w:r>
              <w:rPr>
                <w:b w:val="0"/>
                <w:sz w:val="22"/>
              </w:rPr>
              <w:t>194732,51028806585</w:t>
            </w:r>
          </w:p>
        </w:tc>
      </w:tr>
    </w:tbl>
    <w:p>
      <w:pPr>
        <w:pStyle w:val="Heading1"/>
      </w:pPr>
      <w:r>
        <w:t>Фрагменты программного кода</w:t>
      </w:r>
    </w:p>
    <w:p>
      <w:pPr>
        <w:pStyle w:val="Heading2"/>
      </w:pPr>
      <w:r>
        <w:t>Positions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public enum Positions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DEV(2.2, false),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HR(1.2, false),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TL(2.6, true),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PO(2.8, true),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TPM(3.0, true),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CTO(3.5, true);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private final double coefficient;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private final boolean manager;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Positions(double coefficient, boolean manager)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this.coefficient = coefficient;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this.manager = manager;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}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public double getPositionCoefficient()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return coefficient;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}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public boolean isManager()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return manager;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}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}</w:t>
      </w:r>
    </w:p>
    <w:p>
      <w:pPr>
        <w:spacing w:after="0"/>
      </w:pPr>
    </w:p>
    <w:p>
      <w:pPr>
        <w:pStyle w:val="Heading2"/>
      </w:pPr>
      <w:r>
        <w:t>AnnualBonusServiceImpl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@org.springframework.stereotype.Service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public class AnnualBonusServiceImpl implements AnnualBonusService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private void validate(Positions p, double salary, double bonus, int workDays, 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int year)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if (p == null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|| !Double.isFinite(salary)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|| !Double.isFinite(bonus)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|| salary &lt;= 0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|| bonus &lt; 0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|| workDays &lt;= 0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|| workDays &gt; Year.of(year).length())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throw new IllegalArgumentException("Invalid bonus arguments");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}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public double calculate(Positions p, double salary, double bonus, int 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workDays, int year)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validate(p, salary, bonus, workDays, year);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return salary * bonus * Year.of(year).length() * p.getPositionCoefficient() 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/ workDays;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}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public double quarterly(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Positions p, double salary, double bonus, int workDays, int year, int 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quarter)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validate(p, salary, bonus, workDays, year);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if (!p.isManager()) throw new IllegalArgumentException("Quarterly bonus is 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only for managers");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if (quarter &lt; 1 || quarter &gt; 4) throw new IllegalArgumentException("Quarter 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must be 1..4");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LocalDate start = LocalDate.of(year, 1 + (quarter - 1) * 3, 1);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long days = java.time.temporal.ChronoUnit.DAYS.between(start, 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start.plusMonths(3));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return salary * bonus * days * p.getPositionCoefficient() / workDays;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}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}</w:t>
      </w:r>
    </w:p>
    <w:p>
      <w:pPr>
        <w:spacing w:after="0"/>
      </w:pPr>
    </w:p>
    <w:p>
      <w:pPr>
        <w:pStyle w:val="Heading2"/>
      </w:pPr>
      <w:r>
        <w:t>AnnualBonusServiceTest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class AnnualBonusServiceTest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final AnnualBonusService s = new AnnualBonusServiceImpl();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@Test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void ordinaryYear()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assertEquals(360493.8271604938, s.calculate(Positions.HR, 100000, 2, 243, 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2023), 1e-6);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}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@Test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void leapYear()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assertEquals(361481.4814814815, s.calculate(Positions.HR, 100000, 2, 243, 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2024), 1e-6);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}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@Test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void centuryIsNotLeap()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assertEquals(365, java.time.Year.of(2100).length());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}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@Test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void managerQuarter()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assertEquals(194732.51028806585, s.quarterly(Positions.TL, 100000, 2, 243, 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2024, 1), 1e-6);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}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@Test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void ordinaryQuarter()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assertEquals(192592.59259259258, s.quarterly(Positions.TL, 100000, 2, 243, 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2023, 1), 1e-6);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}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@Test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void nonManagerRejected()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assertThrows(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IllegalArgumentException.class, () -&gt; s.quarterly(Positions.DEV, 100000,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2, 243, 2024, 1));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}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@Test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void zeroDaysRejected()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assertThrows(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IllegalArgumentException.class, () -&gt; s.calculate(Positions.HR, 100000, 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2, 0, 2024));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}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@Test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void invalidQuarterRejected()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assertThrows(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IllegalArgumentException.class, () -&gt; s.quarterly(Positions.PO, 100000, 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2, 243, 2024, 5));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}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@Test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void allManagers()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for (Positions p : new Positions[] {Positions.TL, Positions.PO, 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Positions.TPM, Positions.CTO})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assertTrue(s.quarterly(p, 100000, 2, 243, 2024, 2) &gt; 0);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}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}</w:t>
      </w:r>
    </w:p>
    <w:p>
      <w:pPr>
        <w:spacing w:after="0"/>
      </w:pPr>
    </w:p>
    <w:p>
      <w:pPr>
        <w:pStyle w:val="Heading1"/>
      </w:pPr>
      <w:r>
        <w:t>Тестирование и результаты</w:t>
      </w:r>
    </w:p>
    <w:p>
      <w:pPr>
        <w:ind w:firstLine="504"/>
        <w:jc w:val="both"/>
      </w:pPr>
      <w:r>
        <w:t>HTTP-проверки выполнены на запущенном приложении автоматизированным клиентом. Скриншоты показывают фактические запросы и ответы в отчёте клиента; это не окна Postman. Для повторения проверок в Postman подготовлена коллекция с отдельными папками работ.</w:t>
      </w:r>
    </w:p>
    <w:p>
      <w:pPr>
        <w:ind w:firstLine="504"/>
        <w:jc w:val="both"/>
      </w:pPr>
      <w:r>
        <w:t>Модульные тесты выполнены Maven Surefire. Полный XML-отчёт JUnit включён в комплект исходников и результатов.</w:t>
      </w:r>
    </w:p>
    <w:p>
      <w:pPr>
        <w:pStyle w:val="Heading2"/>
      </w:pPr>
      <w:r>
        <w:t>Годовая и квартальная премии в HTTP-ответах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830956" cy="6766559"/>
            <wp:docPr id="1" name="Picture 1" descr="Снимок результата проверки лабораторной 5, иллюстрация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-bon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0956" cy="6766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76" w:lineRule="auto"/>
        <w:jc w:val="center"/>
      </w:pPr>
      <w:r>
        <w:t>Рисунок 1 — Годовая и квартальная премии в HTTP-ответах</w:t>
      </w:r>
    </w:p>
    <w:p>
      <w:pPr>
        <w:pStyle w:val="Heading2"/>
      </w:pPr>
      <w:r>
        <w:t>Результат запуска JUnit 5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1950952"/>
            <wp:docPr id="2" name="Picture 2" descr="Снимок результата проверки лабораторной 5, иллюстрация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-5-tes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50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76" w:lineRule="auto"/>
        <w:jc w:val="center"/>
      </w:pPr>
      <w:r>
        <w:t>Рисунок 2 — Результат запуска JUnit 5</w:t>
      </w:r>
    </w:p>
    <w:p>
      <w:r>
        <w:br w:type="page"/>
      </w:r>
    </w:p>
    <w:p>
      <w:pPr>
        <w:pStyle w:val="Heading1"/>
      </w:pPr>
      <w:r>
        <w:t>Ответы на контрольные вопросы</w:t>
      </w:r>
    </w:p>
    <w:p>
      <w:pPr>
        <w:pStyle w:val="Heading2"/>
      </w:pPr>
      <w:r>
        <w:t>1 Что такое unit-тестирование?</w:t>
      </w:r>
    </w:p>
    <w:p>
      <w:pPr>
        <w:ind w:firstLine="504"/>
        <w:jc w:val="both"/>
      </w:pPr>
      <w:r>
        <w:t>Проверка небольшой единицы логики изолированно от внешних систем. В работе AnnualBonusServiceImpl создаётся напрямую без запуска Spring и базы данных, что делает тесты быстрыми и воспроизводимыми.</w:t>
      </w:r>
    </w:p>
    <w:p>
      <w:pPr>
        <w:pStyle w:val="Heading2"/>
      </w:pPr>
      <w:r>
        <w:t>2 Что такое smoke-тестирование?</w:t>
      </w:r>
    </w:p>
    <w:p>
      <w:pPr>
        <w:ind w:firstLine="504"/>
        <w:jc w:val="both"/>
      </w:pPr>
      <w:r>
        <w:t>Короткий набор проверок основных функций после сборки или развёртывания. Например: приложение стартует, /hello отвечает, главная страница открывается. Smoke-тест не заменяет подробные проверки.</w:t>
      </w:r>
    </w:p>
    <w:p>
      <w:pPr>
        <w:pStyle w:val="Heading2"/>
      </w:pPr>
      <w:r>
        <w:t>3 Что такое интеграционное тестирование?</w:t>
      </w:r>
    </w:p>
    <w:p>
      <w:pPr>
        <w:ind w:firstLine="504"/>
        <w:jc w:val="both"/>
      </w:pPr>
      <w:r>
        <w:t>Проверка взаимодействия компонентов: контроллера с сервисом, JPA с базой данных или двух HTTP-сервисов. Она выявляет ошибки конфигурации, сериализации и обмена, которые не видны в изолированных unit-тестах.</w:t>
      </w:r>
    </w:p>
    <w:p>
      <w:pPr>
        <w:pStyle w:val="Heading2"/>
      </w:pPr>
      <w:r>
        <w:t>4 Какие библиотеки применяют для unit-тестов Spring Boot?</w:t>
      </w:r>
    </w:p>
    <w:p>
      <w:pPr>
        <w:ind w:firstLine="504"/>
        <w:jc w:val="both"/>
      </w:pPr>
      <w:r>
        <w:t>spring-boot-starter-test предоставляет JUnit Jupiter, AssertJ, Mockito и средства Spring Test. JUnit запускает тесты, AssertJ предоставляет assertions, Mockito заменяет зависимости тестовыми объектами.</w:t>
      </w:r>
    </w:p>
    <w:p>
      <w:pPr>
        <w:pStyle w:val="Heading2"/>
      </w:pPr>
      <w:r>
        <w:t>5 Что такое assert и какие assertions бывают?</w:t>
      </w:r>
    </w:p>
    <w:p>
      <w:pPr>
        <w:ind w:firstLine="504"/>
        <w:jc w:val="both"/>
      </w:pPr>
      <w:r>
        <w:t>Assertion проверяет ожидаемое условие и делает тест неуспешным при нарушении. В JUnit применяют assertEquals, assertTrue, assertFalse, assertNull, assertNotNull, assertThrows, assertAll. Для double следует задавать допустимую погрешность.</w:t>
      </w:r>
    </w:p>
    <w:p>
      <w:pPr>
        <w:pStyle w:val="Heading2"/>
      </w:pPr>
      <w:r>
        <w:t>6 Основные аннотации JUnit 5?</w:t>
      </w:r>
    </w:p>
    <w:p>
      <w:pPr>
        <w:ind w:firstLine="504"/>
        <w:jc w:val="both"/>
      </w:pPr>
      <w:r>
        <w:t>@Test отмечает тест; @BeforeEach и @AfterEach — подготовку и очистку каждого теста; @BeforeAll и @AfterAll — действия для класса; @ParameterizedTest — набор входных параметров; @DisplayName — читаемое название; @Disabled — отключение теста.</w:t>
      </w:r>
    </w:p>
    <w:p>
      <w:r>
        <w:br w:type="page"/>
      </w:r>
    </w:p>
    <w:p>
      <w:pPr>
        <w:pStyle w:val="Heading1"/>
      </w:pPr>
      <w:r>
        <w:t>Исходный код и запуск</w:t>
      </w:r>
    </w:p>
    <w:p>
      <w:pPr>
        <w:ind w:firstLine="504"/>
        <w:jc w:val="both"/>
      </w:pPr>
      <w:r>
        <w:t>Полные исходные файлы находятся в каталоге lab05 комплекта Spring_Boot_Skuratov. Файл pom.xml можно открыть в IntelliJ IDEA как Maven-проект. Для сборки требуется JDK 17 и доступ Maven к зависимостям при первом запуске.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cd lab05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mvn clean package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java -jar target/lab05-1.0.0.jar</w:t>
      </w:r>
    </w:p>
    <w:p>
      <w:pPr>
        <w:spacing w:after="0"/>
      </w:pPr>
    </w:p>
    <w:p>
      <w:pPr>
        <w:ind w:firstLine="504"/>
        <w:jc w:val="both"/>
      </w:pPr>
      <w:r>
        <w:t>Ссылка на репозиторий GitHub: ____________________________________</w:t>
      </w:r>
    </w:p>
    <w:p>
      <w:pPr>
        <w:pStyle w:val="Heading1"/>
      </w:pPr>
      <w:r>
        <w:t>Вывод</w:t>
      </w:r>
    </w:p>
    <w:p>
      <w:pPr>
        <w:ind w:firstLine="504"/>
        <w:jc w:val="both"/>
      </w:pPr>
      <w:r>
        <w:t>Реализованы расчёт годовой премии с учётом календаря и квартальная премия управленцев. Девять модульных тестов завершились без ошибок. HTTP-проверки подтверждают заполнение годовой премии для HR и обеих премий для TL.</w:t>
      </w:r>
    </w:p>
    <w:p>
      <w:pPr>
        <w:pStyle w:val="Heading1"/>
      </w:pPr>
      <w:r>
        <w:t>Использованные материалы</w:t>
      </w:r>
    </w:p>
    <w:p>
      <w:pPr>
        <w:ind w:firstLine="504"/>
        <w:jc w:val="both"/>
      </w:pPr>
      <w:r>
        <w:t>Методические указания «Spring Boot. Лабораторная работа № 5», предоставленные к заданию.</w:t>
      </w:r>
    </w:p>
    <w:p>
      <w:pPr>
        <w:ind w:firstLine="504"/>
        <w:jc w:val="both"/>
      </w:pPr>
      <w:r>
        <w:t>Spring Boot 3.1.5 Reference Documentation — https://docs.spring.io/spring-boot/docs/3.1.5/reference/html/ (конфигурация и требования среды).</w:t>
      </w:r>
    </w:p>
    <w:sectPr w:rsidR="00FC693F" w:rsidRPr="0006063C" w:rsidSect="00034616">
      <w:footerReference w:type="default" r:id="rId11"/>
      <w:pgSz w:w="12240" w:h="15840"/>
      <w:pgMar w:top="1008" w:right="1008" w:bottom="1008" w:left="122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36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auto" w:after="120"/>
    </w:pPr>
    <w:rPr>
      <w:rFonts w:ascii="Times New Roman" w:hAnsi="Times New Roman"/>
      <w:b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5 — Расчёт премий и модульное тестирование</dc:title>
  <dc:subject/>
  <dc:creator>К. А. Скуратов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