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double" w:sz="4" w:space="1" w:color="000000"/>
          <w:left w:val="double" w:sz="4" w:space="4" w:color="000000"/>
          <w:bottom w:val="double" w:sz="4" w:space="1" w:color="000000"/>
          <w:right w:val="double" w:sz="4" w:space="4" w:color="000000"/>
        </w:pBdr>
        <w:jc w:val="center"/>
        <w:rPr>
          <w:b/>
          <w:i w:val="false"/>
          <w:sz w:val="28"/>
        </w:rPr>
      </w:pPr>
      <w:r>
        <w:rPr>
          <w:b/>
          <w:i w:val="false"/>
          <w:caps/>
          <w:sz w:val="28"/>
        </w:rPr>
        <w:t xml:space="preserve">Précisions et commentaires relatifs àU chapitre C </w:t>
        <w:br/>
        <w:t>– Matériaux et produits de construction du CCT QUALI</w:t>
      </w:r>
      <w:bookmarkStart w:id="0" w:name="_GoBack"/>
      <w:r>
        <w:rPr>
          <w:b/>
          <w:i w:val="false"/>
          <w:caps/>
          <w:sz w:val="28"/>
        </w:rPr>
        <w:t>ROUTES</w:t>
      </w:r>
      <w:bookmarkEnd w:id="0"/>
    </w:p>
    <w:p>
      <w:pPr>
        <w:pStyle w:val="Normal"/>
        <w:rPr/>
      </w:pPr>
      <w:r>
        <w:rPr/>
      </w:r>
    </w:p>
    <w:p>
      <w:pPr>
        <w:pStyle w:val="Normal"/>
        <w:rPr/>
      </w:pPr>
      <w:r>
        <w:rPr/>
      </w:r>
    </w:p>
    <w:p>
      <w:pPr>
        <w:pStyle w:val="Heading1"/>
        <w:rPr/>
      </w:pPr>
      <w:r>
        <w:rPr/>
        <w:t>C. 2.2.3. SOLS POUR REMBLAI – RECEPTION TECHNIQUE PREALABLE</w:t>
      </w:r>
    </w:p>
    <w:p>
      <w:pPr>
        <w:pStyle w:val="Normal"/>
        <w:rPr/>
      </w:pPr>
      <w:r>
        <w:rPr/>
      </w:r>
    </w:p>
    <w:p>
      <w:pPr>
        <w:pStyle w:val="Cadre"/>
        <w:rPr/>
      </w:pPr>
      <w:r>
        <w:rPr/>
        <w:t>Définir les autres caractéristiques pour applications spéciales et leur fréquence d'essai.</w:t>
      </w:r>
    </w:p>
    <w:p>
      <w:pPr>
        <w:pStyle w:val="Normal"/>
        <w:rPr/>
      </w:pPr>
      <w:r>
        <w:rPr/>
      </w:r>
    </w:p>
    <w:p>
      <w:pPr>
        <w:pStyle w:val="Normal"/>
        <w:rPr/>
      </w:pPr>
      <w:r>
        <w:rPr/>
      </w:r>
    </w:p>
    <w:p>
      <w:pPr>
        <w:pStyle w:val="Heading1"/>
        <w:rPr/>
      </w:pPr>
      <w:r>
        <w:rPr/>
        <w:t>C. 2.3.1.2. TERRE ARABLE</w:t>
      </w:r>
    </w:p>
    <w:p>
      <w:pPr>
        <w:pStyle w:val="Normal"/>
        <w:rPr/>
      </w:pPr>
      <w:r>
        <w:rPr/>
      </w:r>
    </w:p>
    <w:p>
      <w:pPr>
        <w:pStyle w:val="Puces2"/>
        <w:numPr>
          <w:ilvl w:val="0"/>
          <w:numId w:val="1"/>
        </w:numPr>
        <w:tabs>
          <w:tab w:val="clear" w:pos="284"/>
        </w:tabs>
        <w:rPr/>
      </w:pPr>
      <w:r>
        <w:rPr/>
        <w:t>Indiquer le type de terre demandée ainsi que le cas échéant, les prescriptions complémentaires.</w:t>
      </w:r>
    </w:p>
    <w:p>
      <w:pPr>
        <w:pStyle w:val="Puces2"/>
        <w:numPr>
          <w:ilvl w:val="0"/>
          <w:numId w:val="1"/>
        </w:numPr>
        <w:tabs>
          <w:tab w:val="clear" w:pos="284"/>
        </w:tabs>
        <w:rPr/>
      </w:pPr>
      <w:r>
        <w:rPr/>
        <w:t>Préciser le pH des terres s'il n'est pas compris entre 6 et 7.</w:t>
      </w:r>
    </w:p>
    <w:p>
      <w:pPr>
        <w:pStyle w:val="Puces2"/>
        <w:numPr>
          <w:ilvl w:val="0"/>
          <w:numId w:val="1"/>
        </w:numPr>
        <w:tabs>
          <w:tab w:val="clear" w:pos="284"/>
        </w:tabs>
        <w:rPr/>
      </w:pPr>
      <w:r>
        <w:rPr/>
        <w:t>Indiquer si un pourcentage de pierres compatible avec la nature de la terre arable locale est autorisé.</w:t>
      </w:r>
    </w:p>
    <w:p>
      <w:pPr>
        <w:pStyle w:val="Normal"/>
        <w:rPr/>
      </w:pPr>
      <w:r>
        <w:rPr/>
      </w:r>
    </w:p>
    <w:p>
      <w:pPr>
        <w:pStyle w:val="Normal"/>
        <w:rPr/>
      </w:pPr>
      <w:r>
        <w:rPr/>
      </w:r>
    </w:p>
    <w:p>
      <w:pPr>
        <w:pStyle w:val="Heading1"/>
        <w:rPr/>
      </w:pPr>
      <w:r>
        <w:rPr/>
        <w:t>C. 3.3. Sable artificiel et C. 4.3. Pierre artificielle</w:t>
      </w:r>
    </w:p>
    <w:p>
      <w:pPr>
        <w:pStyle w:val="Normal"/>
        <w:rPr/>
      </w:pPr>
      <w:r>
        <w:rPr/>
      </w:r>
    </w:p>
    <w:p>
      <w:pPr>
        <w:pStyle w:val="Normal"/>
        <w:rPr/>
      </w:pPr>
      <w:r>
        <w:rPr/>
        <w:t>L’attention des auteurs de projet est attirée sur les dispositions de l’arrêté du Gouvernement wallon du 14 juin 2001 favorisant la valorisation de certains déchets.</w:t>
      </w:r>
    </w:p>
    <w:p>
      <w:pPr>
        <w:pStyle w:val="Normal"/>
        <w:rPr/>
      </w:pPr>
      <w:r>
        <w:rPr/>
        <w:t>Celui-ci impose notamment l’obligation d’enregistrement pour toute personne qui valorise à titre professionnel des déchets repris dans la liste figurant en annexe 1 du dit arrêté.</w:t>
      </w:r>
    </w:p>
    <w:p>
      <w:pPr>
        <w:pStyle w:val="Normal"/>
        <w:rPr/>
      </w:pPr>
      <w:r>
        <w:rPr/>
        <w:t>Il offre également la possibilité, en son article 13, de valoriser d’autres déchets non dangereux, ainsi que de réaliser d’autres valorisations que celles prévues à l’annexe 1.</w:t>
      </w:r>
    </w:p>
    <w:p>
      <w:pPr>
        <w:pStyle w:val="Normal"/>
        <w:rPr/>
      </w:pPr>
      <w:r>
        <w:rPr/>
      </w:r>
    </w:p>
    <w:p>
      <w:pPr>
        <w:pStyle w:val="Normal"/>
        <w:rPr/>
      </w:pPr>
      <w:r>
        <w:rPr/>
      </w:r>
    </w:p>
    <w:p>
      <w:pPr>
        <w:pStyle w:val="Heading1"/>
        <w:rPr/>
      </w:pPr>
      <w:r>
        <w:rPr/>
        <w:t>C. 3.4.1.2.3. SABLES DE DRAINAGE</w:t>
      </w:r>
    </w:p>
    <w:p>
      <w:pPr>
        <w:pStyle w:val="Normal"/>
        <w:rPr/>
      </w:pPr>
      <w:r>
        <w:rPr/>
      </w:r>
    </w:p>
    <w:p>
      <w:pPr>
        <w:pStyle w:val="Cadre"/>
        <w:rPr/>
      </w:pPr>
      <w:r>
        <w:rPr/>
        <w:t>Définir les catégories minimales auxquelles doivent répondre les autres caractéristiques mentionnées à la NBN EN 13242 pour applications spéciales.</w:t>
      </w:r>
    </w:p>
    <w:p>
      <w:pPr>
        <w:pStyle w:val="BodyText"/>
        <w:rPr/>
      </w:pPr>
      <w:r>
        <w:rPr/>
      </w:r>
    </w:p>
    <w:p>
      <w:pPr>
        <w:pStyle w:val="Normal"/>
        <w:rPr>
          <w:i w:val="false"/>
        </w:rPr>
      </w:pPr>
      <w:r>
        <w:rPr>
          <w:i w:val="false"/>
        </w:rPr>
      </w:r>
    </w:p>
    <w:p>
      <w:pPr>
        <w:pStyle w:val="Heading1"/>
        <w:rPr/>
      </w:pPr>
      <w:r>
        <w:rPr/>
        <w:t>C. 3.4.2.2.3. SABLE POUR SOUS-FONDATION, EMPIERREMENT ET CURE</w:t>
      </w:r>
    </w:p>
    <w:p>
      <w:pPr>
        <w:pStyle w:val="Normal"/>
        <w:rPr/>
      </w:pPr>
      <w:r>
        <w:rPr/>
      </w:r>
    </w:p>
    <w:p>
      <w:pPr>
        <w:pStyle w:val="Cadre"/>
        <w:rPr/>
      </w:pPr>
      <w:r>
        <w:rPr/>
        <w:t>Définir les catégories minimales auxquelles doivent répondre les autres caractéristiques mentionnées à la NBN EN 13242 pour applications spéciales.</w:t>
      </w:r>
    </w:p>
    <w:p>
      <w:pPr>
        <w:pStyle w:val="BodyText"/>
        <w:rPr/>
      </w:pPr>
      <w:r>
        <w:rPr/>
      </w:r>
    </w:p>
    <w:p>
      <w:pPr>
        <w:pStyle w:val="BodyText"/>
        <w:rPr/>
      </w:pPr>
      <w:r>
        <w:rPr/>
      </w:r>
    </w:p>
    <w:p>
      <w:pPr>
        <w:pStyle w:val="Heading1"/>
        <w:rPr/>
      </w:pPr>
      <w:r>
        <w:rPr/>
        <w:t>C. 3.4.3.2.3. SABLE POUR SABLE-CIMENT ET SABLE-LAITIER</w:t>
      </w:r>
    </w:p>
    <w:p>
      <w:pPr>
        <w:pStyle w:val="Normal"/>
        <w:rPr/>
      </w:pPr>
      <w:r>
        <w:rPr/>
      </w:r>
    </w:p>
    <w:p>
      <w:pPr>
        <w:pStyle w:val="Cadre"/>
        <w:rPr/>
      </w:pPr>
      <w:r>
        <w:rPr/>
        <w:t>Définir les catégories minimales auxquelles doivent répondre les autres caractéristiques mentionnées à la NBN EN 13242 pour applications spéciales.</w:t>
      </w:r>
    </w:p>
    <w:p>
      <w:pPr>
        <w:pStyle w:val="BodyText"/>
        <w:rPr/>
      </w:pPr>
      <w:r>
        <w:rPr/>
      </w:r>
    </w:p>
    <w:p>
      <w:pPr>
        <w:pStyle w:val="Heading1"/>
        <w:rPr/>
      </w:pPr>
      <w:r>
        <w:rPr/>
        <w:t>C. 3.4.4.2.3. SABLE POUR BETON MAIGRE ET BETON SEC COMPACTE</w:t>
      </w:r>
    </w:p>
    <w:p>
      <w:pPr>
        <w:pStyle w:val="Normal"/>
        <w:rPr/>
      </w:pPr>
      <w:r>
        <w:rPr/>
      </w:r>
    </w:p>
    <w:p>
      <w:pPr>
        <w:pStyle w:val="Cadre"/>
        <w:rPr/>
      </w:pPr>
      <w:r>
        <w:rPr/>
        <w:t>Définir les catégories minimales auxquelles doivent répondre les autres caractéristiques mentionnées à la NBN EN 12620 pour applications spéciales.</w:t>
      </w:r>
    </w:p>
    <w:p>
      <w:pPr>
        <w:pStyle w:val="BodyText"/>
        <w:rPr/>
      </w:pPr>
      <w:r>
        <w:rPr/>
      </w:r>
    </w:p>
    <w:p>
      <w:pPr>
        <w:pStyle w:val="Normal"/>
        <w:rPr>
          <w:i w:val="false"/>
        </w:rPr>
      </w:pPr>
      <w:r>
        <w:rPr>
          <w:i w:val="false"/>
        </w:rPr>
      </w:r>
    </w:p>
    <w:p>
      <w:pPr>
        <w:pStyle w:val="Heading1"/>
        <w:rPr/>
      </w:pPr>
      <w:r>
        <w:rPr/>
        <w:t>C. 3.4.5.2.3. SABLE POUR REVETEMENTS EN BETON ET ELEMENTS LINEAIRES COULES EN PLACE</w:t>
      </w:r>
    </w:p>
    <w:p>
      <w:pPr>
        <w:pStyle w:val="Normal"/>
        <w:rPr/>
      </w:pPr>
      <w:r>
        <w:rPr/>
      </w:r>
    </w:p>
    <w:p>
      <w:pPr>
        <w:pStyle w:val="Cadre"/>
        <w:rPr/>
      </w:pPr>
      <w:r>
        <w:rPr/>
        <w:t>Définir les catégories minimales auxquelles doivent répondre les autres caractéristiques mentionnées à la NBN EN 12620 pour applications spéciales.</w:t>
      </w:r>
    </w:p>
    <w:p>
      <w:pPr>
        <w:pStyle w:val="BodyText"/>
        <w:rPr/>
      </w:pPr>
      <w:r>
        <w:rPr/>
      </w:r>
    </w:p>
    <w:p>
      <w:pPr>
        <w:pStyle w:val="BodyText"/>
        <w:rPr/>
      </w:pPr>
      <w:r>
        <w:rPr/>
      </w:r>
    </w:p>
    <w:p>
      <w:pPr>
        <w:pStyle w:val="Heading1"/>
        <w:rPr/>
      </w:pPr>
      <w:r>
        <w:rPr/>
        <w:t>C. 3.4.6. SABLE POUR MELANGES BITUMINEUX</w:t>
      </w:r>
    </w:p>
    <w:p>
      <w:pPr>
        <w:pStyle w:val="Normal"/>
        <w:rPr/>
      </w:pPr>
      <w:r>
        <w:rPr/>
      </w:r>
    </w:p>
    <w:p>
      <w:pPr>
        <w:pStyle w:val="Puces2"/>
        <w:numPr>
          <w:ilvl w:val="0"/>
          <w:numId w:val="1"/>
        </w:numPr>
        <w:tabs>
          <w:tab w:val="clear" w:pos="284"/>
        </w:tabs>
        <w:rPr/>
      </w:pPr>
      <w:r>
        <w:rPr/>
        <w:t>Définir le cas échéant les teintes autres que rouge ou teinte claire.</w:t>
      </w:r>
    </w:p>
    <w:p>
      <w:pPr>
        <w:pStyle w:val="Puces2"/>
        <w:numPr>
          <w:ilvl w:val="0"/>
          <w:numId w:val="1"/>
        </w:numPr>
        <w:tabs>
          <w:tab w:val="clear" w:pos="284"/>
        </w:tabs>
        <w:rPr/>
      </w:pPr>
      <w:r>
        <w:rPr/>
        <w:t>Définir les catégories minimales auxquelles doivent répondre les autres caractéristiques mentionnées à la NBN EN 13043 pour applications spéciales.</w:t>
      </w:r>
    </w:p>
    <w:p>
      <w:pPr>
        <w:pStyle w:val="BodyText"/>
        <w:rPr/>
      </w:pPr>
      <w:r>
        <w:rPr/>
      </w:r>
    </w:p>
    <w:p>
      <w:pPr>
        <w:pStyle w:val="BodyText"/>
        <w:rPr/>
      </w:pPr>
      <w:r>
        <w:rPr/>
      </w:r>
    </w:p>
    <w:p>
      <w:pPr>
        <w:pStyle w:val="Heading1"/>
        <w:rPr/>
      </w:pPr>
      <w:r>
        <w:rPr/>
        <w:t>C. 3.4.7. SABLE ET AUTRES MATERIAUX POUR PAVAGE</w:t>
      </w:r>
    </w:p>
    <w:p>
      <w:pPr>
        <w:pStyle w:val="Normal"/>
        <w:rPr/>
      </w:pPr>
      <w:r>
        <w:rPr/>
      </w:r>
    </w:p>
    <w:p>
      <w:pPr>
        <w:pStyle w:val="Cadre"/>
        <w:rPr/>
      </w:pPr>
      <w:r>
        <w:rPr/>
        <w:t>Définir les catégories minimales auxquelles doivent répondre les autres caractéristiques mentionnées à la NBN EN 13242 pour applications spéciales.</w:t>
      </w:r>
    </w:p>
    <w:p>
      <w:pPr>
        <w:pStyle w:val="BodyText"/>
        <w:rPr/>
      </w:pPr>
      <w:r>
        <w:rPr/>
      </w:r>
    </w:p>
    <w:p>
      <w:pPr>
        <w:pStyle w:val="BodyText"/>
        <w:rPr/>
      </w:pPr>
      <w:r>
        <w:rPr/>
      </w:r>
    </w:p>
    <w:p>
      <w:pPr>
        <w:pStyle w:val="Heading1"/>
        <w:rPr/>
      </w:pPr>
      <w:r>
        <w:rPr/>
        <w:t>C. 3.4.10. SABLE POUR MORTIER</w:t>
      </w:r>
    </w:p>
    <w:p>
      <w:pPr>
        <w:pStyle w:val="Normal"/>
        <w:rPr/>
      </w:pPr>
      <w:r>
        <w:rPr/>
      </w:r>
    </w:p>
    <w:p>
      <w:pPr>
        <w:pStyle w:val="Cadre"/>
        <w:rPr/>
      </w:pPr>
      <w:r>
        <w:rPr/>
        <w:t>Définir les catégories minimales auxquelles doivent répondre les autres caractéristiques mentionnées à la NBN EN 13139 pour applications spéciales.</w:t>
      </w:r>
    </w:p>
    <w:p>
      <w:pPr>
        <w:pStyle w:val="BodyText"/>
        <w:rPr/>
      </w:pPr>
      <w:r>
        <w:rPr/>
      </w:r>
    </w:p>
    <w:p>
      <w:pPr>
        <w:pStyle w:val="BodyText"/>
        <w:rPr/>
      </w:pPr>
      <w:r>
        <w:rPr/>
      </w:r>
    </w:p>
    <w:p>
      <w:pPr>
        <w:pStyle w:val="Heading1"/>
        <w:rPr/>
      </w:pPr>
      <w:r>
        <w:rPr/>
        <w:t>C. 4.3.10. GRAVILLONS POUR ENDUIT SUPERFICIEL A HAUTE PERFORMANCE (ESHP)</w:t>
      </w:r>
    </w:p>
    <w:p>
      <w:pPr>
        <w:pStyle w:val="Normal"/>
        <w:rPr/>
      </w:pPr>
      <w:r>
        <w:rPr/>
      </w:r>
    </w:p>
    <w:p>
      <w:pPr>
        <w:pStyle w:val="Cadre"/>
        <w:rPr/>
      </w:pPr>
      <w:r>
        <w:rPr/>
        <w:t>Définir les catégories minimales auxquelles doivent répondre les autres caractéristiques mentionnées à la NBN EN 13242 pour applications spéciales.</w:t>
      </w:r>
    </w:p>
    <w:p>
      <w:pPr>
        <w:pStyle w:val="Normal"/>
        <w:rPr/>
      </w:pPr>
      <w:r>
        <w:rPr/>
      </w:r>
    </w:p>
    <w:p>
      <w:pPr>
        <w:pStyle w:val="Normal"/>
        <w:rPr/>
      </w:pPr>
      <w:r>
        <w:rPr/>
      </w:r>
    </w:p>
    <w:p>
      <w:pPr>
        <w:pStyle w:val="Heading1"/>
        <w:rPr/>
      </w:pPr>
      <w:r>
        <w:rPr/>
        <w:t>C. 4.4.1. GRAVILLONS POUR SOUS-FONDATION</w:t>
      </w:r>
    </w:p>
    <w:p>
      <w:pPr>
        <w:pStyle w:val="Normal"/>
        <w:rPr/>
      </w:pPr>
      <w:r>
        <w:rPr/>
      </w:r>
    </w:p>
    <w:p>
      <w:pPr>
        <w:pStyle w:val="Cadre"/>
        <w:rPr/>
      </w:pPr>
      <w:r>
        <w:rPr/>
        <w:t>Définir les catégories minimales auxquelles doivent répondre les autres caractéristiques mentionnées à la NBN EN 13242 pour applications spéciales.</w:t>
      </w:r>
    </w:p>
    <w:p>
      <w:pPr>
        <w:pStyle w:val="Normal"/>
        <w:rPr/>
      </w:pPr>
      <w:r>
        <w:rPr/>
      </w:r>
    </w:p>
    <w:p>
      <w:pPr>
        <w:pStyle w:val="Normal"/>
        <w:rPr/>
      </w:pPr>
      <w:r>
        <w:rPr/>
      </w:r>
    </w:p>
    <w:p>
      <w:pPr>
        <w:pStyle w:val="Heading1"/>
        <w:keepNext w:val="true"/>
        <w:rPr/>
      </w:pPr>
      <w:r>
        <w:rPr/>
        <w:t>C. 4.4.2. GRAVILLONS POUR FONDATION EN EMPIERREMENT</w:t>
      </w:r>
    </w:p>
    <w:p>
      <w:pPr>
        <w:pStyle w:val="Normal"/>
        <w:keepNext w:val="true"/>
        <w:rPr/>
      </w:pPr>
      <w:r>
        <w:rPr/>
      </w:r>
    </w:p>
    <w:p>
      <w:pPr>
        <w:pStyle w:val="Cadre"/>
        <w:keepNext w:val="true"/>
        <w:rPr/>
      </w:pPr>
      <w:r>
        <w:rPr/>
        <w:t>Définir les catégories minimales auxquelles doivent répondre les autres caractéristiques mentionnées à la NBN EN 13242 pour applications spéciales.</w:t>
      </w:r>
    </w:p>
    <w:p>
      <w:pPr>
        <w:pStyle w:val="Normal"/>
        <w:rPr/>
      </w:pPr>
      <w:r>
        <w:rPr/>
      </w:r>
    </w:p>
    <w:p>
      <w:pPr>
        <w:pStyle w:val="Normal"/>
        <w:rPr/>
      </w:pPr>
      <w:r>
        <w:rPr/>
      </w:r>
    </w:p>
    <w:p>
      <w:pPr>
        <w:pStyle w:val="Heading1"/>
        <w:rPr/>
      </w:pPr>
      <w:r>
        <w:rPr/>
        <w:t>C. 4.4.3. GRAVILLONS POUR BETON MAIGRE, BETON SEC COMPACTE ET BETON MAIGRE POREUX</w:t>
      </w:r>
    </w:p>
    <w:p>
      <w:pPr>
        <w:pStyle w:val="Normal"/>
        <w:rPr/>
      </w:pPr>
      <w:r>
        <w:rPr/>
      </w:r>
    </w:p>
    <w:p>
      <w:pPr>
        <w:pStyle w:val="Cadre"/>
        <w:rPr/>
      </w:pPr>
      <w:r>
        <w:rPr/>
        <w:t>Définir les catégories minimales auxquelles doivent répondre les autres caractéristiques mentionnées à la NBN EN 12620 pour applications spéciales.</w:t>
      </w:r>
    </w:p>
    <w:p>
      <w:pPr>
        <w:pStyle w:val="Normal"/>
        <w:rPr/>
      </w:pPr>
      <w:r>
        <w:rPr/>
      </w:r>
    </w:p>
    <w:p>
      <w:pPr>
        <w:pStyle w:val="Normal"/>
        <w:rPr/>
      </w:pPr>
      <w:r>
        <w:rPr/>
      </w:r>
    </w:p>
    <w:p>
      <w:pPr>
        <w:pStyle w:val="Heading1"/>
        <w:rPr/>
      </w:pPr>
      <w:r>
        <w:rPr/>
        <w:t>C. 4.4.4. GRAVILLONS POUR BETON DE CIMENT, POUR REVETEMENT ET POUR ELEMENTS LINEAIRES EXECUTES EN PLACE</w:t>
      </w:r>
    </w:p>
    <w:p>
      <w:pPr>
        <w:pStyle w:val="Normal"/>
        <w:rPr/>
      </w:pPr>
      <w:r>
        <w:rPr/>
      </w:r>
    </w:p>
    <w:p>
      <w:pPr>
        <w:pStyle w:val="Puces2"/>
        <w:numPr>
          <w:ilvl w:val="0"/>
          <w:numId w:val="1"/>
        </w:numPr>
        <w:tabs>
          <w:tab w:val="clear" w:pos="284"/>
        </w:tabs>
        <w:rPr/>
      </w:pPr>
      <w:r>
        <w:rPr/>
        <w:t>Pour le réseau III, en couche de roulement, indiquer si l'utilisation de gravillons de classe LA</w:t>
      </w:r>
      <w:r>
        <w:rPr>
          <w:vertAlign w:val="subscript"/>
        </w:rPr>
        <w:t>30</w:t>
      </w:r>
      <w:r>
        <w:rPr/>
        <w:t>, MDE</w:t>
      </w:r>
      <w:r>
        <w:rPr>
          <w:vertAlign w:val="subscript"/>
        </w:rPr>
        <w:t>25</w:t>
      </w:r>
      <w:r>
        <w:rPr/>
        <w:t xml:space="preserve"> et PSV</w:t>
      </w:r>
      <w:r>
        <w:rPr>
          <w:vertAlign w:val="subscript"/>
        </w:rPr>
        <w:t>décl</w:t>
      </w:r>
      <w:r>
        <w:rPr/>
        <w:t xml:space="preserve"> est autorisée.</w:t>
      </w:r>
    </w:p>
    <w:p>
      <w:pPr>
        <w:pStyle w:val="Puces2"/>
        <w:numPr>
          <w:ilvl w:val="0"/>
          <w:numId w:val="1"/>
        </w:numPr>
        <w:tabs>
          <w:tab w:val="clear" w:pos="284"/>
        </w:tabs>
        <w:rPr/>
      </w:pPr>
      <w:r>
        <w:rPr/>
        <w:t>Définir les catégories minimales auxquelles doivent répondre les autres caractéristiques mentionnées à la NBN EN 12620 pour applications spéciales.</w:t>
      </w:r>
    </w:p>
    <w:p>
      <w:pPr>
        <w:pStyle w:val="Puces2"/>
        <w:numPr>
          <w:ilvl w:val="0"/>
          <w:numId w:val="1"/>
        </w:numPr>
        <w:tabs>
          <w:tab w:val="clear" w:pos="284"/>
        </w:tabs>
        <w:rPr/>
      </w:pPr>
      <w:r>
        <w:rPr/>
        <w:t>Définir le cas échéant les teintes autres que rouge ou teinte claire.</w:t>
      </w:r>
    </w:p>
    <w:p>
      <w:pPr>
        <w:pStyle w:val="Normal"/>
        <w:rPr/>
      </w:pPr>
      <w:r>
        <w:rPr/>
      </w:r>
    </w:p>
    <w:p>
      <w:pPr>
        <w:pStyle w:val="Normal"/>
        <w:rPr/>
      </w:pPr>
      <w:r>
        <w:rPr/>
      </w:r>
    </w:p>
    <w:p>
      <w:pPr>
        <w:pStyle w:val="Heading1"/>
        <w:rPr/>
      </w:pPr>
      <w:r>
        <w:rPr/>
        <w:t>C. 4.4.5. GRAVILLONS POUR MELANGES BITUMINEUX ET ASPHALTE COULE</w:t>
      </w:r>
    </w:p>
    <w:p>
      <w:pPr>
        <w:pStyle w:val="Normal"/>
        <w:rPr/>
      </w:pPr>
      <w:r>
        <w:rPr/>
      </w:r>
    </w:p>
    <w:p>
      <w:pPr>
        <w:pStyle w:val="Puces2"/>
        <w:numPr>
          <w:ilvl w:val="0"/>
          <w:numId w:val="1"/>
        </w:numPr>
        <w:tabs>
          <w:tab w:val="clear" w:pos="284"/>
        </w:tabs>
        <w:rPr/>
      </w:pPr>
      <w:r>
        <w:rPr/>
        <w:t>Définir les catégories minimales auxquelles doivent répondre les autres caractéristiques mentionnées à la NBN EN 13043 pour applications spéciales.</w:t>
      </w:r>
    </w:p>
    <w:p>
      <w:pPr>
        <w:pStyle w:val="Puces2"/>
        <w:numPr>
          <w:ilvl w:val="0"/>
          <w:numId w:val="1"/>
        </w:numPr>
        <w:tabs>
          <w:tab w:val="clear" w:pos="284"/>
        </w:tabs>
        <w:rPr/>
      </w:pPr>
      <w:r>
        <w:rPr/>
        <w:t>Définir le cas échéant les teintes autres que rouge ou teinte claire.</w:t>
      </w:r>
    </w:p>
    <w:p>
      <w:pPr>
        <w:pStyle w:val="Normal"/>
        <w:rPr/>
      </w:pPr>
      <w:r>
        <w:rPr/>
      </w:r>
    </w:p>
    <w:p>
      <w:pPr>
        <w:pStyle w:val="Normal"/>
        <w:rPr/>
      </w:pPr>
      <w:r>
        <w:rPr/>
      </w:r>
    </w:p>
    <w:p>
      <w:pPr>
        <w:pStyle w:val="Heading1"/>
        <w:rPr/>
      </w:pPr>
      <w:r>
        <w:rPr/>
        <w:t>C. 4.4.6. GRAVILLONS POUR TRAITEMENT DE SURFACE, POUR ENDUIT SURPERFICIEL (SAUF ESHP) ET POUR MATERIAUX BITUMINEUX COULES A FROID</w:t>
      </w:r>
    </w:p>
    <w:p>
      <w:pPr>
        <w:pStyle w:val="Normal"/>
        <w:rPr/>
      </w:pPr>
      <w:r>
        <w:rPr/>
      </w:r>
    </w:p>
    <w:p>
      <w:pPr>
        <w:pStyle w:val="Puces2"/>
        <w:numPr>
          <w:ilvl w:val="0"/>
          <w:numId w:val="1"/>
        </w:numPr>
        <w:tabs>
          <w:tab w:val="clear" w:pos="284"/>
        </w:tabs>
        <w:rPr/>
      </w:pPr>
      <w:r>
        <w:rPr/>
        <w:t>Définir les catégories minimales auxquelles doivent répondre les autres caractéristiques mentionnées à la NBN EN 13043 pour applications spéciales.</w:t>
      </w:r>
    </w:p>
    <w:p>
      <w:pPr>
        <w:pStyle w:val="Puces2"/>
        <w:numPr>
          <w:ilvl w:val="0"/>
          <w:numId w:val="1"/>
        </w:numPr>
        <w:tabs>
          <w:tab w:val="clear" w:pos="284"/>
        </w:tabs>
        <w:rPr/>
      </w:pPr>
      <w:r>
        <w:rPr/>
        <w:t>Définir le cas échéant les teintes autres que rouge ou teinte claire.</w:t>
      </w:r>
    </w:p>
    <w:p>
      <w:pPr>
        <w:pStyle w:val="Normal"/>
        <w:rPr/>
      </w:pPr>
      <w:r>
        <w:rPr/>
      </w:r>
    </w:p>
    <w:p>
      <w:pPr>
        <w:pStyle w:val="Normal"/>
        <w:rPr/>
      </w:pPr>
      <w:r>
        <w:rPr/>
      </w:r>
    </w:p>
    <w:p>
      <w:pPr>
        <w:pStyle w:val="Heading1"/>
        <w:rPr/>
      </w:pPr>
      <w:r>
        <w:rPr/>
        <w:t>C. 4.4.7. GRAVILLONS POUR BETON DE CIMENT POUR OUVRAGES D'ART</w:t>
      </w:r>
    </w:p>
    <w:p>
      <w:pPr>
        <w:pStyle w:val="Normal"/>
        <w:rPr/>
      </w:pPr>
      <w:r>
        <w:rPr/>
      </w:r>
    </w:p>
    <w:p>
      <w:pPr>
        <w:pStyle w:val="Cadre"/>
        <w:rPr/>
      </w:pPr>
      <w:r>
        <w:rPr/>
        <w:t>Définir les catégories minimales auxquelles doivent répondre les autres caractéristiques mentionnées à la NBN EN 12620 pour applications spéciales.</w:t>
      </w:r>
    </w:p>
    <w:p>
      <w:pPr>
        <w:pStyle w:val="Normal"/>
        <w:rPr/>
      </w:pPr>
      <w:r>
        <w:rPr/>
      </w:r>
    </w:p>
    <w:p>
      <w:pPr>
        <w:pStyle w:val="Normal"/>
        <w:rPr/>
      </w:pPr>
      <w:r>
        <w:rPr/>
      </w:r>
    </w:p>
    <w:p>
      <w:pPr>
        <w:pStyle w:val="Heading1"/>
        <w:keepNext w:val="true"/>
        <w:rPr/>
      </w:pPr>
      <w:r>
        <w:rPr/>
        <w:t>C. 5.4.1. GRAVES POUR SOUS-FONDATION</w:t>
      </w:r>
    </w:p>
    <w:p>
      <w:pPr>
        <w:pStyle w:val="Normal"/>
        <w:keepNext w:val="true"/>
        <w:rPr/>
      </w:pPr>
      <w:r>
        <w:rPr/>
      </w:r>
    </w:p>
    <w:p>
      <w:pPr>
        <w:pStyle w:val="Cadre"/>
        <w:keepNext w:val="true"/>
        <w:rPr/>
      </w:pPr>
      <w:r>
        <w:rPr/>
        <w:t>Définir les catégories minimales auxquelles doivent répondre les autres caractéristiques mentionnées à la NBN EN 13242 pour applications spéciales.</w:t>
      </w:r>
    </w:p>
    <w:p>
      <w:pPr>
        <w:pStyle w:val="Normal"/>
        <w:rPr/>
      </w:pPr>
      <w:r>
        <w:rPr/>
      </w:r>
    </w:p>
    <w:p>
      <w:pPr>
        <w:pStyle w:val="Normal"/>
        <w:rPr/>
      </w:pPr>
      <w:r>
        <w:rPr/>
      </w:r>
    </w:p>
    <w:p>
      <w:pPr>
        <w:pStyle w:val="Heading1"/>
        <w:rPr/>
      </w:pPr>
      <w:r>
        <w:rPr/>
        <w:t>C. 5.4.2. GRAVES POUR FONDATION EN EMPIERREMENT</w:t>
      </w:r>
    </w:p>
    <w:p>
      <w:pPr>
        <w:pStyle w:val="Normal"/>
        <w:rPr/>
      </w:pPr>
      <w:r>
        <w:rPr/>
      </w:r>
    </w:p>
    <w:p>
      <w:pPr>
        <w:pStyle w:val="Cadre"/>
        <w:rPr/>
      </w:pPr>
      <w:r>
        <w:rPr/>
        <w:t>Définir les catégories minimales auxquelles doivent répondre les autres caractéristiques mentionnées à la NBN EN 13242 pour applications spéciales.</w:t>
      </w:r>
    </w:p>
    <w:p>
      <w:pPr>
        <w:pStyle w:val="Normal"/>
        <w:rPr/>
      </w:pPr>
      <w:r>
        <w:rPr/>
      </w:r>
    </w:p>
    <w:p>
      <w:pPr>
        <w:pStyle w:val="Normal"/>
        <w:rPr/>
      </w:pPr>
      <w:r>
        <w:rPr/>
      </w:r>
    </w:p>
    <w:p>
      <w:pPr>
        <w:pStyle w:val="Heading1"/>
        <w:rPr/>
      </w:pPr>
      <w:r>
        <w:rPr/>
        <w:t>C. 5.4.3. GRAVES POUR BETON MAIGRE</w:t>
      </w:r>
    </w:p>
    <w:p>
      <w:pPr>
        <w:pStyle w:val="Normal"/>
        <w:rPr/>
      </w:pPr>
      <w:r>
        <w:rPr/>
      </w:r>
    </w:p>
    <w:p>
      <w:pPr>
        <w:pStyle w:val="Cadre"/>
        <w:rPr/>
      </w:pPr>
      <w:r>
        <w:rPr/>
        <w:t>Définir les catégories minimales auxquelles doivent répondre les autres caractéristiques mentionnées à la NBN EN 12620 pour applications spéciales.</w:t>
      </w:r>
    </w:p>
    <w:p>
      <w:pPr>
        <w:pStyle w:val="Normal"/>
        <w:rPr/>
      </w:pPr>
      <w:r>
        <w:rPr/>
      </w:r>
    </w:p>
    <w:p>
      <w:pPr>
        <w:pStyle w:val="Normal"/>
        <w:rPr/>
      </w:pPr>
      <w:r>
        <w:rPr/>
      </w:r>
    </w:p>
    <w:p>
      <w:pPr>
        <w:pStyle w:val="Heading1"/>
        <w:rPr/>
      </w:pPr>
      <w:r>
        <w:rPr/>
        <w:t>C. 5.4.4. GRAVES POUR GRAVE-BITUME</w:t>
      </w:r>
    </w:p>
    <w:p>
      <w:pPr>
        <w:pStyle w:val="Normal"/>
        <w:rPr/>
      </w:pPr>
      <w:r>
        <w:rPr/>
      </w:r>
    </w:p>
    <w:p>
      <w:pPr>
        <w:pStyle w:val="Cadre"/>
        <w:rPr/>
      </w:pPr>
      <w:r>
        <w:rPr/>
        <w:t>Définir les catégories minimales auxquelles doivent répondre les autres caractéristiques mentionnées à la NBN EN 13043 pour applications spéciales.</w:t>
      </w:r>
    </w:p>
    <w:p>
      <w:pPr>
        <w:pStyle w:val="Normal"/>
        <w:rPr/>
      </w:pPr>
      <w:r>
        <w:rPr/>
      </w:r>
    </w:p>
    <w:p>
      <w:pPr>
        <w:pStyle w:val="Normal"/>
        <w:rPr/>
      </w:pPr>
      <w:r>
        <w:rPr/>
      </w:r>
    </w:p>
    <w:p>
      <w:pPr>
        <w:pStyle w:val="Heading1"/>
        <w:rPr/>
      </w:pPr>
      <w:r>
        <w:rPr/>
        <w:t>C. 5.4.5. GRAVES POUR MATERIAUX BITUMINEUX COULES A FROID</w:t>
      </w:r>
    </w:p>
    <w:p>
      <w:pPr>
        <w:pStyle w:val="Normal"/>
        <w:rPr/>
      </w:pPr>
      <w:r>
        <w:rPr/>
      </w:r>
    </w:p>
    <w:p>
      <w:pPr>
        <w:pStyle w:val="Puces2"/>
        <w:numPr>
          <w:ilvl w:val="0"/>
          <w:numId w:val="1"/>
        </w:numPr>
        <w:tabs>
          <w:tab w:val="clear" w:pos="284"/>
        </w:tabs>
        <w:rPr/>
      </w:pPr>
      <w:r>
        <w:rPr/>
        <w:t>Définir les catégories minimales auxquelles doivent répondre les autres caractéristiques mentionnées à la NBN EN 13043 pour applications spéciales.</w:t>
      </w:r>
    </w:p>
    <w:p>
      <w:pPr>
        <w:pStyle w:val="Puces2"/>
        <w:numPr>
          <w:ilvl w:val="0"/>
          <w:numId w:val="1"/>
        </w:numPr>
        <w:tabs>
          <w:tab w:val="clear" w:pos="284"/>
        </w:tabs>
        <w:rPr/>
      </w:pPr>
      <w:r>
        <w:rPr/>
        <w:t>Définir le cas échéant les teintes autres que rouge ou teinte claire.</w:t>
      </w:r>
    </w:p>
    <w:p>
      <w:pPr>
        <w:pStyle w:val="Normal"/>
        <w:rPr/>
      </w:pPr>
      <w:r>
        <w:rPr/>
      </w:r>
    </w:p>
    <w:p>
      <w:pPr>
        <w:pStyle w:val="BodyText"/>
        <w:rPr/>
      </w:pPr>
      <w:r>
        <w:rPr/>
      </w:r>
    </w:p>
    <w:p>
      <w:pPr>
        <w:pStyle w:val="Heading1"/>
        <w:rPr/>
      </w:pPr>
      <w:r>
        <w:rPr/>
        <w:t>C. 8.4. Ciment – Spécifications relatives à l’utilisation</w:t>
      </w:r>
    </w:p>
    <w:p>
      <w:pPr>
        <w:pStyle w:val="BodyText"/>
        <w:rPr/>
      </w:pPr>
      <w:r>
        <w:rPr/>
      </w:r>
    </w:p>
    <w:p>
      <w:pPr>
        <w:pStyle w:val="Cadre"/>
        <w:rPr/>
      </w:pPr>
      <w:r>
        <w:rPr/>
        <w:t xml:space="preserve">Définir les ciments à utiliser s’ils diffèrent de ceux prescrits au </w:t>
      </w:r>
      <w:r>
        <w:rPr>
          <w:color w:val="0000FF"/>
        </w:rPr>
        <w:t>C. 8.4</w:t>
      </w:r>
      <w:r>
        <w:rPr/>
        <w:t>.</w:t>
      </w:r>
    </w:p>
    <w:p>
      <w:pPr>
        <w:pStyle w:val="BodyText"/>
        <w:rPr/>
      </w:pPr>
      <w:r>
        <w:rPr/>
      </w:r>
    </w:p>
    <w:p>
      <w:pPr>
        <w:pStyle w:val="BodyText"/>
        <w:rPr/>
      </w:pPr>
      <w:r>
        <w:rPr/>
      </w:r>
    </w:p>
    <w:p>
      <w:pPr>
        <w:pStyle w:val="Heading1"/>
        <w:rPr/>
      </w:pPr>
      <w:r>
        <w:rPr/>
        <w:t>C. 8.5. Ciment – LIVRAISON ET ENTREPOSAGE</w:t>
      </w:r>
    </w:p>
    <w:p>
      <w:pPr>
        <w:pStyle w:val="BodyText"/>
        <w:rPr/>
      </w:pPr>
      <w:r>
        <w:rPr/>
      </w:r>
    </w:p>
    <w:p>
      <w:pPr>
        <w:pStyle w:val="Cadre"/>
        <w:rPr/>
      </w:pPr>
      <w:r>
        <w:rPr/>
        <w:t>Définir le cas échéant les conditions de livraison.</w:t>
      </w:r>
    </w:p>
    <w:p>
      <w:pPr>
        <w:pStyle w:val="BodyText"/>
        <w:rPr/>
      </w:pPr>
      <w:r>
        <w:rPr/>
      </w:r>
    </w:p>
    <w:p>
      <w:pPr>
        <w:pStyle w:val="BodyText"/>
        <w:rPr/>
      </w:pPr>
      <w:r>
        <w:rPr/>
      </w:r>
    </w:p>
    <w:p>
      <w:pPr>
        <w:pStyle w:val="Heading1"/>
        <w:rPr/>
      </w:pPr>
      <w:r>
        <w:rPr/>
        <w:t>C. 9.3. CHAUX – RECEPTION TECHNIQUE PREALABLE</w:t>
      </w:r>
    </w:p>
    <w:p>
      <w:pPr>
        <w:pStyle w:val="BodyText"/>
        <w:rPr/>
      </w:pPr>
      <w:r>
        <w:rPr/>
      </w:r>
    </w:p>
    <w:p>
      <w:pPr>
        <w:pStyle w:val="Cadre"/>
        <w:rPr/>
      </w:pPr>
      <w:r>
        <w:rPr/>
        <w:t>Définir les autres caractéristiques pour applications spéciales et leur fréquence d'essai.</w:t>
      </w:r>
    </w:p>
    <w:p>
      <w:pPr>
        <w:pStyle w:val="BodyText"/>
        <w:rPr/>
      </w:pPr>
      <w:r>
        <w:rPr/>
      </w:r>
    </w:p>
    <w:p>
      <w:pPr>
        <w:pStyle w:val="BodyText"/>
        <w:rPr/>
      </w:pPr>
      <w:r>
        <w:rPr/>
      </w:r>
    </w:p>
    <w:p>
      <w:pPr>
        <w:pStyle w:val="Heading1"/>
        <w:rPr/>
      </w:pPr>
      <w:r>
        <w:rPr/>
        <w:t>C. 10.1.3. ADDITIFS POUR TRAITEMENT DE SOLS OU DE GRANULATS</w:t>
      </w:r>
    </w:p>
    <w:p>
      <w:pPr>
        <w:pStyle w:val="BodyText"/>
        <w:rPr/>
      </w:pPr>
      <w:r>
        <w:rPr/>
      </w:r>
    </w:p>
    <w:p>
      <w:pPr>
        <w:pStyle w:val="Cadre"/>
        <w:rPr/>
      </w:pPr>
      <w:r>
        <w:rPr/>
        <w:t>Définir les autres caractéristiques pour applications spéciales et leur fréquence d'essai.</w:t>
      </w:r>
    </w:p>
    <w:p>
      <w:pPr>
        <w:pStyle w:val="BodyText"/>
        <w:rPr/>
      </w:pPr>
      <w:r>
        <w:rPr/>
      </w:r>
    </w:p>
    <w:p>
      <w:pPr>
        <w:pStyle w:val="BodyText"/>
        <w:rPr/>
      </w:pPr>
      <w:r>
        <w:rPr/>
      </w:r>
    </w:p>
    <w:p>
      <w:pPr>
        <w:pStyle w:val="Heading1"/>
        <w:rPr/>
      </w:pPr>
      <w:r>
        <w:rPr/>
        <w:t>C. 10.2.2. FINES DE SCORIES BOF ET EAF</w:t>
      </w:r>
    </w:p>
    <w:p>
      <w:pPr>
        <w:pStyle w:val="BodyText"/>
        <w:rPr/>
      </w:pPr>
      <w:r>
        <w:rPr/>
      </w:r>
    </w:p>
    <w:p>
      <w:pPr>
        <w:pStyle w:val="Cadre"/>
        <w:rPr/>
      </w:pPr>
      <w:r>
        <w:rPr/>
        <w:t>Définir les autres caractéristiques pour applications spéciales et leur fréquence d'essai.</w:t>
      </w:r>
    </w:p>
    <w:p>
      <w:pPr>
        <w:pStyle w:val="BodyText"/>
        <w:rPr/>
      </w:pPr>
      <w:r>
        <w:rPr/>
      </w:r>
    </w:p>
    <w:p>
      <w:pPr>
        <w:pStyle w:val="BodyText"/>
        <w:rPr/>
      </w:pPr>
      <w:r>
        <w:rPr/>
      </w:r>
    </w:p>
    <w:p>
      <w:pPr>
        <w:pStyle w:val="Heading1"/>
        <w:rPr/>
      </w:pPr>
      <w:r>
        <w:rPr/>
        <w:t>C. 11.1.2. FILLERS POUR MELANGE BITUMINEUX ET ASPHALTE COULE</w:t>
      </w:r>
    </w:p>
    <w:p>
      <w:pPr>
        <w:pStyle w:val="BodyText"/>
        <w:rPr/>
      </w:pPr>
      <w:r>
        <w:rPr/>
      </w:r>
    </w:p>
    <w:p>
      <w:pPr>
        <w:pStyle w:val="Cadre"/>
        <w:rPr/>
      </w:pPr>
      <w:r>
        <w:rPr/>
        <w:t>Définir les catégories minimales auxquelles doivent répondre les autres caractéristiques mentionnées à la NBN EN 13043 pour applications spéciales.</w:t>
      </w:r>
    </w:p>
    <w:p>
      <w:pPr>
        <w:pStyle w:val="BodyText"/>
        <w:rPr/>
      </w:pPr>
      <w:r>
        <w:rPr/>
      </w:r>
    </w:p>
    <w:p>
      <w:pPr>
        <w:pStyle w:val="BodyText"/>
        <w:rPr/>
      </w:pPr>
      <w:r>
        <w:rPr/>
      </w:r>
    </w:p>
    <w:p>
      <w:pPr>
        <w:pStyle w:val="Heading1"/>
        <w:rPr/>
      </w:pPr>
      <w:r>
        <w:rPr/>
        <w:t>C. 12. Liants pour produits hydrocarbonés</w:t>
      </w:r>
    </w:p>
    <w:p>
      <w:pPr>
        <w:pStyle w:val="Normal"/>
        <w:rPr/>
      </w:pPr>
      <w:r>
        <w:rPr/>
      </w:r>
    </w:p>
    <w:p>
      <w:pPr>
        <w:pStyle w:val="Normal"/>
        <w:rPr/>
      </w:pPr>
      <w:r>
        <w:rPr/>
        <w:t xml:space="preserve">Afin de faciliter la tâche des auteurs de projet, les spécifications propres aux produits d’usage courant en Région wallonne sont reprises dans les divers paragraphes du </w:t>
      </w:r>
      <w:r>
        <w:rPr>
          <w:color w:val="0000FF"/>
        </w:rPr>
        <w:t>C. 12</w:t>
      </w:r>
      <w:r>
        <w:rPr/>
        <w:t>.</w:t>
      </w:r>
    </w:p>
    <w:p>
      <w:pPr>
        <w:pStyle w:val="Normal"/>
        <w:rPr/>
      </w:pPr>
      <w:r>
        <w:rPr/>
        <w:t xml:space="preserve">Les listes de produits retenus ne sont toutefois pas limitatives, et le recours à d’autres types figurant dans les normes est possible pour certaines applications particulières, sur base d’une note justificative. </w:t>
      </w:r>
    </w:p>
    <w:p>
      <w:pPr>
        <w:pStyle w:val="Normal"/>
        <w:rPr/>
      </w:pPr>
      <w:r>
        <w:rPr/>
      </w:r>
    </w:p>
    <w:p>
      <w:pPr>
        <w:pStyle w:val="Normal"/>
        <w:rPr/>
      </w:pPr>
      <w:r>
        <w:rPr/>
        <w:t xml:space="preserve">Les caractéristiques informatives ne font pas l’objet de spécifications contractuelles. Ce sont des valeurs à déclarer par le fabricant (TBR) et qui doivent permettre d’améliorer la connaissance des matériaux, le but final étant bien sûr la fixation en toute connaissance de cause de limites contractuelles. </w:t>
      </w:r>
    </w:p>
    <w:p>
      <w:pPr>
        <w:pStyle w:val="Normal"/>
        <w:rPr/>
      </w:pPr>
      <w:r>
        <w:rPr/>
      </w:r>
    </w:p>
    <w:p>
      <w:pPr>
        <w:pStyle w:val="Normal"/>
        <w:rPr/>
      </w:pPr>
      <w:r>
        <w:rPr/>
      </w:r>
    </w:p>
    <w:p>
      <w:pPr>
        <w:pStyle w:val="Heading1"/>
        <w:rPr/>
      </w:pPr>
      <w:r>
        <w:rPr/>
        <w:t>C. 12.8. Emulsions cationiques de bitume(s)</w:t>
      </w:r>
    </w:p>
    <w:p>
      <w:pPr>
        <w:pStyle w:val="Normal"/>
        <w:rPr/>
      </w:pPr>
      <w:r>
        <w:rPr/>
      </w:r>
    </w:p>
    <w:p>
      <w:pPr>
        <w:pStyle w:val="Normal"/>
        <w:rPr/>
      </w:pPr>
      <w:r>
        <w:rPr/>
        <w:t xml:space="preserve">Les appellations des émulsions cationiques de bitumes se déchiffrent comme suit: </w:t>
      </w:r>
    </w:p>
    <w:p>
      <w:pPr>
        <w:pStyle w:val="Normal"/>
        <w:rPr/>
      </w:pPr>
      <w:r>
        <w:rPr/>
        <w:t>(exemples: C60B1, C60BP3 (AA))</w:t>
      </w:r>
    </w:p>
    <w:p>
      <w:pPr>
        <w:pStyle w:val="Puces1"/>
        <w:numPr>
          <w:ilvl w:val="0"/>
          <w:numId w:val="1"/>
        </w:numPr>
        <w:rPr>
          <w:i/>
        </w:rPr>
      </w:pPr>
      <w:r>
        <w:rPr>
          <w:i/>
        </w:rPr>
        <w:t>C: émulsion cationique</w:t>
      </w:r>
    </w:p>
    <w:p>
      <w:pPr>
        <w:pStyle w:val="Puces1"/>
        <w:numPr>
          <w:ilvl w:val="0"/>
          <w:numId w:val="1"/>
        </w:numPr>
        <w:rPr>
          <w:i/>
        </w:rPr>
      </w:pPr>
      <w:r>
        <w:rPr>
          <w:i/>
        </w:rPr>
        <w:t>60: teneur en liant (%)</w:t>
      </w:r>
    </w:p>
    <w:p>
      <w:pPr>
        <w:pStyle w:val="Puces1"/>
        <w:numPr>
          <w:ilvl w:val="0"/>
          <w:numId w:val="1"/>
        </w:numPr>
        <w:rPr>
          <w:i/>
        </w:rPr>
      </w:pPr>
      <w:r>
        <w:rPr>
          <w:i/>
        </w:rPr>
        <w:t>B: bitume routier</w:t>
      </w:r>
    </w:p>
    <w:p>
      <w:pPr>
        <w:pStyle w:val="Puces1"/>
        <w:numPr>
          <w:ilvl w:val="0"/>
          <w:numId w:val="1"/>
        </w:numPr>
        <w:rPr>
          <w:i/>
        </w:rPr>
      </w:pPr>
      <w:r>
        <w:rPr>
          <w:i/>
        </w:rPr>
        <w:t>BP: bitume polymère</w:t>
      </w:r>
    </w:p>
    <w:p>
      <w:pPr>
        <w:pStyle w:val="Puces1"/>
        <w:numPr>
          <w:ilvl w:val="0"/>
          <w:numId w:val="1"/>
        </w:numPr>
        <w:rPr>
          <w:i/>
        </w:rPr>
      </w:pPr>
      <w:r>
        <w:rPr>
          <w:i/>
        </w:rPr>
        <w:t>y: classes d’indice de rupture (2 à 10), à déclarer par le fabricant</w:t>
      </w:r>
    </w:p>
    <w:p>
      <w:pPr>
        <w:pStyle w:val="Puces1"/>
        <w:numPr>
          <w:ilvl w:val="0"/>
          <w:numId w:val="1"/>
        </w:numPr>
        <w:rPr>
          <w:i/>
        </w:rPr>
      </w:pPr>
      <w:r>
        <w:rPr>
          <w:i/>
        </w:rPr>
        <w:t>AA: anti-adhérente.</w:t>
      </w:r>
    </w:p>
    <w:p>
      <w:pPr>
        <w:pStyle w:val="Normal"/>
        <w:rPr/>
      </w:pPr>
      <w:r>
        <w:rPr/>
      </w:r>
    </w:p>
    <w:p>
      <w:pPr>
        <w:pStyle w:val="Normal"/>
        <w:rPr/>
      </w:pPr>
      <w:r>
        <w:rPr/>
        <w:t>Les utilisations les plus courantes sont présentées dans le tableau suivant:</w:t>
      </w:r>
    </w:p>
    <w:p>
      <w:pPr>
        <w:pStyle w:val="Normal"/>
        <w:spacing w:before="0" w:after="0"/>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34" w:footer="720" w:bottom="1134"/>
          <w:pgNumType w:fmt="decimal"/>
          <w:formProt w:val="false"/>
          <w:textDirection w:val="lrTb"/>
          <w:docGrid w:type="default" w:linePitch="100" w:charSpace="0"/>
        </w:sectPr>
      </w:pPr>
      <w:r>
        <w:rPr/>
      </w:r>
    </w:p>
    <w:p>
      <w:pPr>
        <w:pStyle w:val="Heading9"/>
        <w:rPr/>
      </w:pPr>
      <w:r>
        <w:rPr/>
        <w:t>Tableau d’utilisation des émulsions</w:t>
      </w:r>
    </w:p>
    <w:p>
      <w:pPr>
        <w:pStyle w:val="Normal"/>
        <w:rPr/>
      </w:pPr>
      <w:r>
        <w:rPr/>
      </w:r>
    </w:p>
    <w:tbl>
      <w:tblPr>
        <w:tblW w:w="14688" w:type="dxa"/>
        <w:jc w:val="start"/>
        <w:tblInd w:w="-38" w:type="dxa"/>
        <w:tblLayout w:type="fixed"/>
        <w:tblCellMar>
          <w:top w:w="0" w:type="dxa"/>
          <w:start w:w="70" w:type="dxa"/>
          <w:bottom w:w="0" w:type="dxa"/>
          <w:end w:w="70" w:type="dxa"/>
        </w:tblCellMar>
        <w:tblLook w:val="01e0" w:noHBand="0" w:noVBand="0" w:firstColumn="1" w:lastRow="1" w:lastColumn="1" w:firstRow="1"/>
      </w:tblPr>
      <w:tblGrid>
        <w:gridCol w:w="1652"/>
        <w:gridCol w:w="1876"/>
        <w:gridCol w:w="1593"/>
        <w:gridCol w:w="1594"/>
        <w:gridCol w:w="1595"/>
        <w:gridCol w:w="1595"/>
        <w:gridCol w:w="1594"/>
        <w:gridCol w:w="1593"/>
        <w:gridCol w:w="1596"/>
      </w:tblGrid>
      <w:tr>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0"/>
              </w:rPr>
            </w:pPr>
            <w:r>
              <w:rPr>
                <w:b/>
                <w:sz w:val="20"/>
              </w:rPr>
              <w:t>Dénomination</w:t>
              <w:br/>
              <w:t>CCT</w:t>
            </w:r>
          </w:p>
        </w:tc>
        <w:tc>
          <w:tcPr>
            <w:tcW w:w="1876"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0"/>
              </w:rPr>
            </w:pPr>
            <w:r>
              <w:rPr>
                <w:b/>
                <w:sz w:val="20"/>
              </w:rPr>
              <w:t>Dénomination</w:t>
              <w:br/>
              <w:t>NBN EN</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0"/>
              </w:rPr>
            </w:pPr>
            <w:r>
              <w:rPr>
                <w:b/>
                <w:sz w:val="20"/>
              </w:rPr>
              <w:t>Enduit</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0"/>
              </w:rPr>
            </w:pPr>
            <w:r>
              <w:rPr>
                <w:b/>
                <w:sz w:val="20"/>
              </w:rPr>
              <w:t>Couche de collage classique</w:t>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0"/>
                <w:vertAlign w:val="superscript"/>
              </w:rPr>
            </w:pPr>
            <w:r>
              <w:rPr>
                <w:b/>
                <w:sz w:val="20"/>
              </w:rPr>
              <w:t xml:space="preserve">Couche collage visqueuse à rupture rapide </w:t>
            </w:r>
            <w:r>
              <w:rPr>
                <w:b/>
                <w:sz w:val="20"/>
                <w:vertAlign w:val="superscript"/>
              </w:rPr>
              <w:t>(3)</w:t>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0"/>
              </w:rPr>
            </w:pPr>
            <w:r>
              <w:rPr>
                <w:b/>
                <w:sz w:val="20"/>
              </w:rPr>
              <w:t>Couche collage béton jeune</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0"/>
              </w:rPr>
            </w:pPr>
            <w:r>
              <w:rPr>
                <w:b/>
                <w:sz w:val="20"/>
              </w:rPr>
              <w:t>Couche collage RUMG</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0"/>
              </w:rPr>
            </w:pPr>
            <w:r>
              <w:rPr>
                <w:b/>
                <w:sz w:val="20"/>
              </w:rPr>
              <w:t>Interface antifissure</w:t>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spacing w:before="120" w:after="120"/>
              <w:jc w:val="center"/>
              <w:rPr>
                <w:b/>
                <w:sz w:val="20"/>
              </w:rPr>
            </w:pPr>
            <w:r>
              <w:rPr>
                <w:b/>
                <w:sz w:val="20"/>
              </w:rPr>
              <w:t>MBCF</w:t>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A1</w:t>
            </w:r>
          </w:p>
        </w:tc>
        <w:tc>
          <w:tcPr>
            <w:tcW w:w="18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C60By</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A2</w:t>
            </w:r>
          </w:p>
        </w:tc>
        <w:tc>
          <w:tcPr>
            <w:tcW w:w="18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A3</w:t>
            </w:r>
          </w:p>
        </w:tc>
        <w:tc>
          <w:tcPr>
            <w:tcW w:w="18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B1</w:t>
            </w:r>
          </w:p>
        </w:tc>
        <w:tc>
          <w:tcPr>
            <w:tcW w:w="18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vertAlign w:val="superscript"/>
              </w:rPr>
            </w:pPr>
            <w:r>
              <w:rPr>
                <w:sz w:val="20"/>
              </w:rPr>
              <w:t xml:space="preserve">C60BPy </w:t>
            </w:r>
            <w:r>
              <w:rPr>
                <w:sz w:val="20"/>
                <w:vertAlign w:val="superscript"/>
              </w:rPr>
              <w:t>(1)</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B2</w:t>
            </w:r>
          </w:p>
        </w:tc>
        <w:tc>
          <w:tcPr>
            <w:tcW w:w="18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B3</w:t>
            </w:r>
          </w:p>
        </w:tc>
        <w:tc>
          <w:tcPr>
            <w:tcW w:w="18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C</w:t>
            </w:r>
          </w:p>
        </w:tc>
        <w:tc>
          <w:tcPr>
            <w:tcW w:w="18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vertAlign w:val="superscript"/>
              </w:rPr>
            </w:pPr>
            <w:r>
              <w:rPr>
                <w:sz w:val="20"/>
              </w:rPr>
              <w:t xml:space="preserve">C60By(AA) </w:t>
            </w:r>
            <w:r>
              <w:rPr>
                <w:sz w:val="20"/>
                <w:vertAlign w:val="superscript"/>
              </w:rPr>
              <w:t>(2)</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D</w:t>
            </w:r>
          </w:p>
        </w:tc>
        <w:tc>
          <w:tcPr>
            <w:tcW w:w="18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vertAlign w:val="superscript"/>
              </w:rPr>
            </w:pPr>
            <w:r>
              <w:rPr>
                <w:sz w:val="20"/>
              </w:rPr>
              <w:t xml:space="preserve">C60BPy(AA) </w:t>
            </w:r>
            <w:r>
              <w:rPr>
                <w:sz w:val="20"/>
                <w:vertAlign w:val="superscript"/>
              </w:rPr>
              <w:t>(1) (2)</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E1</w:t>
            </w:r>
          </w:p>
        </w:tc>
        <w:tc>
          <w:tcPr>
            <w:tcW w:w="18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C67By</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E2</w:t>
            </w:r>
          </w:p>
        </w:tc>
        <w:tc>
          <w:tcPr>
            <w:tcW w:w="18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E3</w:t>
            </w:r>
          </w:p>
        </w:tc>
        <w:tc>
          <w:tcPr>
            <w:tcW w:w="18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F1</w:t>
            </w:r>
          </w:p>
        </w:tc>
        <w:tc>
          <w:tcPr>
            <w:tcW w:w="18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C69BPy</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F2</w:t>
            </w:r>
          </w:p>
        </w:tc>
        <w:tc>
          <w:tcPr>
            <w:tcW w:w="18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F3</w:t>
            </w:r>
          </w:p>
        </w:tc>
        <w:tc>
          <w:tcPr>
            <w:tcW w:w="18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G1</w:t>
            </w:r>
          </w:p>
        </w:tc>
        <w:tc>
          <w:tcPr>
            <w:tcW w:w="18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C67BPy</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G2</w:t>
            </w:r>
          </w:p>
        </w:tc>
        <w:tc>
          <w:tcPr>
            <w:tcW w:w="18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cantSplit w:val="true"/>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G3</w:t>
            </w:r>
          </w:p>
        </w:tc>
        <w:tc>
          <w:tcPr>
            <w:tcW w:w="18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r>
        <w:trPr/>
        <w:tc>
          <w:tcPr>
            <w:tcW w:w="16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H</w:t>
            </w:r>
          </w:p>
        </w:tc>
        <w:tc>
          <w:tcPr>
            <w:tcW w:w="18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C65BP4</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X</w:t>
            </w:r>
          </w:p>
        </w:tc>
        <w:tc>
          <w:tcPr>
            <w:tcW w:w="15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c>
          <w:tcPr>
            <w:tcW w:w="159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r>
          </w:p>
        </w:tc>
      </w:tr>
    </w:tbl>
    <w:p>
      <w:pPr>
        <w:pStyle w:val="Normal"/>
        <w:rPr>
          <w:vertAlign w:val="superscript"/>
        </w:rPr>
      </w:pPr>
      <w:r>
        <w:rPr>
          <w:vertAlign w:val="superscript"/>
        </w:rPr>
      </w:r>
    </w:p>
    <w:p>
      <w:pPr>
        <w:pStyle w:val="Normal"/>
        <w:tabs>
          <w:tab w:val="clear" w:pos="567"/>
          <w:tab w:val="left" w:pos="540" w:leader="none"/>
          <w:tab w:val="left" w:pos="900" w:leader="none"/>
        </w:tabs>
        <w:rPr>
          <w:sz w:val="20"/>
        </w:rPr>
      </w:pPr>
      <w:r>
        <w:rPr>
          <w:sz w:val="20"/>
          <w:vertAlign w:val="superscript"/>
        </w:rPr>
        <w:t xml:space="preserve">(1) </w:t>
      </w:r>
      <w:r>
        <w:rPr>
          <w:sz w:val="20"/>
        </w:rPr>
        <w:t>Une émulsion de bitume polymère est utilisée lorsque la couche d’enrobés bitumineux posée au-dessus contient également un bitume polymère.</w:t>
      </w:r>
    </w:p>
    <w:p>
      <w:pPr>
        <w:pStyle w:val="Normal"/>
        <w:tabs>
          <w:tab w:val="clear" w:pos="567"/>
          <w:tab w:val="left" w:pos="540" w:leader="none"/>
          <w:tab w:val="left" w:pos="900" w:leader="none"/>
        </w:tabs>
        <w:rPr>
          <w:sz w:val="20"/>
        </w:rPr>
      </w:pPr>
      <w:r>
        <w:rPr>
          <w:sz w:val="20"/>
          <w:vertAlign w:val="superscript"/>
        </w:rPr>
        <w:t xml:space="preserve">(2) </w:t>
      </w:r>
      <w:r>
        <w:rPr>
          <w:sz w:val="20"/>
        </w:rPr>
        <w:t>AA: émulsion anti-adhérente. Utilisation recommandée quand un trafic de chantier important est attendu ainsi qu’en couche de collage des BBTM.</w:t>
      </w:r>
    </w:p>
    <w:p>
      <w:pPr>
        <w:pStyle w:val="Normal"/>
        <w:tabs>
          <w:tab w:val="clear" w:pos="567"/>
          <w:tab w:val="left" w:pos="540" w:leader="none"/>
          <w:tab w:val="left" w:pos="900" w:leader="none"/>
        </w:tabs>
        <w:rPr>
          <w:sz w:val="20"/>
        </w:rPr>
      </w:pPr>
      <w:r>
        <w:rPr>
          <w:sz w:val="20"/>
          <w:vertAlign w:val="superscript"/>
        </w:rPr>
        <w:t xml:space="preserve">(3) </w:t>
      </w:r>
      <w:r>
        <w:rPr>
          <w:sz w:val="20"/>
        </w:rPr>
        <w:t>À utiliser lorsque la surface de pose est très rugueuse ou poreuse.</w:t>
      </w:r>
    </w:p>
    <w:p>
      <w:pPr>
        <w:pStyle w:val="Normal"/>
        <w:tabs>
          <w:tab w:val="clear" w:pos="567"/>
          <w:tab w:val="left" w:pos="851" w:leader="none"/>
        </w:tabs>
        <w:spacing w:before="0" w:after="0"/>
        <w:rPr/>
        <w:sectPr>
          <w:headerReference w:type="default" r:id="rId8"/>
          <w:headerReference w:type="first" r:id="rId9"/>
          <w:footerReference w:type="default" r:id="rId10"/>
          <w:footerReference w:type="first" r:id="rId11"/>
          <w:type w:val="nextPage"/>
          <w:pgSz w:orient="landscape" w:w="16838" w:h="11906"/>
          <w:pgMar w:left="1418" w:right="1418" w:gutter="0" w:header="720" w:top="1418" w:footer="720" w:bottom="1418"/>
          <w:pgNumType w:fmt="decimal"/>
          <w:formProt w:val="false"/>
          <w:textDirection w:val="lrTb"/>
          <w:docGrid w:type="default" w:linePitch="100" w:charSpace="0"/>
        </w:sectPr>
      </w:pPr>
      <w:r>
        <w:rPr/>
      </w:r>
    </w:p>
    <w:p>
      <w:pPr>
        <w:pStyle w:val="Heading1"/>
        <w:rPr/>
      </w:pPr>
      <w:r>
        <w:rPr/>
        <w:t>C. 12.12. ADDITIF POUR LIANT</w:t>
      </w:r>
    </w:p>
    <w:p>
      <w:pPr>
        <w:pStyle w:val="BodyText"/>
        <w:rPr/>
      </w:pPr>
      <w:r>
        <w:rPr/>
      </w:r>
    </w:p>
    <w:p>
      <w:pPr>
        <w:pStyle w:val="Cadre"/>
        <w:rPr/>
      </w:pPr>
      <w:r>
        <w:rPr/>
        <w:t>Définir le type de bitume de base, l'additif utilisé et sa proportion dans le liant.</w:t>
      </w:r>
    </w:p>
    <w:p>
      <w:pPr>
        <w:pStyle w:val="Normal"/>
        <w:rPr/>
      </w:pPr>
      <w:r>
        <w:rPr/>
      </w:r>
    </w:p>
    <w:p>
      <w:pPr>
        <w:pStyle w:val="Normal"/>
        <w:rPr/>
      </w:pPr>
      <w:r>
        <w:rPr/>
      </w:r>
    </w:p>
    <w:p>
      <w:pPr>
        <w:pStyle w:val="Heading1"/>
        <w:rPr/>
      </w:pPr>
      <w:r>
        <w:rPr/>
        <w:t>C. 13. 5. MORTIERS DE CALAGE, DE BOURRAGE ET DE SCELLEMENT A BASE DE LIANTS HYDRAULIQUES</w:t>
      </w:r>
    </w:p>
    <w:p>
      <w:pPr>
        <w:pStyle w:val="BodyText"/>
        <w:rPr/>
      </w:pPr>
      <w:r>
        <w:rPr/>
      </w:r>
    </w:p>
    <w:p>
      <w:pPr>
        <w:pStyle w:val="Cadre"/>
        <w:rPr/>
      </w:pPr>
      <w:r>
        <w:rPr/>
        <w:t>Définir les spécifications en fonction de l'objectif de l'intervention, de la géométrie et de l'inclinaison du volume à remplir et des conditions d'exposition.</w:t>
      </w:r>
    </w:p>
    <w:p>
      <w:pPr>
        <w:pStyle w:val="BodyText"/>
        <w:rPr/>
      </w:pPr>
      <w:r>
        <w:rPr/>
      </w:r>
    </w:p>
    <w:p>
      <w:pPr>
        <w:pStyle w:val="BodyText"/>
        <w:rPr/>
      </w:pPr>
      <w:r>
        <w:rPr/>
      </w:r>
    </w:p>
    <w:p>
      <w:pPr>
        <w:pStyle w:val="Heading1"/>
        <w:rPr/>
      </w:pPr>
      <w:r>
        <w:rPr/>
        <w:t>C. 13. 6. BETON PROJETE</w:t>
      </w:r>
    </w:p>
    <w:p>
      <w:pPr>
        <w:pStyle w:val="BodyText"/>
        <w:rPr/>
      </w:pPr>
      <w:r>
        <w:rPr/>
      </w:r>
    </w:p>
    <w:p>
      <w:pPr>
        <w:pStyle w:val="Puces2"/>
        <w:numPr>
          <w:ilvl w:val="0"/>
          <w:numId w:val="1"/>
        </w:numPr>
        <w:tabs>
          <w:tab w:val="clear" w:pos="284"/>
        </w:tabs>
        <w:rPr/>
      </w:pPr>
      <w:r>
        <w:rPr/>
        <w:t>Définir les spécifications en fonction du l'objectif de l'intervention et de la classe d'environnement.</w:t>
      </w:r>
    </w:p>
    <w:p>
      <w:pPr>
        <w:pStyle w:val="Puces2"/>
        <w:numPr>
          <w:ilvl w:val="0"/>
          <w:numId w:val="1"/>
        </w:numPr>
        <w:tabs>
          <w:tab w:val="clear" w:pos="284"/>
        </w:tabs>
        <w:rPr/>
      </w:pPr>
      <w:r>
        <w:rPr/>
        <w:t>Définir les vérifications et contrôles de réception technique préalable des produits.</w:t>
      </w:r>
    </w:p>
    <w:p>
      <w:pPr>
        <w:pStyle w:val="BodyText"/>
        <w:rPr/>
      </w:pPr>
      <w:r>
        <w:rPr/>
      </w:r>
    </w:p>
    <w:p>
      <w:pPr>
        <w:pStyle w:val="BodyText"/>
        <w:rPr/>
      </w:pPr>
      <w:r>
        <w:rPr/>
      </w:r>
    </w:p>
    <w:p>
      <w:pPr>
        <w:pStyle w:val="Heading1"/>
        <w:rPr/>
      </w:pPr>
      <w:r>
        <w:rPr/>
        <w:t>C. 15. FIBRES (SYNTHETIQUES ET METALLIQUES)</w:t>
      </w:r>
    </w:p>
    <w:p>
      <w:pPr>
        <w:pStyle w:val="BodyText"/>
        <w:rPr/>
      </w:pPr>
      <w:r>
        <w:rPr/>
      </w:r>
    </w:p>
    <w:p>
      <w:pPr>
        <w:pStyle w:val="Cadre"/>
        <w:rPr/>
      </w:pPr>
      <w:r>
        <w:rPr/>
        <w:t>Définir les prescriptions.</w:t>
      </w:r>
    </w:p>
    <w:p>
      <w:pPr>
        <w:pStyle w:val="BodyText"/>
        <w:rPr/>
      </w:pPr>
      <w:r>
        <w:rPr/>
      </w:r>
    </w:p>
    <w:p>
      <w:pPr>
        <w:pStyle w:val="BodyText"/>
        <w:rPr/>
      </w:pPr>
      <w:r>
        <w:rPr/>
      </w:r>
    </w:p>
    <w:p>
      <w:pPr>
        <w:pStyle w:val="Heading1"/>
        <w:rPr/>
      </w:pPr>
      <w:r>
        <w:rPr/>
        <w:t>C. 16. 5. ACIER DE PRECONTRAINTE</w:t>
      </w:r>
    </w:p>
    <w:p>
      <w:pPr>
        <w:pStyle w:val="BodyText"/>
        <w:rPr/>
      </w:pPr>
      <w:r>
        <w:rPr/>
      </w:r>
    </w:p>
    <w:p>
      <w:pPr>
        <w:pStyle w:val="Cadre"/>
        <w:rPr/>
      </w:pPr>
      <w:r>
        <w:rPr/>
        <w:t>Définir les prescriptions relatives aux barres de précontrainte.</w:t>
      </w:r>
    </w:p>
    <w:p>
      <w:pPr>
        <w:pStyle w:val="BodyText"/>
        <w:rPr/>
      </w:pPr>
      <w:r>
        <w:rPr/>
      </w:r>
    </w:p>
    <w:p>
      <w:pPr>
        <w:pStyle w:val="BodyText"/>
        <w:rPr/>
      </w:pPr>
      <w:r>
        <w:rPr/>
      </w:r>
    </w:p>
    <w:p>
      <w:pPr>
        <w:pStyle w:val="Heading1"/>
        <w:rPr/>
      </w:pPr>
      <w:r>
        <w:rPr/>
        <w:t>C. 17.4. PIGMENTS POUR BETON, MORTIER et COULIS</w:t>
      </w:r>
    </w:p>
    <w:p>
      <w:pPr>
        <w:pStyle w:val="BodyText"/>
        <w:rPr/>
      </w:pPr>
      <w:r>
        <w:rPr/>
      </w:r>
    </w:p>
    <w:p>
      <w:pPr>
        <w:pStyle w:val="Cadre"/>
        <w:rPr/>
      </w:pPr>
      <w:r>
        <w:rPr/>
        <w:t>Définir la couleur.</w:t>
      </w:r>
    </w:p>
    <w:p>
      <w:pPr>
        <w:pStyle w:val="BodyText"/>
        <w:rPr/>
      </w:pPr>
      <w:r>
        <w:rPr/>
      </w:r>
    </w:p>
    <w:p>
      <w:pPr>
        <w:pStyle w:val="BodyText"/>
        <w:rPr/>
      </w:pPr>
      <w:r>
        <w:rPr/>
      </w:r>
    </w:p>
    <w:p>
      <w:pPr>
        <w:pStyle w:val="Heading1"/>
        <w:rPr/>
      </w:pPr>
      <w:r>
        <w:rPr/>
        <w:t>C. 21.4. PRODUIT DE SCELLEMENT PRFORME MIS EN œuvre A FROID</w:t>
      </w:r>
    </w:p>
    <w:p>
      <w:pPr>
        <w:pStyle w:val="BodyText"/>
        <w:rPr/>
      </w:pPr>
      <w:r>
        <w:rPr/>
      </w:r>
    </w:p>
    <w:p>
      <w:pPr>
        <w:pStyle w:val="Cadre"/>
        <w:rPr/>
      </w:pPr>
      <w:r>
        <w:rPr/>
        <w:t>Préciser si la classe de dureté du caoutchouc ou du profilé est de 40 ou 50.</w:t>
      </w:r>
    </w:p>
    <w:p>
      <w:pPr>
        <w:pStyle w:val="BodyText"/>
        <w:rPr/>
      </w:pPr>
      <w:r>
        <w:rPr/>
      </w:r>
    </w:p>
    <w:p>
      <w:pPr>
        <w:pStyle w:val="BodyText"/>
        <w:rPr/>
      </w:pPr>
      <w:r>
        <w:rPr/>
      </w:r>
    </w:p>
    <w:p>
      <w:pPr>
        <w:pStyle w:val="Heading1"/>
        <w:rPr/>
      </w:pPr>
      <w:r>
        <w:rPr/>
        <w:t>C. 21.6. PRODUITS ET SYSTEMES D'INJECTION DU BETON</w:t>
      </w:r>
    </w:p>
    <w:p>
      <w:pPr>
        <w:pStyle w:val="BodyText"/>
        <w:rPr/>
      </w:pPr>
      <w:r>
        <w:rPr/>
      </w:r>
    </w:p>
    <w:p>
      <w:pPr>
        <w:pStyle w:val="Cadre"/>
        <w:rPr/>
      </w:pPr>
      <w:r>
        <w:rPr/>
        <w:t>Définir les spécifications en fonction du l'objectif de l'intervention (classe F, D ou S).</w:t>
      </w:r>
    </w:p>
    <w:p>
      <w:pPr>
        <w:pStyle w:val="BodyText"/>
        <w:rPr/>
      </w:pPr>
      <w:r>
        <w:rPr/>
      </w:r>
    </w:p>
    <w:p>
      <w:pPr>
        <w:pStyle w:val="BodyText"/>
        <w:rPr/>
      </w:pPr>
      <w:r>
        <w:rPr/>
      </w:r>
    </w:p>
    <w:p>
      <w:pPr>
        <w:pStyle w:val="Heading1"/>
        <w:keepNext w:val="true"/>
        <w:rPr/>
      </w:pPr>
      <w:r>
        <w:rPr/>
        <w:t>C. 24. MEMBRANE PLASTIQUE</w:t>
      </w:r>
    </w:p>
    <w:p>
      <w:pPr>
        <w:pStyle w:val="BodyText"/>
        <w:keepNext w:val="true"/>
        <w:rPr/>
      </w:pPr>
      <w:r>
        <w:rPr/>
      </w:r>
    </w:p>
    <w:p>
      <w:pPr>
        <w:pStyle w:val="Cadre"/>
        <w:keepNext w:val="true"/>
        <w:rPr/>
      </w:pPr>
      <w:r>
        <w:rPr/>
        <w:t>Définir les spécifications relatives à l'épaisseur et à la masse surfacique si elles sont différentes des valeurs minimales spécifiées (e ≥ 0,05 mm et masse surfacique ≥ 45 g/m²).</w:t>
      </w:r>
    </w:p>
    <w:p>
      <w:pPr>
        <w:pStyle w:val="BodyText"/>
        <w:rPr/>
      </w:pPr>
      <w:r>
        <w:rPr/>
      </w:r>
    </w:p>
    <w:p>
      <w:pPr>
        <w:pStyle w:val="BodyText"/>
        <w:rPr/>
      </w:pPr>
      <w:r>
        <w:rPr/>
      </w:r>
    </w:p>
    <w:p>
      <w:pPr>
        <w:pStyle w:val="Heading1"/>
        <w:rPr/>
      </w:pPr>
      <w:r>
        <w:rPr/>
        <w:t>C. 25. GEOTEXTILES</w:t>
      </w:r>
    </w:p>
    <w:p>
      <w:pPr>
        <w:pStyle w:val="BodyText"/>
        <w:rPr/>
      </w:pPr>
      <w:r>
        <w:rPr/>
      </w:r>
    </w:p>
    <w:p>
      <w:pPr>
        <w:pStyle w:val="Puces2"/>
        <w:numPr>
          <w:ilvl w:val="0"/>
          <w:numId w:val="1"/>
        </w:numPr>
        <w:tabs>
          <w:tab w:val="clear" w:pos="284"/>
        </w:tabs>
        <w:rPr/>
      </w:pPr>
      <w:r>
        <w:rPr/>
        <w:t>Indiquer le d90 s'il est différent de 63 μm.</w:t>
      </w:r>
    </w:p>
    <w:p>
      <w:pPr>
        <w:pStyle w:val="Puces2"/>
        <w:numPr>
          <w:ilvl w:val="0"/>
          <w:numId w:val="1"/>
        </w:numPr>
        <w:tabs>
          <w:tab w:val="clear" w:pos="284"/>
        </w:tabs>
        <w:rPr/>
      </w:pPr>
      <w:r>
        <w:rPr/>
        <w:t>Définir les caractéristiques des géotextiles en fonction de leur application.</w:t>
      </w:r>
    </w:p>
    <w:p>
      <w:pPr>
        <w:pStyle w:val="BodyText"/>
        <w:rPr/>
      </w:pPr>
      <w:r>
        <w:rPr/>
      </w:r>
    </w:p>
    <w:p>
      <w:pPr>
        <w:pStyle w:val="BodyText"/>
        <w:rPr/>
      </w:pPr>
      <w:r>
        <w:rPr/>
      </w:r>
    </w:p>
    <w:p>
      <w:pPr>
        <w:pStyle w:val="Heading1"/>
        <w:rPr/>
      </w:pPr>
      <w:r>
        <w:rPr/>
        <w:t>C. 26. GEOCOMPOSITE DRAINANT</w:t>
      </w:r>
    </w:p>
    <w:p>
      <w:pPr>
        <w:pStyle w:val="BodyText"/>
        <w:rPr/>
      </w:pPr>
      <w:r>
        <w:rPr/>
      </w:r>
    </w:p>
    <w:p>
      <w:pPr>
        <w:pStyle w:val="Puces2"/>
        <w:numPr>
          <w:ilvl w:val="0"/>
          <w:numId w:val="1"/>
        </w:numPr>
        <w:tabs>
          <w:tab w:val="clear" w:pos="284"/>
        </w:tabs>
        <w:rPr/>
      </w:pPr>
      <w:r>
        <w:rPr/>
        <w:t>Pour les géotextiles et produits apparentés, définir la durabilité requise (jusqu'à 5 ans, jusqu'à 25 ans, supérieure à 25 ans) et la durée maximale d'exposition.</w:t>
      </w:r>
    </w:p>
    <w:p>
      <w:pPr>
        <w:pStyle w:val="Puces2"/>
        <w:numPr>
          <w:ilvl w:val="0"/>
          <w:numId w:val="1"/>
        </w:numPr>
        <w:tabs>
          <w:tab w:val="clear" w:pos="284"/>
        </w:tabs>
        <w:rPr/>
      </w:pPr>
      <w:r>
        <w:rPr/>
        <w:t>Indiquer le nombre de faces recouvertes d'un filtre en géotextile et la présence éventuelle d'une membrane imperméable.</w:t>
      </w:r>
    </w:p>
    <w:p>
      <w:pPr>
        <w:pStyle w:val="Puces2"/>
        <w:numPr>
          <w:ilvl w:val="0"/>
          <w:numId w:val="1"/>
        </w:numPr>
        <w:tabs>
          <w:tab w:val="clear" w:pos="284"/>
        </w:tabs>
        <w:rPr/>
      </w:pPr>
      <w:r>
        <w:rPr/>
        <w:t>Indiquer la hauteur et l'épaisseur du géocomposite ainsi que sa capacité de débit dans le plan.</w:t>
      </w:r>
    </w:p>
    <w:p>
      <w:pPr>
        <w:pStyle w:val="Puces2"/>
        <w:numPr>
          <w:ilvl w:val="0"/>
          <w:numId w:val="1"/>
        </w:numPr>
        <w:tabs>
          <w:tab w:val="clear" w:pos="284"/>
        </w:tabs>
        <w:rPr/>
      </w:pPr>
      <w:r>
        <w:rPr/>
        <w:t>Indiquer le type et le nombre d'accessoires pour compléter le système de drainage.</w:t>
      </w:r>
    </w:p>
    <w:p>
      <w:pPr>
        <w:pStyle w:val="Puces2"/>
        <w:numPr>
          <w:ilvl w:val="0"/>
          <w:numId w:val="1"/>
        </w:numPr>
        <w:tabs>
          <w:tab w:val="clear" w:pos="284"/>
        </w:tabs>
        <w:rPr/>
      </w:pPr>
      <w:r>
        <w:rPr/>
        <w:t>Indiquer l'épaisseur et la masse surfacique de la membrane imperméable.</w:t>
      </w:r>
    </w:p>
    <w:p>
      <w:pPr>
        <w:pStyle w:val="Puces2"/>
        <w:numPr>
          <w:ilvl w:val="0"/>
          <w:numId w:val="1"/>
        </w:numPr>
        <w:tabs>
          <w:tab w:val="clear" w:pos="284"/>
        </w:tabs>
        <w:rPr/>
      </w:pPr>
      <w:r>
        <w:rPr/>
        <w:t>Indiquer la résistance à la compression à court terme des géoespaceurs, si elle diffère des prescriptions.</w:t>
      </w:r>
    </w:p>
    <w:p>
      <w:pPr>
        <w:pStyle w:val="BodyText"/>
        <w:rPr/>
      </w:pPr>
      <w:r>
        <w:rPr/>
      </w:r>
    </w:p>
    <w:p>
      <w:pPr>
        <w:pStyle w:val="BodyText"/>
        <w:rPr/>
      </w:pPr>
      <w:r>
        <w:rPr/>
      </w:r>
    </w:p>
    <w:p>
      <w:pPr>
        <w:pStyle w:val="Heading1"/>
        <w:rPr/>
      </w:pPr>
      <w:r>
        <w:rPr/>
        <w:t>C. 27.4. ARMATURES ALVEOLAIRES</w:t>
      </w:r>
    </w:p>
    <w:p>
      <w:pPr>
        <w:pStyle w:val="BodyText"/>
        <w:rPr/>
      </w:pPr>
      <w:r>
        <w:rPr/>
      </w:r>
    </w:p>
    <w:p>
      <w:pPr>
        <w:pStyle w:val="Cadre"/>
        <w:rPr/>
      </w:pPr>
      <w:r>
        <w:rPr/>
        <w:t>Préciser si l'acier est galvanisé.</w:t>
      </w:r>
    </w:p>
    <w:p>
      <w:pPr>
        <w:pStyle w:val="BodyText"/>
        <w:rPr/>
      </w:pPr>
      <w:r>
        <w:rPr/>
      </w:r>
    </w:p>
    <w:p>
      <w:pPr>
        <w:pStyle w:val="BodyText"/>
        <w:rPr/>
      </w:pPr>
      <w:r>
        <w:rPr/>
      </w:r>
    </w:p>
    <w:p>
      <w:pPr>
        <w:pStyle w:val="Heading1"/>
        <w:rPr/>
      </w:pPr>
      <w:r>
        <w:rPr/>
        <w:t>C. 28.1. PIERRE NATURELLE  - GENERALITES</w:t>
      </w:r>
    </w:p>
    <w:p>
      <w:pPr>
        <w:pStyle w:val="Normal"/>
        <w:rPr>
          <w:rFonts w:ascii="Arial" w:hAnsi="Arial" w:cs="Arial"/>
          <w:sz w:val="20"/>
          <w:lang w:eastAsia="de-DE"/>
        </w:rPr>
      </w:pPr>
      <w:r>
        <w:rPr>
          <w:rFonts w:cs="Arial" w:ascii="Arial" w:hAnsi="Arial"/>
          <w:sz w:val="20"/>
          <w:lang w:eastAsia="de-DE"/>
        </w:rPr>
      </w:r>
    </w:p>
    <w:p>
      <w:pPr>
        <w:pStyle w:val="Puces2"/>
        <w:numPr>
          <w:ilvl w:val="0"/>
          <w:numId w:val="0"/>
        </w:numPr>
        <w:tabs>
          <w:tab w:val="clear" w:pos="284"/>
        </w:tabs>
        <w:ind w:hanging="0" w:start="0"/>
        <w:rPr/>
      </w:pPr>
      <w:r>
        <w:rPr/>
        <w:t>Préciser la nature de la pierre requise en référence aux natures définies aux C.28.2 à C.28.5.</w:t>
      </w:r>
    </w:p>
    <w:p>
      <w:pPr>
        <w:pStyle w:val="Normal"/>
        <w:rPr>
          <w:i w:val="false"/>
        </w:rPr>
      </w:pPr>
      <w:r>
        <w:rPr>
          <w:i w:val="false"/>
        </w:rPr>
      </w:r>
    </w:p>
    <w:p>
      <w:pPr>
        <w:pStyle w:val="Normal"/>
        <w:rPr/>
      </w:pPr>
      <w:r>
        <w:rPr/>
        <w:t xml:space="preserve">Par sa nature, la pierre présente une variabilité de teinte et d’aspect qui en fait sa spécificité et dont les limites sont fixées par les échantillons contractuels.  </w:t>
      </w:r>
    </w:p>
    <w:p>
      <w:pPr>
        <w:pStyle w:val="ListParagraph"/>
        <w:numPr>
          <w:ilvl w:val="0"/>
          <w:numId w:val="3"/>
        </w:numPr>
        <w:spacing w:before="0" w:after="120"/>
        <w:contextualSpacing/>
        <w:rPr/>
      </w:pPr>
      <w:r>
        <w:rPr/>
        <w:t>La couleur observée sur l’échantillon va évoluer sur les produits mis en œuvre par patine et usure.  Cette variation est annoncée par l’adjudicataire et prise en considération par le pouvoir adjudicateur dans le choix des matériaux et de la finition.</w:t>
      </w:r>
    </w:p>
    <w:p>
      <w:pPr>
        <w:pStyle w:val="ListParagraph"/>
        <w:numPr>
          <w:ilvl w:val="0"/>
          <w:numId w:val="3"/>
        </w:numPr>
        <w:spacing w:before="0" w:after="120"/>
        <w:contextualSpacing/>
        <w:rPr/>
      </w:pPr>
      <w:r>
        <w:rPr/>
        <w:t xml:space="preserve">Un échantillon témoin, présenté par le pouvoir adjudicateur, peut illustrer les exigences de teinte et d’aspect.  La conformité du produit proposé est également évaluée par rapport à ce référentiel.  </w:t>
      </w:r>
    </w:p>
    <w:p>
      <w:pPr>
        <w:pStyle w:val="ListParagraph"/>
        <w:numPr>
          <w:ilvl w:val="0"/>
          <w:numId w:val="3"/>
        </w:numPr>
        <w:spacing w:before="0" w:after="120"/>
        <w:contextualSpacing/>
        <w:rPr/>
      </w:pPr>
      <w:r>
        <w:rPr/>
        <w:t xml:space="preserve">De façon globale, il faut également distinguer les défauts techniques, entraînant le rebut de l’élément, des particularités esthétiques, d’appréciation plus subjective. Les exigences sont nuancées selon les faces vues ou cachées lors de la mise en œuvre. </w:t>
      </w:r>
    </w:p>
    <w:p>
      <w:pPr>
        <w:pStyle w:val="BodyText"/>
        <w:rPr>
          <w:lang w:val="fr-BE"/>
        </w:rPr>
      </w:pPr>
      <w:r>
        <w:rPr>
          <w:lang w:val="fr-BE"/>
        </w:rPr>
      </w:r>
    </w:p>
    <w:p>
      <w:pPr>
        <w:pStyle w:val="Heading1"/>
        <w:rPr/>
      </w:pPr>
      <w:r>
        <w:rPr/>
      </w:r>
    </w:p>
    <w:p>
      <w:pPr>
        <w:pStyle w:val="Heading1"/>
        <w:rPr/>
      </w:pPr>
      <w:r>
        <w:rPr/>
        <w:t>C. 28.1.2.2. PIERRE NATURELLE – ECHANTILLON CONTRACTUEL</w:t>
      </w:r>
    </w:p>
    <w:p>
      <w:pPr>
        <w:pStyle w:val="BodyText"/>
        <w:rPr>
          <w:rFonts w:ascii="Arial" w:hAnsi="Arial" w:cs="Arial"/>
          <w:sz w:val="22"/>
          <w:szCs w:val="22"/>
        </w:rPr>
      </w:pPr>
      <w:r>
        <w:rPr>
          <w:rFonts w:cs="Arial" w:ascii="Arial" w:hAnsi="Arial"/>
          <w:sz w:val="22"/>
          <w:szCs w:val="22"/>
        </w:rPr>
      </w:r>
    </w:p>
    <w:p>
      <w:pPr>
        <w:pStyle w:val="Cadre"/>
        <w:numPr>
          <w:ilvl w:val="0"/>
          <w:numId w:val="4"/>
        </w:numPr>
        <w:ind w:hanging="426" w:start="426"/>
        <w:rPr/>
      </w:pPr>
      <w:r>
        <w:rPr/>
        <w:t>Préciser les variations d'aspect admises (teintes, homogénéité…) et la finition de surface requise.</w:t>
      </w:r>
    </w:p>
    <w:p>
      <w:pPr>
        <w:pStyle w:val="Cadre"/>
        <w:numPr>
          <w:ilvl w:val="0"/>
          <w:numId w:val="4"/>
        </w:numPr>
        <w:ind w:hanging="426" w:start="426"/>
        <w:rPr/>
      </w:pPr>
      <w:r>
        <w:rPr/>
        <w:t>Indiquer si la fourniture de l’échantillon contractuel est exigée au moment du dépôt des offres.(*)</w:t>
      </w:r>
    </w:p>
    <w:p>
      <w:pPr>
        <w:pStyle w:val="BodyText"/>
        <w:rPr>
          <w:rFonts w:ascii="Arial" w:hAnsi="Arial" w:cs="Arial"/>
          <w:i/>
          <w:iCs/>
          <w:sz w:val="20"/>
        </w:rPr>
      </w:pPr>
      <w:r>
        <w:rPr>
          <w:rFonts w:cs="Arial" w:ascii="Arial" w:hAnsi="Arial"/>
          <w:i/>
          <w:iCs/>
          <w:sz w:val="20"/>
        </w:rPr>
      </w:r>
    </w:p>
    <w:p>
      <w:pPr>
        <w:pStyle w:val="BodyText"/>
        <w:rPr>
          <w:i/>
          <w:iCs/>
          <w:szCs w:val="24"/>
        </w:rPr>
      </w:pPr>
      <w:r>
        <w:rPr>
          <w:i/>
          <w:iCs/>
          <w:szCs w:val="24"/>
        </w:rPr>
        <w:t>L’échantillon contractuel est aussi dénommé échantillon de référence dans les normes européennes (NBN EN) et dans les PTVs.</w:t>
      </w:r>
    </w:p>
    <w:p>
      <w:pPr>
        <w:pStyle w:val="BodyText"/>
        <w:tabs>
          <w:tab w:val="clear" w:pos="567"/>
          <w:tab w:val="left" w:pos="426" w:leader="none"/>
        </w:tabs>
        <w:ind w:hanging="426" w:start="426"/>
        <w:rPr>
          <w:iCs/>
          <w:szCs w:val="24"/>
        </w:rPr>
      </w:pPr>
      <w:r>
        <w:rPr>
          <w:i/>
          <w:iCs/>
          <w:szCs w:val="24"/>
        </w:rPr>
        <w:t>(*)</w:t>
        <w:tab/>
        <w:t xml:space="preserve">Dans certains cas, la fourniture de l’échantillon contractuel peut être exigée au moment du dépôt des offres. Il apparaît dès lors comme un critère de sélection et est repris dans les documents du marché.  </w:t>
      </w:r>
    </w:p>
    <w:p>
      <w:pPr>
        <w:pStyle w:val="BodyText"/>
        <w:rPr/>
      </w:pPr>
      <w:r>
        <w:rPr/>
      </w:r>
    </w:p>
    <w:p>
      <w:pPr>
        <w:pStyle w:val="BodyText"/>
        <w:rPr/>
      </w:pPr>
      <w:r>
        <w:rPr/>
      </w:r>
    </w:p>
    <w:p>
      <w:pPr>
        <w:pStyle w:val="Heading1"/>
        <w:rPr/>
      </w:pPr>
      <w:r>
        <w:rPr/>
        <w:t>C. 28.2.1.1.</w:t>
      </w:r>
      <w:r>
        <w:rPr>
          <w:rFonts w:cs="Arial" w:ascii="Arial" w:hAnsi="Arial"/>
          <w:sz w:val="22"/>
          <w:szCs w:val="22"/>
        </w:rPr>
        <w:t xml:space="preserve"> </w:t>
      </w:r>
      <w:r>
        <w:rPr/>
        <w:t>"PIERRE BLEUE DE Belgique DITE PETIT GRANIT" - NATURE ET ORIGINE GEOLOGIQUE</w:t>
      </w:r>
    </w:p>
    <w:p>
      <w:pPr>
        <w:pStyle w:val="Heading1"/>
        <w:rPr/>
      </w:pPr>
      <w:r>
        <w:rPr/>
      </w:r>
    </w:p>
    <w:p>
      <w:pPr>
        <w:pStyle w:val="BodyText"/>
        <w:tabs>
          <w:tab w:val="clear" w:pos="567"/>
          <w:tab w:val="left" w:pos="426" w:leader="none"/>
        </w:tabs>
        <w:ind w:hanging="426" w:start="426"/>
        <w:rPr>
          <w:i/>
          <w:iCs/>
          <w:szCs w:val="24"/>
        </w:rPr>
      </w:pPr>
      <w:r>
        <w:rPr>
          <w:i/>
          <w:iCs/>
          <w:szCs w:val="24"/>
        </w:rPr>
        <w:t>Le mélange de petit granit et de petit granit du Bocq au sein d’un même ouvrage est à éviter.</w:t>
      </w:r>
    </w:p>
    <w:p>
      <w:pPr>
        <w:pStyle w:val="BodyText"/>
        <w:rPr>
          <w:rFonts w:ascii="Arial" w:hAnsi="Arial" w:cs="Arial"/>
          <w:sz w:val="20"/>
        </w:rPr>
      </w:pPr>
      <w:r>
        <w:rPr>
          <w:rFonts w:cs="Arial" w:ascii="Arial" w:hAnsi="Arial"/>
          <w:sz w:val="20"/>
        </w:rPr>
      </w:r>
    </w:p>
    <w:p>
      <w:pPr>
        <w:pStyle w:val="Heading1"/>
        <w:rPr/>
      </w:pPr>
      <w:r>
        <w:rPr/>
        <w:t>C. 28.2.1.2. "PIERRE BLEUE DE Belgique DITE PETIT GRANIT" - specifications</w:t>
      </w:r>
    </w:p>
    <w:p>
      <w:pPr>
        <w:pStyle w:val="BodyText"/>
        <w:rPr>
          <w:rFonts w:ascii="Arial" w:hAnsi="Arial" w:cs="Arial"/>
          <w:sz w:val="20"/>
        </w:rPr>
      </w:pPr>
      <w:r>
        <w:rPr>
          <w:rFonts w:cs="Arial" w:ascii="Arial" w:hAnsi="Arial"/>
          <w:sz w:val="20"/>
        </w:rPr>
      </w:r>
    </w:p>
    <w:p>
      <w:pPr>
        <w:pStyle w:val="Cadre"/>
        <w:rPr>
          <w:szCs w:val="24"/>
        </w:rPr>
      </w:pPr>
      <w:r>
        <w:rPr>
          <w:szCs w:val="24"/>
        </w:rPr>
        <w:t>Préciser la catégorie commerciale selon la NIT 220 (choix technique / usage extérieur bâtiment courant / usage extérieur bâtiment exceptionnel).</w:t>
      </w:r>
    </w:p>
    <w:p>
      <w:pPr>
        <w:pStyle w:val="BodyText"/>
        <w:tabs>
          <w:tab w:val="clear" w:pos="567"/>
          <w:tab w:val="left" w:pos="426" w:leader="none"/>
        </w:tabs>
        <w:ind w:hanging="426" w:start="426"/>
        <w:rPr>
          <w:i/>
          <w:iCs/>
          <w:szCs w:val="24"/>
        </w:rPr>
      </w:pPr>
      <w:r>
        <w:rPr>
          <w:i/>
          <w:iCs/>
          <w:szCs w:val="24"/>
        </w:rPr>
      </w:r>
    </w:p>
    <w:p>
      <w:pPr>
        <w:pStyle w:val="BodyText"/>
        <w:tabs>
          <w:tab w:val="clear" w:pos="567"/>
          <w:tab w:val="left" w:pos="426" w:leader="none"/>
        </w:tabs>
        <w:ind w:hanging="426" w:start="426"/>
        <w:rPr>
          <w:i/>
          <w:iCs/>
          <w:szCs w:val="24"/>
        </w:rPr>
      </w:pPr>
      <w:r>
        <w:rPr>
          <w:i/>
          <w:iCs/>
          <w:szCs w:val="24"/>
        </w:rPr>
        <w:t>Pour les produits utilisés en voirie, la catégorie commerciale usuelle est le choix technique.</w:t>
      </w:r>
    </w:p>
    <w:p>
      <w:pPr>
        <w:pStyle w:val="BodyText"/>
        <w:tabs>
          <w:tab w:val="clear" w:pos="567"/>
          <w:tab w:val="left" w:pos="426" w:leader="none"/>
        </w:tabs>
        <w:ind w:hanging="426" w:start="426"/>
        <w:rPr>
          <w:i/>
          <w:iCs/>
          <w:szCs w:val="24"/>
        </w:rPr>
      </w:pPr>
      <w:r>
        <w:rPr>
          <w:i/>
          <w:iCs/>
          <w:szCs w:val="24"/>
        </w:rPr>
      </w:r>
    </w:p>
    <w:p>
      <w:pPr>
        <w:pStyle w:val="BodyText"/>
        <w:tabs>
          <w:tab w:val="clear" w:pos="567"/>
          <w:tab w:val="left" w:pos="426" w:leader="none"/>
        </w:tabs>
        <w:ind w:hanging="426" w:start="426"/>
        <w:rPr>
          <w:i/>
          <w:iCs/>
          <w:szCs w:val="24"/>
        </w:rPr>
      </w:pPr>
      <w:r>
        <w:rPr>
          <w:i/>
          <w:iCs/>
          <w:szCs w:val="24"/>
        </w:rPr>
        <w:t>Le mélange de petit granit et de petit granit du Bocq au sein d’un même ouvrage est à éviter.</w:t>
      </w:r>
    </w:p>
    <w:p>
      <w:pPr>
        <w:pStyle w:val="BodyText"/>
        <w:rPr>
          <w:rFonts w:ascii="Arial" w:hAnsi="Arial" w:cs="Arial"/>
          <w:sz w:val="20"/>
        </w:rPr>
      </w:pPr>
      <w:r>
        <w:rPr>
          <w:rFonts w:cs="Arial" w:ascii="Arial" w:hAnsi="Arial"/>
          <w:sz w:val="20"/>
        </w:rPr>
      </w:r>
    </w:p>
    <w:p>
      <w:pPr>
        <w:pStyle w:val="Heading1"/>
        <w:rPr/>
      </w:pPr>
      <w:r>
        <w:rPr/>
        <w:t>C. 28.3.1.2. GRES FAMENNIENS DU CONDROZ - SPECIFICATIONS</w:t>
      </w:r>
    </w:p>
    <w:p>
      <w:pPr>
        <w:pStyle w:val="BodyText"/>
        <w:rPr>
          <w:rFonts w:ascii="Arial" w:hAnsi="Arial" w:cs="Arial"/>
          <w:sz w:val="20"/>
        </w:rPr>
      </w:pPr>
      <w:r>
        <w:rPr>
          <w:rFonts w:cs="Arial" w:ascii="Arial" w:hAnsi="Arial"/>
          <w:sz w:val="20"/>
        </w:rPr>
      </w:r>
    </w:p>
    <w:p>
      <w:pPr>
        <w:pStyle w:val="Cadre"/>
        <w:rPr>
          <w:szCs w:val="24"/>
        </w:rPr>
      </w:pPr>
      <w:r>
        <w:rPr>
          <w:szCs w:val="24"/>
        </w:rPr>
        <w:t>Préciser la couleur souhaitée.</w:t>
      </w:r>
    </w:p>
    <w:p>
      <w:pPr>
        <w:pStyle w:val="BodyText"/>
        <w:rPr>
          <w:i/>
          <w:szCs w:val="24"/>
        </w:rPr>
      </w:pPr>
      <w:r>
        <w:rPr>
          <w:i/>
          <w:szCs w:val="24"/>
        </w:rPr>
      </w:r>
    </w:p>
    <w:p>
      <w:pPr>
        <w:pStyle w:val="BodyText"/>
        <w:rPr>
          <w:i/>
          <w:szCs w:val="24"/>
        </w:rPr>
      </w:pPr>
      <w:r>
        <w:rPr>
          <w:i/>
          <w:szCs w:val="24"/>
        </w:rPr>
        <w:t>La couleur est un critère de sélection: les bancs jaunes (pierre d’avoine) sont moins résistants en sol extérieur.</w:t>
      </w:r>
    </w:p>
    <w:p>
      <w:pPr>
        <w:pStyle w:val="BodyText"/>
        <w:rPr>
          <w:i/>
          <w:szCs w:val="24"/>
        </w:rPr>
      </w:pPr>
      <w:r>
        <w:rPr>
          <w:i/>
          <w:szCs w:val="24"/>
        </w:rPr>
        <w:t>Le choix de teinte s’applique particulièrement aux moellons.</w:t>
      </w:r>
    </w:p>
    <w:p>
      <w:pPr>
        <w:pStyle w:val="BodyText"/>
        <w:rPr>
          <w:rFonts w:ascii="Arial" w:hAnsi="Arial" w:cs="Arial"/>
          <w:sz w:val="20"/>
        </w:rPr>
      </w:pPr>
      <w:r>
        <w:rPr>
          <w:rFonts w:cs="Arial" w:ascii="Arial" w:hAnsi="Arial"/>
          <w:sz w:val="20"/>
        </w:rPr>
      </w:r>
    </w:p>
    <w:p>
      <w:pPr>
        <w:pStyle w:val="BodyText"/>
        <w:rPr/>
      </w:pPr>
      <w:r>
        <w:rPr/>
      </w:r>
    </w:p>
    <w:p>
      <w:pPr>
        <w:pStyle w:val="Heading1"/>
        <w:keepNext w:val="true"/>
        <w:rPr/>
      </w:pPr>
      <w:r>
        <w:rPr/>
        <w:t>C. 28.6. MOELLONS</w:t>
      </w:r>
    </w:p>
    <w:p>
      <w:pPr>
        <w:pStyle w:val="BodyText"/>
        <w:keepNext w:val="true"/>
        <w:rPr/>
      </w:pPr>
      <w:r>
        <w:rPr/>
      </w:r>
    </w:p>
    <w:p>
      <w:pPr>
        <w:pStyle w:val="Puces2"/>
        <w:keepNext w:val="true"/>
        <w:numPr>
          <w:ilvl w:val="0"/>
          <w:numId w:val="1"/>
        </w:numPr>
        <w:tabs>
          <w:tab w:val="clear" w:pos="284"/>
        </w:tabs>
        <w:rPr/>
      </w:pPr>
      <w:r>
        <w:rPr/>
        <w:t>Préciser la nature.</w:t>
      </w:r>
    </w:p>
    <w:p>
      <w:pPr>
        <w:pStyle w:val="Puces2"/>
        <w:keepNext w:val="true"/>
        <w:numPr>
          <w:ilvl w:val="0"/>
          <w:numId w:val="1"/>
        </w:numPr>
        <w:tabs>
          <w:tab w:val="clear" w:pos="284"/>
        </w:tabs>
        <w:rPr/>
      </w:pPr>
      <w:r>
        <w:rPr/>
        <w:t>Moellons de parement bouchardés: préciser si une palette périmétrique ou un tranche-fil est présent.</w:t>
      </w:r>
    </w:p>
    <w:p>
      <w:pPr>
        <w:pStyle w:val="Puces2"/>
        <w:keepNext w:val="true"/>
        <w:numPr>
          <w:ilvl w:val="0"/>
          <w:numId w:val="1"/>
        </w:numPr>
        <w:tabs>
          <w:tab w:val="clear" w:pos="284"/>
        </w:tabs>
        <w:rPr/>
      </w:pPr>
      <w:r>
        <w:rPr/>
        <w:t>Définir le type de moellons si les dimensions (H, L, Q) sont différentes des valeurs spécifiées.</w:t>
      </w:r>
    </w:p>
    <w:p>
      <w:pPr>
        <w:pStyle w:val="BodyText"/>
        <w:rPr/>
      </w:pPr>
      <w:r>
        <w:rPr/>
      </w:r>
    </w:p>
    <w:p>
      <w:pPr>
        <w:pStyle w:val="Heading1"/>
        <w:rPr/>
      </w:pPr>
      <w:r>
        <w:rPr/>
        <w:t>C. 29.1. PAVES EN PIERRE NATURELLE</w:t>
      </w:r>
    </w:p>
    <w:p>
      <w:pPr>
        <w:pStyle w:val="BodyText"/>
        <w:rPr/>
      </w:pPr>
      <w:r>
        <w:rPr/>
      </w:r>
    </w:p>
    <w:p>
      <w:pPr>
        <w:pStyle w:val="Puces2"/>
        <w:numPr>
          <w:ilvl w:val="0"/>
          <w:numId w:val="0"/>
        </w:numPr>
        <w:tabs>
          <w:tab w:val="clear" w:pos="284"/>
        </w:tabs>
        <w:ind w:hanging="0" w:start="0"/>
        <w:rPr/>
      </w:pPr>
      <w:r>
        <w:rPr/>
        <w:t>Préciser les classes d'utilisation des pavés.</w:t>
      </w:r>
    </w:p>
    <w:p>
      <w:pPr>
        <w:pStyle w:val="BodyText"/>
        <w:rPr/>
      </w:pPr>
      <w:r>
        <w:rPr/>
      </w:r>
    </w:p>
    <w:p>
      <w:pPr>
        <w:pStyle w:val="BodyText"/>
        <w:rPr/>
      </w:pPr>
      <w:r>
        <w:rPr/>
      </w:r>
    </w:p>
    <w:p>
      <w:pPr>
        <w:pStyle w:val="BodyText"/>
        <w:rPr>
          <w:b/>
          <w:szCs w:val="24"/>
        </w:rPr>
      </w:pPr>
      <w:r>
        <w:rPr>
          <w:b/>
          <w:szCs w:val="24"/>
        </w:rPr>
        <w:t>C. 29.2.5. PAVES EN PIERRE NATURELLE - ESSAIS DE RECEPTION</w:t>
      </w:r>
    </w:p>
    <w:p>
      <w:pPr>
        <w:pStyle w:val="BodyText"/>
        <w:rPr>
          <w:i/>
          <w:szCs w:val="24"/>
        </w:rPr>
      </w:pPr>
      <w:r>
        <w:rPr>
          <w:i/>
          <w:szCs w:val="24"/>
        </w:rPr>
      </w:r>
    </w:p>
    <w:p>
      <w:pPr>
        <w:pStyle w:val="BodyText"/>
        <w:rPr>
          <w:i/>
          <w:szCs w:val="24"/>
        </w:rPr>
      </w:pPr>
      <w:r>
        <w:rPr>
          <w:i/>
          <w:szCs w:val="24"/>
        </w:rPr>
        <w:t xml:space="preserve">Si les essais de réception ont lieu à la livraison sur le chantier et que </w:t>
      </w:r>
      <w:r>
        <w:rPr>
          <w:i/>
          <w:szCs w:val="24"/>
          <w:lang w:eastAsia="de-DE"/>
        </w:rPr>
        <w:t xml:space="preserve">l’adjudicataire </w:t>
      </w:r>
      <w:r>
        <w:rPr>
          <w:i/>
          <w:szCs w:val="24"/>
        </w:rPr>
        <w:t xml:space="preserve">souhaite poser les pavés avant accord sur la conformité des essais de laboratoire du lot, </w:t>
      </w:r>
      <w:r>
        <w:rPr>
          <w:i/>
          <w:szCs w:val="24"/>
          <w:lang w:eastAsia="de-DE"/>
        </w:rPr>
        <w:t xml:space="preserve">l’adjudicataire </w:t>
      </w:r>
      <w:r>
        <w:rPr>
          <w:i/>
          <w:szCs w:val="24"/>
        </w:rPr>
        <w:t>assure la traçabilité de la zone dans laquelle le lot a été mis en œuvre.</w:t>
      </w:r>
    </w:p>
    <w:p>
      <w:pPr>
        <w:pStyle w:val="BodyText"/>
        <w:rPr/>
      </w:pPr>
      <w:r>
        <w:rPr/>
      </w:r>
    </w:p>
    <w:p>
      <w:pPr>
        <w:pStyle w:val="BodyText"/>
        <w:rPr/>
      </w:pPr>
      <w:r>
        <w:rPr/>
      </w:r>
    </w:p>
    <w:p>
      <w:pPr>
        <w:pStyle w:val="Heading1"/>
        <w:rPr/>
      </w:pPr>
      <w:r>
        <w:rPr/>
        <w:t>C. 29.3. PAVES EN PIERRE NATURELLE UTILISES EN VOIRIE CIRCULEE</w:t>
      </w:r>
    </w:p>
    <w:p>
      <w:pPr>
        <w:pStyle w:val="BodyText"/>
        <w:rPr/>
      </w:pPr>
      <w:r>
        <w:rPr/>
      </w:r>
    </w:p>
    <w:tbl>
      <w:tblPr>
        <w:tblStyle w:val="Grilledutableau"/>
        <w:tblW w:w="943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39"/>
      </w:tblGrid>
      <w:tr>
        <w:trPr/>
        <w:tc>
          <w:tcPr>
            <w:tcW w:w="9439" w:type="dxa"/>
            <w:tcBorders>
              <w:top w:val="single" w:sz="12" w:space="0" w:color="000000"/>
              <w:start w:val="single" w:sz="12" w:space="0" w:color="000000"/>
              <w:bottom w:val="single" w:sz="12" w:space="0" w:color="000000"/>
              <w:end w:val="single" w:sz="12" w:space="0" w:color="000000"/>
            </w:tcBorders>
          </w:tcPr>
          <w:p>
            <w:pPr>
              <w:pStyle w:val="BodyText"/>
              <w:widowControl/>
              <w:spacing w:before="0" w:after="0"/>
              <w:rPr>
                <w:szCs w:val="24"/>
              </w:rPr>
            </w:pPr>
            <w:r>
              <w:rPr>
                <w:rFonts w:eastAsia="Times New Roman" w:cs="Times New Roman"/>
                <w:kern w:val="0"/>
                <w:szCs w:val="24"/>
                <w:lang w:eastAsia="fr-BE" w:bidi="ar-SA"/>
              </w:rPr>
              <w:t>Préciser:</w:t>
            </w:r>
          </w:p>
          <w:p>
            <w:pPr>
              <w:pStyle w:val="BodyText"/>
              <w:widowControl/>
              <w:numPr>
                <w:ilvl w:val="0"/>
                <w:numId w:val="5"/>
              </w:numPr>
              <w:spacing w:before="0" w:after="0"/>
              <w:rPr>
                <w:szCs w:val="24"/>
              </w:rPr>
            </w:pPr>
            <w:r>
              <w:rPr>
                <w:rFonts w:eastAsia="Times New Roman" w:cs="Times New Roman"/>
                <w:kern w:val="0"/>
                <w:szCs w:val="24"/>
                <w:lang w:eastAsia="fr-BE" w:bidi="ar-SA"/>
              </w:rPr>
              <w:t>Nature et origine géologique;</w:t>
            </w:r>
          </w:p>
          <w:p>
            <w:pPr>
              <w:pStyle w:val="BodyText"/>
              <w:widowControl/>
              <w:numPr>
                <w:ilvl w:val="0"/>
                <w:numId w:val="5"/>
              </w:numPr>
              <w:spacing w:before="0" w:after="0"/>
              <w:rPr>
                <w:szCs w:val="24"/>
              </w:rPr>
            </w:pPr>
            <w:r>
              <w:rPr>
                <w:rFonts w:eastAsia="Times New Roman" w:cs="Times New Roman"/>
                <w:kern w:val="0"/>
                <w:szCs w:val="24"/>
                <w:lang w:eastAsia="fr-BE" w:bidi="ar-SA"/>
              </w:rPr>
              <w:t>Neuf ou réemploi/recyclage;</w:t>
            </w:r>
          </w:p>
          <w:p>
            <w:pPr>
              <w:pStyle w:val="BodyText"/>
              <w:widowControl/>
              <w:numPr>
                <w:ilvl w:val="0"/>
                <w:numId w:val="5"/>
              </w:numPr>
              <w:spacing w:before="0" w:after="0"/>
              <w:rPr>
                <w:szCs w:val="24"/>
              </w:rPr>
            </w:pPr>
            <w:r>
              <w:rPr>
                <w:rFonts w:eastAsia="Times New Roman" w:cs="Times New Roman"/>
                <w:kern w:val="0"/>
                <w:szCs w:val="24"/>
                <w:lang w:eastAsia="fr-BE" w:bidi="ar-SA"/>
              </w:rPr>
              <w:t>Finition de la face vue (surfaçage) éventuel;</w:t>
            </w:r>
          </w:p>
          <w:p>
            <w:pPr>
              <w:pStyle w:val="BodyText"/>
              <w:widowControl/>
              <w:numPr>
                <w:ilvl w:val="0"/>
                <w:numId w:val="5"/>
              </w:numPr>
              <w:spacing w:before="0" w:after="0"/>
              <w:rPr>
                <w:szCs w:val="24"/>
              </w:rPr>
            </w:pPr>
            <w:r>
              <w:rPr>
                <w:rFonts w:eastAsia="Times New Roman" w:cs="Times New Roman"/>
                <w:kern w:val="0"/>
                <w:szCs w:val="24"/>
                <w:lang w:eastAsia="fr-BE" w:bidi="ar-SA"/>
              </w:rPr>
              <w:t>Type, façonnage et format nominal;</w:t>
            </w:r>
          </w:p>
          <w:p>
            <w:pPr>
              <w:pStyle w:val="BodyText"/>
              <w:widowControl/>
              <w:numPr>
                <w:ilvl w:val="0"/>
                <w:numId w:val="5"/>
              </w:numPr>
              <w:spacing w:before="0" w:after="0"/>
              <w:rPr>
                <w:szCs w:val="24"/>
              </w:rPr>
            </w:pPr>
            <w:r>
              <w:rPr>
                <w:rFonts w:eastAsia="Times New Roman" w:cs="Times New Roman"/>
                <w:kern w:val="0"/>
                <w:szCs w:val="24"/>
                <w:lang w:eastAsia="fr-BE" w:bidi="ar-SA"/>
              </w:rPr>
              <w:t>Classe d’épaisseur nominale;</w:t>
            </w:r>
          </w:p>
          <w:p>
            <w:pPr>
              <w:pStyle w:val="BodyText"/>
              <w:widowControl/>
              <w:numPr>
                <w:ilvl w:val="0"/>
                <w:numId w:val="5"/>
              </w:numPr>
              <w:spacing w:before="0" w:after="0"/>
              <w:rPr>
                <w:szCs w:val="24"/>
              </w:rPr>
            </w:pPr>
            <w:r>
              <w:rPr>
                <w:rFonts w:eastAsia="Times New Roman" w:cs="Times New Roman"/>
                <w:kern w:val="0"/>
                <w:szCs w:val="24"/>
                <w:lang w:eastAsia="fr-BE" w:bidi="ar-SA"/>
              </w:rPr>
              <w:t>Classes de tolérances dimensionnelles (*) pour les 4 caractéristiques suivantes : dimensions en plan / épaisseur / démaigri des chants / irrégularités de surface;</w:t>
            </w:r>
          </w:p>
          <w:p>
            <w:pPr>
              <w:pStyle w:val="BodyText"/>
              <w:widowControl/>
              <w:numPr>
                <w:ilvl w:val="0"/>
                <w:numId w:val="5"/>
              </w:numPr>
              <w:spacing w:before="0" w:after="0"/>
              <w:rPr>
                <w:szCs w:val="24"/>
              </w:rPr>
            </w:pPr>
            <w:r>
              <w:rPr>
                <w:rFonts w:eastAsia="Times New Roman" w:cs="Times New Roman"/>
                <w:kern w:val="0"/>
                <w:szCs w:val="24"/>
                <w:lang w:eastAsia="fr-BE" w:bidi="ar-SA"/>
              </w:rPr>
              <w:t>Classe d’utilisation (**) ;</w:t>
            </w:r>
          </w:p>
          <w:p>
            <w:pPr>
              <w:pStyle w:val="BodyText"/>
              <w:widowControl/>
              <w:numPr>
                <w:ilvl w:val="0"/>
                <w:numId w:val="5"/>
              </w:numPr>
              <w:spacing w:before="0" w:after="0"/>
              <w:rPr>
                <w:rFonts w:ascii="Arial" w:hAnsi="Arial" w:cs="Arial"/>
                <w:sz w:val="20"/>
              </w:rPr>
            </w:pPr>
            <w:r>
              <w:rPr>
                <w:rFonts w:eastAsia="Times New Roman" w:cs="Times New Roman" w:ascii="Times New Roman" w:hAnsi="Times New Roman"/>
                <w:kern w:val="0"/>
                <w:szCs w:val="24"/>
                <w:lang w:eastAsia="fr-BE" w:bidi="ar-SA"/>
              </w:rPr>
              <w:t>Le cas échéant, autres spécifications complémentaires.</w:t>
            </w:r>
          </w:p>
        </w:tc>
      </w:tr>
    </w:tbl>
    <w:p>
      <w:pPr>
        <w:pStyle w:val="BodyText"/>
        <w:tabs>
          <w:tab w:val="clear" w:pos="567"/>
          <w:tab w:val="left" w:pos="426" w:leader="none"/>
        </w:tabs>
        <w:ind w:hanging="426" w:start="426"/>
        <w:rPr>
          <w:i/>
          <w:szCs w:val="24"/>
        </w:rPr>
      </w:pPr>
      <w:r>
        <w:rPr>
          <w:i/>
          <w:szCs w:val="24"/>
        </w:rPr>
      </w:r>
    </w:p>
    <w:p>
      <w:pPr>
        <w:pStyle w:val="BodyText"/>
        <w:tabs>
          <w:tab w:val="clear" w:pos="567"/>
          <w:tab w:val="left" w:pos="426" w:leader="none"/>
        </w:tabs>
        <w:ind w:hanging="426" w:start="426"/>
        <w:rPr>
          <w:i/>
          <w:szCs w:val="24"/>
        </w:rPr>
      </w:pPr>
      <w:r>
        <w:rPr>
          <w:i/>
          <w:szCs w:val="24"/>
        </w:rPr>
        <w:t>(*)</w:t>
        <w:tab/>
        <w:t>Le tableau du C. 29.3.3.1. définit les classes de tolérances dimensionnelles appliquées par défaut.</w:t>
      </w:r>
    </w:p>
    <w:p>
      <w:pPr>
        <w:pStyle w:val="BodyText"/>
        <w:tabs>
          <w:tab w:val="clear" w:pos="567"/>
          <w:tab w:val="left" w:pos="426" w:leader="none"/>
        </w:tabs>
        <w:ind w:hanging="426" w:start="426"/>
        <w:rPr>
          <w:i/>
          <w:szCs w:val="24"/>
        </w:rPr>
      </w:pPr>
      <w:r>
        <w:rPr>
          <w:i/>
          <w:szCs w:val="24"/>
        </w:rPr>
        <w:t>(**)</w:t>
        <w:tab/>
        <w:t>A défaut, la classe 6 d’utilisation est d’application.</w:t>
      </w:r>
    </w:p>
    <w:p>
      <w:pPr>
        <w:pStyle w:val="BodyText"/>
        <w:tabs>
          <w:tab w:val="clear" w:pos="567"/>
          <w:tab w:val="left" w:pos="426" w:leader="none"/>
        </w:tabs>
        <w:ind w:hanging="426" w:start="426"/>
        <w:rPr>
          <w:i/>
          <w:szCs w:val="24"/>
        </w:rPr>
      </w:pPr>
      <w:r>
        <w:rPr>
          <w:i/>
          <w:szCs w:val="24"/>
        </w:rPr>
        <w:t>A titre d’exemple, une prescription satisfaisante et complète pourrait être:</w:t>
      </w:r>
    </w:p>
    <w:p>
      <w:pPr>
        <w:pStyle w:val="BodyText"/>
        <w:tabs>
          <w:tab w:val="clear" w:pos="567"/>
          <w:tab w:val="left" w:pos="426" w:leader="none"/>
        </w:tabs>
        <w:ind w:start="426"/>
        <w:rPr>
          <w:szCs w:val="24"/>
        </w:rPr>
      </w:pPr>
      <w:r>
        <w:rPr>
          <w:szCs w:val="24"/>
        </w:rPr>
        <w:t>"Pavés oblongs neufs en grès famennien, 4 chants clivés retouchés, format 15 x 20, épaisseur 12 à 15, tolérances dimensionnelles par défaut, classe d’utilisation 6"</w:t>
      </w:r>
    </w:p>
    <w:p>
      <w:pPr>
        <w:pStyle w:val="BodyText"/>
        <w:rPr/>
      </w:pPr>
      <w:r>
        <w:rPr/>
      </w:r>
    </w:p>
    <w:p>
      <w:pPr>
        <w:pStyle w:val="BodyText"/>
        <w:rPr/>
      </w:pPr>
      <w:r>
        <w:rPr/>
      </w:r>
    </w:p>
    <w:p>
      <w:pPr>
        <w:pStyle w:val="Heading1"/>
        <w:rPr>
          <w:szCs w:val="24"/>
        </w:rPr>
      </w:pPr>
      <w:r>
        <w:rPr>
          <w:szCs w:val="24"/>
        </w:rPr>
        <w:t>C. 29.4. PAVES DE BALISAGE EN PIERRE NATURELLE</w:t>
      </w:r>
    </w:p>
    <w:p>
      <w:pPr>
        <w:pStyle w:val="BodyText"/>
        <w:rPr/>
      </w:pPr>
      <w:r>
        <w:rPr/>
      </w:r>
    </w:p>
    <w:tbl>
      <w:tblPr>
        <w:tblStyle w:val="Grilledutableau"/>
        <w:tblW w:w="943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39"/>
      </w:tblGrid>
      <w:tr>
        <w:trPr/>
        <w:tc>
          <w:tcPr>
            <w:tcW w:w="9439" w:type="dxa"/>
            <w:tcBorders>
              <w:top w:val="single" w:sz="12" w:space="0" w:color="000000"/>
              <w:start w:val="single" w:sz="12" w:space="0" w:color="000000"/>
              <w:bottom w:val="single" w:sz="12" w:space="0" w:color="000000"/>
              <w:end w:val="single" w:sz="12" w:space="0" w:color="000000"/>
            </w:tcBorders>
          </w:tcPr>
          <w:p>
            <w:pPr>
              <w:pStyle w:val="BodyText"/>
              <w:widowControl/>
              <w:spacing w:before="0" w:after="0"/>
              <w:rPr>
                <w:szCs w:val="24"/>
              </w:rPr>
            </w:pPr>
            <w:r>
              <w:rPr>
                <w:rFonts w:eastAsia="Times New Roman" w:cs="Times New Roman"/>
                <w:kern w:val="0"/>
                <w:szCs w:val="24"/>
                <w:lang w:eastAsia="fr-BE" w:bidi="ar-SA"/>
              </w:rPr>
              <w:t>Préciser:</w:t>
            </w:r>
          </w:p>
          <w:p>
            <w:pPr>
              <w:pStyle w:val="BodyText"/>
              <w:widowControl/>
              <w:numPr>
                <w:ilvl w:val="0"/>
                <w:numId w:val="5"/>
              </w:numPr>
              <w:spacing w:before="0" w:after="0"/>
              <w:rPr>
                <w:szCs w:val="24"/>
              </w:rPr>
            </w:pPr>
            <w:r>
              <w:rPr>
                <w:rFonts w:eastAsia="Times New Roman" w:cs="Times New Roman"/>
                <w:kern w:val="0"/>
                <w:szCs w:val="24"/>
                <w:lang w:eastAsia="fr-BE" w:bidi="ar-SA"/>
              </w:rPr>
              <w:t>Nature et origine géologique;</w:t>
            </w:r>
          </w:p>
          <w:p>
            <w:pPr>
              <w:pStyle w:val="BodyText"/>
              <w:widowControl/>
              <w:numPr>
                <w:ilvl w:val="0"/>
                <w:numId w:val="5"/>
              </w:numPr>
              <w:spacing w:before="0" w:after="0"/>
              <w:rPr>
                <w:szCs w:val="24"/>
              </w:rPr>
            </w:pPr>
            <w:r>
              <w:rPr>
                <w:rFonts w:eastAsia="Times New Roman" w:cs="Times New Roman"/>
                <w:kern w:val="0"/>
                <w:szCs w:val="24"/>
                <w:lang w:eastAsia="fr-BE" w:bidi="ar-SA"/>
              </w:rPr>
              <w:t>Neuf ou réemploi/recyclage;</w:t>
            </w:r>
          </w:p>
          <w:p>
            <w:pPr>
              <w:pStyle w:val="BodyText"/>
              <w:widowControl/>
              <w:numPr>
                <w:ilvl w:val="0"/>
                <w:numId w:val="5"/>
              </w:numPr>
              <w:spacing w:before="0" w:after="0"/>
              <w:rPr>
                <w:szCs w:val="24"/>
              </w:rPr>
            </w:pPr>
            <w:r>
              <w:rPr>
                <w:rFonts w:eastAsia="Times New Roman" w:cs="Times New Roman"/>
                <w:kern w:val="0"/>
                <w:szCs w:val="24"/>
                <w:lang w:eastAsia="fr-BE" w:bidi="ar-SA"/>
              </w:rPr>
              <w:t>Finition de la face vue (surfaçage) éventuel;</w:t>
            </w:r>
          </w:p>
          <w:p>
            <w:pPr>
              <w:pStyle w:val="BodyText"/>
              <w:widowControl/>
              <w:numPr>
                <w:ilvl w:val="0"/>
                <w:numId w:val="5"/>
              </w:numPr>
              <w:spacing w:before="0" w:after="0"/>
              <w:rPr>
                <w:szCs w:val="24"/>
              </w:rPr>
            </w:pPr>
            <w:r>
              <w:rPr>
                <w:rFonts w:eastAsia="Times New Roman" w:cs="Times New Roman"/>
                <w:kern w:val="0"/>
                <w:szCs w:val="24"/>
                <w:lang w:eastAsia="fr-BE" w:bidi="ar-SA"/>
              </w:rPr>
              <w:t>Type, façonnage et format nominal;</w:t>
            </w:r>
          </w:p>
          <w:p>
            <w:pPr>
              <w:pStyle w:val="BodyText"/>
              <w:widowControl/>
              <w:numPr>
                <w:ilvl w:val="0"/>
                <w:numId w:val="5"/>
              </w:numPr>
              <w:spacing w:before="0" w:after="0"/>
              <w:rPr>
                <w:szCs w:val="24"/>
              </w:rPr>
            </w:pPr>
            <w:r>
              <w:rPr>
                <w:rFonts w:eastAsia="Times New Roman" w:cs="Times New Roman"/>
                <w:kern w:val="0"/>
                <w:szCs w:val="24"/>
                <w:lang w:eastAsia="fr-BE" w:bidi="ar-SA"/>
              </w:rPr>
              <w:t>Classe d’épaisseur nominale;</w:t>
            </w:r>
          </w:p>
          <w:p>
            <w:pPr>
              <w:pStyle w:val="BodyText"/>
              <w:widowControl/>
              <w:numPr>
                <w:ilvl w:val="0"/>
                <w:numId w:val="5"/>
              </w:numPr>
              <w:spacing w:before="0" w:after="0"/>
              <w:rPr>
                <w:szCs w:val="24"/>
              </w:rPr>
            </w:pPr>
            <w:r>
              <w:rPr>
                <w:rFonts w:eastAsia="Times New Roman" w:cs="Times New Roman"/>
                <w:kern w:val="0"/>
                <w:szCs w:val="24"/>
                <w:lang w:eastAsia="fr-BE" w:bidi="ar-SA"/>
              </w:rPr>
              <w:t>Classes de tolérances dimensionnelles (*) pour les 4 caractéristiques suivantes: dimensions en plan / épaisseur / démaigri des chants / irrégularités de surface;</w:t>
            </w:r>
          </w:p>
          <w:p>
            <w:pPr>
              <w:pStyle w:val="BodyText"/>
              <w:widowControl/>
              <w:numPr>
                <w:ilvl w:val="0"/>
                <w:numId w:val="5"/>
              </w:numPr>
              <w:spacing w:before="0" w:after="0"/>
              <w:rPr>
                <w:szCs w:val="24"/>
              </w:rPr>
            </w:pPr>
            <w:r>
              <w:rPr>
                <w:rFonts w:eastAsia="Times New Roman" w:cs="Times New Roman"/>
                <w:kern w:val="0"/>
                <w:szCs w:val="24"/>
                <w:lang w:eastAsia="fr-BE" w:bidi="ar-SA"/>
              </w:rPr>
              <w:t>Classe d’utilisation (**) ;</w:t>
            </w:r>
          </w:p>
          <w:p>
            <w:pPr>
              <w:pStyle w:val="BodyText"/>
              <w:widowControl/>
              <w:numPr>
                <w:ilvl w:val="0"/>
                <w:numId w:val="5"/>
              </w:numPr>
              <w:spacing w:before="0" w:after="0"/>
              <w:rPr>
                <w:szCs w:val="24"/>
              </w:rPr>
            </w:pPr>
            <w:r>
              <w:rPr>
                <w:rFonts w:eastAsia="Times New Roman" w:cs="Times New Roman"/>
                <w:kern w:val="0"/>
                <w:szCs w:val="24"/>
                <w:lang w:eastAsia="fr-BE" w:bidi="ar-SA"/>
              </w:rPr>
              <w:t>Le cas échéant, autres spécifications complémentaires.</w:t>
            </w:r>
          </w:p>
        </w:tc>
      </w:tr>
    </w:tbl>
    <w:p>
      <w:pPr>
        <w:pStyle w:val="BodyText"/>
        <w:tabs>
          <w:tab w:val="clear" w:pos="567"/>
          <w:tab w:val="left" w:pos="426" w:leader="none"/>
        </w:tabs>
        <w:ind w:hanging="426" w:start="426"/>
        <w:rPr>
          <w:i/>
          <w:szCs w:val="24"/>
        </w:rPr>
      </w:pPr>
      <w:r>
        <w:rPr>
          <w:i/>
          <w:szCs w:val="24"/>
        </w:rPr>
      </w:r>
    </w:p>
    <w:p>
      <w:pPr>
        <w:pStyle w:val="BodyText"/>
        <w:tabs>
          <w:tab w:val="clear" w:pos="567"/>
          <w:tab w:val="left" w:pos="426" w:leader="none"/>
        </w:tabs>
        <w:ind w:hanging="426" w:start="426"/>
        <w:rPr>
          <w:i/>
          <w:szCs w:val="24"/>
        </w:rPr>
      </w:pPr>
      <w:r>
        <w:rPr>
          <w:i/>
          <w:szCs w:val="24"/>
        </w:rPr>
        <w:t>(*)</w:t>
        <w:tab/>
        <w:t>Le tableau du C. 29.4.3.1. définit les classes de tolérances dimensionnelles appliquées par défaut.</w:t>
      </w:r>
    </w:p>
    <w:p>
      <w:pPr>
        <w:pStyle w:val="BodyText"/>
        <w:tabs>
          <w:tab w:val="clear" w:pos="567"/>
          <w:tab w:val="left" w:pos="426" w:leader="none"/>
        </w:tabs>
        <w:ind w:hanging="426" w:start="426"/>
        <w:rPr>
          <w:i/>
          <w:szCs w:val="24"/>
        </w:rPr>
      </w:pPr>
      <w:r>
        <w:rPr>
          <w:i/>
          <w:szCs w:val="24"/>
        </w:rPr>
        <w:t>(**)</w:t>
        <w:tab/>
        <w:t>A défaut, la classe 6 d’utilisation est d’application.</w:t>
      </w:r>
    </w:p>
    <w:p>
      <w:pPr>
        <w:pStyle w:val="BodyText"/>
        <w:tabs>
          <w:tab w:val="clear" w:pos="567"/>
          <w:tab w:val="left" w:pos="426" w:leader="none"/>
        </w:tabs>
        <w:ind w:hanging="426" w:start="426"/>
        <w:rPr>
          <w:i/>
          <w:szCs w:val="24"/>
        </w:rPr>
      </w:pPr>
      <w:r>
        <w:rPr>
          <w:i/>
          <w:szCs w:val="24"/>
        </w:rPr>
        <w:t>A titre d’exemple, une prescription satisfaisante et complète pourrait être:</w:t>
      </w:r>
    </w:p>
    <w:p>
      <w:pPr>
        <w:pStyle w:val="BodyText"/>
        <w:tabs>
          <w:tab w:val="clear" w:pos="567"/>
          <w:tab w:val="left" w:pos="426" w:leader="none"/>
        </w:tabs>
        <w:ind w:start="426"/>
        <w:rPr>
          <w:szCs w:val="24"/>
        </w:rPr>
      </w:pPr>
      <w:r>
        <w:rPr>
          <w:szCs w:val="24"/>
        </w:rPr>
        <w:t>"Pavés platines de balisage en marbre blanc, 6 faces sciées, format 10 x 10, épaisseur 10, classe 2 de tolérances dimensionnelles, classe d’utilisation 5"</w:t>
      </w:r>
    </w:p>
    <w:p>
      <w:pPr>
        <w:pStyle w:val="BodyText"/>
        <w:rPr/>
      </w:pPr>
      <w:r>
        <w:rPr/>
      </w:r>
    </w:p>
    <w:p>
      <w:pPr>
        <w:pStyle w:val="BodyText"/>
        <w:rPr/>
      </w:pPr>
      <w:r>
        <w:rPr/>
      </w:r>
    </w:p>
    <w:p>
      <w:pPr>
        <w:pStyle w:val="Heading1"/>
        <w:jc w:val="start"/>
        <w:rPr/>
      </w:pPr>
      <w:r>
        <w:rPr/>
        <w:t>C. 29.5. PAVES en pierre naturelle POUR ZONEs PIETONNEs et cyclables</w:t>
      </w:r>
    </w:p>
    <w:p>
      <w:pPr>
        <w:pStyle w:val="Heading1"/>
        <w:jc w:val="start"/>
        <w:rPr/>
      </w:pPr>
      <w:r>
        <w:rPr/>
      </w:r>
    </w:p>
    <w:tbl>
      <w:tblPr>
        <w:tblStyle w:val="Grilledutableau"/>
        <w:tblW w:w="943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39"/>
      </w:tblGrid>
      <w:tr>
        <w:trPr/>
        <w:tc>
          <w:tcPr>
            <w:tcW w:w="9439" w:type="dxa"/>
            <w:tcBorders>
              <w:top w:val="single" w:sz="12" w:space="0" w:color="000000"/>
              <w:start w:val="single" w:sz="12" w:space="0" w:color="000000"/>
              <w:bottom w:val="single" w:sz="12" w:space="0" w:color="000000"/>
              <w:end w:val="single" w:sz="12" w:space="0" w:color="000000"/>
            </w:tcBorders>
          </w:tcPr>
          <w:p>
            <w:pPr>
              <w:pStyle w:val="BodyText"/>
              <w:widowControl/>
              <w:spacing w:before="0" w:after="0"/>
              <w:rPr>
                <w:szCs w:val="24"/>
              </w:rPr>
            </w:pPr>
            <w:r>
              <w:rPr>
                <w:rFonts w:eastAsia="Times New Roman" w:cs="Times New Roman"/>
                <w:kern w:val="0"/>
                <w:szCs w:val="24"/>
                <w:lang w:eastAsia="fr-BE" w:bidi="ar-SA"/>
              </w:rPr>
              <w:t>Préciser:</w:t>
            </w:r>
          </w:p>
          <w:p>
            <w:pPr>
              <w:pStyle w:val="BodyText"/>
              <w:widowControl/>
              <w:numPr>
                <w:ilvl w:val="0"/>
                <w:numId w:val="5"/>
              </w:numPr>
              <w:spacing w:before="0" w:after="0"/>
              <w:rPr>
                <w:szCs w:val="24"/>
              </w:rPr>
            </w:pPr>
            <w:r>
              <w:rPr>
                <w:rFonts w:eastAsia="Times New Roman" w:cs="Times New Roman"/>
                <w:kern w:val="0"/>
                <w:szCs w:val="24"/>
                <w:lang w:eastAsia="fr-BE" w:bidi="ar-SA"/>
              </w:rPr>
              <w:t>Nature et origine géologique;</w:t>
            </w:r>
          </w:p>
          <w:p>
            <w:pPr>
              <w:pStyle w:val="BodyText"/>
              <w:widowControl/>
              <w:numPr>
                <w:ilvl w:val="0"/>
                <w:numId w:val="5"/>
              </w:numPr>
              <w:spacing w:before="0" w:after="0"/>
              <w:rPr>
                <w:szCs w:val="24"/>
              </w:rPr>
            </w:pPr>
            <w:r>
              <w:rPr>
                <w:rFonts w:eastAsia="Times New Roman" w:cs="Times New Roman"/>
                <w:kern w:val="0"/>
                <w:szCs w:val="24"/>
                <w:lang w:eastAsia="fr-BE" w:bidi="ar-SA"/>
              </w:rPr>
              <w:t>Neuf ou réemploi/recyclage;</w:t>
            </w:r>
          </w:p>
          <w:p>
            <w:pPr>
              <w:pStyle w:val="BodyText"/>
              <w:widowControl/>
              <w:numPr>
                <w:ilvl w:val="0"/>
                <w:numId w:val="5"/>
              </w:numPr>
              <w:spacing w:before="0" w:after="0"/>
              <w:rPr>
                <w:szCs w:val="24"/>
              </w:rPr>
            </w:pPr>
            <w:r>
              <w:rPr>
                <w:rFonts w:eastAsia="Times New Roman" w:cs="Times New Roman"/>
                <w:kern w:val="0"/>
                <w:szCs w:val="24"/>
                <w:lang w:eastAsia="fr-BE" w:bidi="ar-SA"/>
              </w:rPr>
              <w:t>Finition de la face vue (surfaçage) éventuel;</w:t>
            </w:r>
          </w:p>
          <w:p>
            <w:pPr>
              <w:pStyle w:val="BodyText"/>
              <w:widowControl/>
              <w:numPr>
                <w:ilvl w:val="0"/>
                <w:numId w:val="5"/>
              </w:numPr>
              <w:spacing w:before="0" w:after="0"/>
              <w:rPr>
                <w:szCs w:val="24"/>
              </w:rPr>
            </w:pPr>
            <w:r>
              <w:rPr>
                <w:rFonts w:eastAsia="Times New Roman" w:cs="Times New Roman"/>
                <w:kern w:val="0"/>
                <w:szCs w:val="24"/>
                <w:lang w:eastAsia="fr-BE" w:bidi="ar-SA"/>
              </w:rPr>
              <w:t>Type, façonnage et format nominal;</w:t>
            </w:r>
          </w:p>
          <w:p>
            <w:pPr>
              <w:pStyle w:val="BodyText"/>
              <w:widowControl/>
              <w:numPr>
                <w:ilvl w:val="0"/>
                <w:numId w:val="5"/>
              </w:numPr>
              <w:spacing w:before="0" w:after="0"/>
              <w:rPr>
                <w:szCs w:val="24"/>
              </w:rPr>
            </w:pPr>
            <w:r>
              <w:rPr>
                <w:rFonts w:eastAsia="Times New Roman" w:cs="Times New Roman"/>
                <w:kern w:val="0"/>
                <w:szCs w:val="24"/>
                <w:lang w:eastAsia="fr-BE" w:bidi="ar-SA"/>
              </w:rPr>
              <w:t>Classe d’épaisseur nominale;</w:t>
            </w:r>
          </w:p>
          <w:p>
            <w:pPr>
              <w:pStyle w:val="BodyText"/>
              <w:widowControl/>
              <w:numPr>
                <w:ilvl w:val="0"/>
                <w:numId w:val="5"/>
              </w:numPr>
              <w:spacing w:before="0" w:after="0"/>
              <w:rPr>
                <w:szCs w:val="24"/>
              </w:rPr>
            </w:pPr>
            <w:r>
              <w:rPr>
                <w:rFonts w:eastAsia="Times New Roman" w:cs="Times New Roman"/>
                <w:kern w:val="0"/>
                <w:szCs w:val="24"/>
                <w:lang w:eastAsia="fr-BE" w:bidi="ar-SA"/>
              </w:rPr>
              <w:t>Classes de tolérances dimensionnelles (*) pour les 4 caractéristiques suivantes: dimensions en plan / épaisseur / démaigri des chants / irrégularités de surface;</w:t>
            </w:r>
          </w:p>
          <w:p>
            <w:pPr>
              <w:pStyle w:val="BodyText"/>
              <w:widowControl/>
              <w:numPr>
                <w:ilvl w:val="0"/>
                <w:numId w:val="5"/>
              </w:numPr>
              <w:spacing w:before="0" w:after="0"/>
              <w:rPr>
                <w:szCs w:val="24"/>
              </w:rPr>
            </w:pPr>
            <w:r>
              <w:rPr>
                <w:rFonts w:eastAsia="Times New Roman" w:cs="Times New Roman"/>
                <w:kern w:val="0"/>
                <w:szCs w:val="24"/>
                <w:lang w:eastAsia="fr-BE" w:bidi="ar-SA"/>
              </w:rPr>
              <w:t>Classe d’utilisation (**) ;</w:t>
            </w:r>
          </w:p>
          <w:p>
            <w:pPr>
              <w:pStyle w:val="BodyText"/>
              <w:widowControl/>
              <w:numPr>
                <w:ilvl w:val="0"/>
                <w:numId w:val="5"/>
              </w:numPr>
              <w:spacing w:before="0" w:after="0"/>
              <w:rPr>
                <w:szCs w:val="24"/>
              </w:rPr>
            </w:pPr>
            <w:r>
              <w:rPr>
                <w:rFonts w:eastAsia="Times New Roman" w:cs="Times New Roman"/>
                <w:kern w:val="0"/>
                <w:szCs w:val="24"/>
                <w:lang w:eastAsia="fr-BE" w:bidi="ar-SA"/>
              </w:rPr>
              <w:t>Le cas échéant, autres spécifications complémentaires.</w:t>
            </w:r>
          </w:p>
        </w:tc>
      </w:tr>
    </w:tbl>
    <w:p>
      <w:pPr>
        <w:pStyle w:val="BodyText"/>
        <w:tabs>
          <w:tab w:val="clear" w:pos="567"/>
          <w:tab w:val="left" w:pos="426" w:leader="none"/>
        </w:tabs>
        <w:ind w:hanging="426" w:start="426"/>
        <w:rPr>
          <w:i/>
          <w:szCs w:val="24"/>
        </w:rPr>
      </w:pPr>
      <w:r>
        <w:rPr>
          <w:i/>
          <w:szCs w:val="24"/>
        </w:rPr>
      </w:r>
    </w:p>
    <w:p>
      <w:pPr>
        <w:pStyle w:val="BodyText"/>
        <w:tabs>
          <w:tab w:val="clear" w:pos="567"/>
          <w:tab w:val="left" w:pos="426" w:leader="none"/>
        </w:tabs>
        <w:ind w:hanging="426" w:start="426"/>
        <w:rPr>
          <w:i/>
          <w:szCs w:val="24"/>
        </w:rPr>
      </w:pPr>
      <w:r>
        <w:rPr>
          <w:i/>
          <w:szCs w:val="24"/>
        </w:rPr>
        <w:t>(*)</w:t>
        <w:tab/>
        <w:t>Le tableau du C. 29.5.3.1. définit les classes de tolérances dimensionnelles appliquées par défaut.</w:t>
      </w:r>
    </w:p>
    <w:p>
      <w:pPr>
        <w:pStyle w:val="BodyText"/>
        <w:tabs>
          <w:tab w:val="clear" w:pos="567"/>
          <w:tab w:val="left" w:pos="426" w:leader="none"/>
        </w:tabs>
        <w:ind w:hanging="426" w:start="426"/>
        <w:rPr>
          <w:i/>
          <w:szCs w:val="24"/>
        </w:rPr>
      </w:pPr>
      <w:r>
        <w:rPr>
          <w:i/>
          <w:szCs w:val="24"/>
        </w:rPr>
        <w:t>(**)</w:t>
        <w:tab/>
        <w:t>A défaut, la classe 6 d’utilisation est d’application.</w:t>
      </w:r>
    </w:p>
    <w:p>
      <w:pPr>
        <w:pStyle w:val="BodyText"/>
        <w:tabs>
          <w:tab w:val="clear" w:pos="567"/>
          <w:tab w:val="left" w:pos="426" w:leader="none"/>
        </w:tabs>
        <w:ind w:hanging="426" w:start="426"/>
        <w:rPr>
          <w:i/>
          <w:szCs w:val="24"/>
        </w:rPr>
      </w:pPr>
      <w:r>
        <w:rPr>
          <w:i/>
          <w:szCs w:val="24"/>
        </w:rPr>
        <w:t>A titre d’exemple, une prescription satisfaisante et complète pourrait être :</w:t>
      </w:r>
    </w:p>
    <w:p>
      <w:pPr>
        <w:pStyle w:val="BodyText"/>
        <w:tabs>
          <w:tab w:val="clear" w:pos="567"/>
          <w:tab w:val="left" w:pos="426" w:leader="none"/>
        </w:tabs>
        <w:ind w:start="426"/>
        <w:rPr>
          <w:szCs w:val="24"/>
        </w:rPr>
      </w:pPr>
      <w:r>
        <w:rPr>
          <w:szCs w:val="24"/>
        </w:rPr>
        <w:t>"Pavés mosaïques de réemploi en porphyre, 6 faces clivées retouchées, format 6 x 8, épaisseur 6 à 8, tolérances dimensionnelles par défaut, classe d’utilisation 2"</w:t>
      </w:r>
    </w:p>
    <w:p>
      <w:pPr>
        <w:pStyle w:val="BodyText"/>
        <w:tabs>
          <w:tab w:val="clear" w:pos="567"/>
          <w:tab w:val="left" w:pos="426" w:leader="none"/>
        </w:tabs>
        <w:ind w:hanging="426" w:start="426"/>
        <w:rPr>
          <w:i/>
          <w:szCs w:val="24"/>
        </w:rPr>
      </w:pPr>
      <w:r>
        <w:rPr>
          <w:i/>
          <w:szCs w:val="24"/>
        </w:rPr>
      </w:r>
    </w:p>
    <w:p>
      <w:pPr>
        <w:pStyle w:val="BodyText"/>
        <w:ind w:start="360"/>
        <w:rPr/>
      </w:pPr>
      <w:r>
        <w:rPr/>
      </w:r>
    </w:p>
    <w:p>
      <w:pPr>
        <w:pStyle w:val="Heading1"/>
        <w:rPr/>
      </w:pPr>
      <w:r>
        <w:rPr/>
        <w:t>C. 29.6. BRIQUES DE PAVAGE EN TERRE CUITE</w:t>
      </w:r>
    </w:p>
    <w:p>
      <w:pPr>
        <w:pStyle w:val="BodyText"/>
        <w:rPr/>
      </w:pPr>
      <w:r>
        <w:rPr/>
      </w:r>
    </w:p>
    <w:p>
      <w:pPr>
        <w:pStyle w:val="Puces2"/>
        <w:numPr>
          <w:ilvl w:val="0"/>
          <w:numId w:val="0"/>
        </w:numPr>
        <w:tabs>
          <w:tab w:val="clear" w:pos="284"/>
        </w:tabs>
        <w:ind w:hanging="0" w:start="0"/>
        <w:rPr/>
      </w:pPr>
      <w:r>
        <w:rPr/>
        <w:t xml:space="preserve">Préciser la classe d'utilisation et/ou les exigences énumérées au </w:t>
      </w:r>
      <w:r>
        <w:rPr>
          <w:color w:val="0000FF"/>
        </w:rPr>
        <w:t>C. 29.6.2</w:t>
      </w:r>
      <w:r>
        <w:rPr/>
        <w:t>:</w:t>
      </w:r>
    </w:p>
    <w:p>
      <w:pPr>
        <w:pStyle w:val="Puces2"/>
        <w:numPr>
          <w:ilvl w:val="0"/>
          <w:numId w:val="1"/>
        </w:numPr>
        <w:tabs>
          <w:tab w:val="clear" w:pos="284"/>
        </w:tabs>
        <w:rPr/>
      </w:pPr>
      <w:r>
        <w:rPr/>
        <w:t>modèle de pose et classe d'étendue dimensionnelle</w:t>
      </w:r>
    </w:p>
    <w:p>
      <w:pPr>
        <w:pStyle w:val="Puces2"/>
        <w:numPr>
          <w:ilvl w:val="0"/>
          <w:numId w:val="1"/>
        </w:numPr>
        <w:tabs>
          <w:tab w:val="clear" w:pos="284"/>
        </w:tabs>
        <w:rPr/>
      </w:pPr>
      <w:r>
        <w:rPr/>
        <w:t>classe relative à la résistance au gel</w:t>
      </w:r>
    </w:p>
    <w:p>
      <w:pPr>
        <w:pStyle w:val="Puces2"/>
        <w:numPr>
          <w:ilvl w:val="0"/>
          <w:numId w:val="1"/>
        </w:numPr>
        <w:tabs>
          <w:tab w:val="clear" w:pos="284"/>
        </w:tabs>
        <w:rPr/>
      </w:pPr>
      <w:r>
        <w:rPr/>
        <w:t>classe relative aux exigences minimales pour la charge de rupture transversale</w:t>
      </w:r>
    </w:p>
    <w:p>
      <w:pPr>
        <w:pStyle w:val="Puces2"/>
        <w:numPr>
          <w:ilvl w:val="0"/>
          <w:numId w:val="1"/>
        </w:numPr>
        <w:tabs>
          <w:tab w:val="clear" w:pos="284"/>
        </w:tabs>
        <w:rPr/>
      </w:pPr>
      <w:r>
        <w:rPr/>
        <w:t>classe relative à la résistance à l'abrasion</w:t>
      </w:r>
    </w:p>
    <w:p>
      <w:pPr>
        <w:pStyle w:val="Puces2"/>
        <w:numPr>
          <w:ilvl w:val="0"/>
          <w:numId w:val="1"/>
        </w:numPr>
        <w:tabs>
          <w:tab w:val="clear" w:pos="284"/>
        </w:tabs>
        <w:rPr/>
      </w:pPr>
      <w:r>
        <w:rPr/>
        <w:t>classe relative à la résistance au glissement</w:t>
      </w:r>
    </w:p>
    <w:p>
      <w:pPr>
        <w:pStyle w:val="Puces2"/>
        <w:numPr>
          <w:ilvl w:val="0"/>
          <w:numId w:val="1"/>
        </w:numPr>
        <w:tabs>
          <w:tab w:val="clear" w:pos="284"/>
        </w:tabs>
        <w:rPr/>
      </w:pPr>
      <w:r>
        <w:rPr/>
        <w:t>classe relative à l'absorption d'eau.</w:t>
      </w:r>
    </w:p>
    <w:p>
      <w:pPr>
        <w:pStyle w:val="BodyText"/>
        <w:rPr/>
      </w:pPr>
      <w:r>
        <w:rPr/>
      </w:r>
    </w:p>
    <w:p>
      <w:pPr>
        <w:pStyle w:val="BodyText"/>
        <w:rPr/>
      </w:pPr>
      <w:r>
        <w:rPr/>
      </w:r>
    </w:p>
    <w:p>
      <w:pPr>
        <w:pStyle w:val="Heading1"/>
        <w:keepNext w:val="true"/>
        <w:rPr/>
      </w:pPr>
      <w:r>
        <w:rPr/>
        <w:t>C. 29.7. PAVES EN BETON DE CIMENT</w:t>
      </w:r>
    </w:p>
    <w:p>
      <w:pPr>
        <w:pStyle w:val="BodyText"/>
        <w:keepNext w:val="true"/>
        <w:rPr/>
      </w:pPr>
      <w:r>
        <w:rPr/>
      </w:r>
    </w:p>
    <w:p>
      <w:pPr>
        <w:pStyle w:val="Puces2"/>
        <w:keepNext w:val="true"/>
        <w:numPr>
          <w:ilvl w:val="0"/>
          <w:numId w:val="1"/>
        </w:numPr>
        <w:tabs>
          <w:tab w:val="clear" w:pos="284"/>
        </w:tabs>
        <w:rPr/>
      </w:pPr>
      <w:r>
        <w:rPr/>
        <w:t>Préciser le type, le format, la forme, la texture, la couleur et la forme des pavés.</w:t>
      </w:r>
    </w:p>
    <w:p>
      <w:pPr>
        <w:pStyle w:val="Puces2"/>
        <w:keepNext w:val="true"/>
        <w:numPr>
          <w:ilvl w:val="0"/>
          <w:numId w:val="1"/>
        </w:numPr>
        <w:tabs>
          <w:tab w:val="clear" w:pos="284"/>
        </w:tabs>
        <w:rPr/>
      </w:pPr>
      <w:r>
        <w:rPr/>
        <w:t>Préciser la catégorie d'application.</w:t>
      </w:r>
    </w:p>
    <w:p>
      <w:pPr>
        <w:pStyle w:val="BodyText"/>
        <w:rPr/>
      </w:pPr>
      <w:r>
        <w:rPr/>
      </w:r>
    </w:p>
    <w:p>
      <w:pPr>
        <w:pStyle w:val="BodyText"/>
        <w:rPr/>
      </w:pPr>
      <w:r>
        <w:rPr/>
      </w:r>
    </w:p>
    <w:p>
      <w:pPr>
        <w:pStyle w:val="Heading1"/>
        <w:rPr/>
      </w:pPr>
      <w:r>
        <w:rPr/>
        <w:t>C. 29.8. PAVES EN BETON POUR REVETEMENT DE SOL PERMEABLE A l'EAU</w:t>
      </w:r>
    </w:p>
    <w:p>
      <w:pPr>
        <w:pStyle w:val="BodyText"/>
        <w:rPr/>
      </w:pPr>
      <w:r>
        <w:rPr/>
      </w:r>
    </w:p>
    <w:p>
      <w:pPr>
        <w:pStyle w:val="Cadre"/>
        <w:rPr/>
      </w:pPr>
      <w:r>
        <w:rPr/>
        <w:t>Préciser la nature, la texture et la couleur.</w:t>
      </w:r>
    </w:p>
    <w:p>
      <w:pPr>
        <w:pStyle w:val="BodyText"/>
        <w:rPr/>
      </w:pPr>
      <w:r>
        <w:rPr/>
      </w:r>
    </w:p>
    <w:p>
      <w:pPr>
        <w:pStyle w:val="BodyText"/>
        <w:rPr/>
      </w:pPr>
      <w:r>
        <w:rPr/>
      </w:r>
    </w:p>
    <w:p>
      <w:pPr>
        <w:pStyle w:val="Heading1"/>
        <w:rPr/>
      </w:pPr>
      <w:r>
        <w:rPr/>
        <w:t>C. 30.1. DALLES EN BETON DE CIMENT</w:t>
      </w:r>
    </w:p>
    <w:p>
      <w:pPr>
        <w:pStyle w:val="BodyText"/>
        <w:rPr/>
      </w:pPr>
      <w:r>
        <w:rPr/>
      </w:r>
    </w:p>
    <w:p>
      <w:pPr>
        <w:pStyle w:val="Puces2"/>
        <w:numPr>
          <w:ilvl w:val="0"/>
          <w:numId w:val="1"/>
        </w:numPr>
        <w:tabs>
          <w:tab w:val="clear" w:pos="284"/>
        </w:tabs>
        <w:rPr/>
      </w:pPr>
      <w:r>
        <w:rPr/>
        <w:t>Préciser le type, le format, la forme, la texture et la couleur des dalles.</w:t>
      </w:r>
    </w:p>
    <w:p>
      <w:pPr>
        <w:pStyle w:val="Puces2"/>
        <w:numPr>
          <w:ilvl w:val="0"/>
          <w:numId w:val="1"/>
        </w:numPr>
        <w:tabs>
          <w:tab w:val="clear" w:pos="284"/>
        </w:tabs>
        <w:rPr/>
      </w:pPr>
      <w:r>
        <w:rPr/>
        <w:t>Préciser la catégorie d'application.</w:t>
      </w:r>
    </w:p>
    <w:p>
      <w:pPr>
        <w:pStyle w:val="Puces2"/>
        <w:numPr>
          <w:ilvl w:val="0"/>
          <w:numId w:val="1"/>
        </w:numPr>
        <w:tabs>
          <w:tab w:val="clear" w:pos="284"/>
        </w:tabs>
        <w:rPr/>
      </w:pPr>
      <w:r>
        <w:rPr/>
        <w:t>Préciser le cas échéant les autres spécifications supplémentaires</w:t>
      </w:r>
    </w:p>
    <w:p>
      <w:pPr>
        <w:pStyle w:val="BodyText"/>
        <w:rPr/>
      </w:pPr>
      <w:r>
        <w:rPr/>
      </w:r>
    </w:p>
    <w:p>
      <w:pPr>
        <w:pStyle w:val="BodyText"/>
        <w:rPr/>
      </w:pPr>
      <w:r>
        <w:rPr/>
      </w:r>
    </w:p>
    <w:p>
      <w:pPr>
        <w:pStyle w:val="Heading1"/>
        <w:rPr/>
      </w:pPr>
      <w:r>
        <w:rPr/>
        <w:t>C. 30.2. DALLES EN PIERRE NATURELLE</w:t>
      </w:r>
    </w:p>
    <w:p>
      <w:pPr>
        <w:pStyle w:val="Normal"/>
        <w:rPr/>
      </w:pPr>
      <w:r>
        <w:rPr/>
      </w:r>
    </w:p>
    <w:p>
      <w:pPr>
        <w:pStyle w:val="Cadre"/>
        <w:rPr>
          <w:szCs w:val="24"/>
        </w:rPr>
      </w:pPr>
      <w:r>
        <w:rPr>
          <w:szCs w:val="24"/>
        </w:rPr>
        <w:t>Préciser les classes d’utilisation des dalles.</w:t>
      </w:r>
    </w:p>
    <w:p>
      <w:pPr>
        <w:pStyle w:val="BodyText"/>
        <w:rPr>
          <w:rFonts w:ascii="Arial" w:hAnsi="Arial" w:cs="Arial"/>
          <w:sz w:val="22"/>
          <w:szCs w:val="22"/>
        </w:rPr>
      </w:pPr>
      <w:r>
        <w:rPr>
          <w:rFonts w:cs="Arial" w:ascii="Arial" w:hAnsi="Arial"/>
          <w:sz w:val="22"/>
          <w:szCs w:val="22"/>
        </w:rPr>
      </w:r>
    </w:p>
    <w:p>
      <w:pPr>
        <w:pStyle w:val="BodyText"/>
        <w:rPr>
          <w:rFonts w:ascii="Arial" w:hAnsi="Arial" w:cs="Arial"/>
          <w:sz w:val="22"/>
          <w:szCs w:val="22"/>
        </w:rPr>
      </w:pPr>
      <w:r>
        <w:rPr>
          <w:rFonts w:cs="Arial" w:ascii="Arial" w:hAnsi="Arial"/>
          <w:sz w:val="22"/>
          <w:szCs w:val="22"/>
        </w:rPr>
      </w:r>
    </w:p>
    <w:p>
      <w:pPr>
        <w:pStyle w:val="Heading1"/>
        <w:rPr/>
      </w:pPr>
      <w:r>
        <w:rPr/>
        <w:t>C. 30.2.3. DALLES EN PIERRE NATURELLE - ESSAIS DE RECEPTION</w:t>
      </w:r>
    </w:p>
    <w:p>
      <w:pPr>
        <w:pStyle w:val="BodyText"/>
        <w:rPr>
          <w:i/>
          <w:szCs w:val="24"/>
        </w:rPr>
      </w:pPr>
      <w:r>
        <w:rPr>
          <w:i/>
          <w:szCs w:val="24"/>
        </w:rPr>
      </w:r>
    </w:p>
    <w:p>
      <w:pPr>
        <w:pStyle w:val="BodyText"/>
        <w:rPr>
          <w:i/>
          <w:szCs w:val="24"/>
        </w:rPr>
      </w:pPr>
      <w:r>
        <w:rPr>
          <w:i/>
          <w:szCs w:val="24"/>
        </w:rPr>
        <w:t xml:space="preserve">Si les essais de réception ont lieu à la livraison sur le chantier et que </w:t>
      </w:r>
      <w:r>
        <w:rPr>
          <w:i/>
          <w:szCs w:val="24"/>
          <w:lang w:eastAsia="de-DE"/>
        </w:rPr>
        <w:t xml:space="preserve">l’adjudicataire </w:t>
      </w:r>
      <w:r>
        <w:rPr>
          <w:i/>
          <w:szCs w:val="24"/>
        </w:rPr>
        <w:t xml:space="preserve">souhaite poser les dalles avant accord sur la conformité des essais de laboratoire du lot, </w:t>
      </w:r>
      <w:r>
        <w:rPr>
          <w:i/>
          <w:szCs w:val="24"/>
          <w:lang w:eastAsia="de-DE"/>
        </w:rPr>
        <w:t xml:space="preserve">l’adjudicataire </w:t>
      </w:r>
      <w:r>
        <w:rPr>
          <w:i/>
          <w:szCs w:val="24"/>
        </w:rPr>
        <w:t>assure la traçabilité de la zone dans laquelle le lot a été mis en œuvre.</w:t>
      </w:r>
    </w:p>
    <w:p>
      <w:pPr>
        <w:pStyle w:val="BodyText"/>
        <w:rPr/>
      </w:pPr>
      <w:r>
        <w:rPr/>
      </w:r>
    </w:p>
    <w:p>
      <w:pPr>
        <w:pStyle w:val="BodyText"/>
        <w:rPr/>
      </w:pPr>
      <w:r>
        <w:rPr/>
      </w:r>
    </w:p>
    <w:p>
      <w:pPr>
        <w:pStyle w:val="Heading1"/>
        <w:rPr>
          <w:szCs w:val="24"/>
        </w:rPr>
      </w:pPr>
      <w:r>
        <w:rPr>
          <w:szCs w:val="24"/>
        </w:rPr>
        <w:t>C. 30.2.4. DALLES de balisage EN PIERRE naturelle</w:t>
      </w:r>
    </w:p>
    <w:p>
      <w:pPr>
        <w:pStyle w:val="Heading1"/>
        <w:jc w:val="start"/>
        <w:rPr/>
      </w:pPr>
      <w:r>
        <w:rPr/>
      </w:r>
    </w:p>
    <w:tbl>
      <w:tblPr>
        <w:tblStyle w:val="Grilledutableau"/>
        <w:tblW w:w="943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39"/>
      </w:tblGrid>
      <w:tr>
        <w:trPr/>
        <w:tc>
          <w:tcPr>
            <w:tcW w:w="9439" w:type="dxa"/>
            <w:tcBorders>
              <w:top w:val="single" w:sz="12" w:space="0" w:color="000000"/>
              <w:start w:val="single" w:sz="12" w:space="0" w:color="000000"/>
              <w:bottom w:val="single" w:sz="12" w:space="0" w:color="000000"/>
              <w:end w:val="single" w:sz="12" w:space="0" w:color="000000"/>
            </w:tcBorders>
          </w:tcPr>
          <w:p>
            <w:pPr>
              <w:pStyle w:val="BodyText"/>
              <w:widowControl/>
              <w:spacing w:before="0" w:after="0"/>
              <w:rPr>
                <w:szCs w:val="24"/>
              </w:rPr>
            </w:pPr>
            <w:r>
              <w:rPr>
                <w:rFonts w:eastAsia="Times New Roman" w:cs="Times New Roman"/>
                <w:kern w:val="0"/>
                <w:szCs w:val="24"/>
                <w:lang w:eastAsia="fr-BE" w:bidi="ar-SA"/>
              </w:rPr>
              <w:t>Préciser:</w:t>
            </w:r>
          </w:p>
          <w:p>
            <w:pPr>
              <w:pStyle w:val="BodyText"/>
              <w:widowControl/>
              <w:numPr>
                <w:ilvl w:val="0"/>
                <w:numId w:val="5"/>
              </w:numPr>
              <w:spacing w:before="0" w:after="0"/>
              <w:rPr>
                <w:szCs w:val="24"/>
              </w:rPr>
            </w:pPr>
            <w:r>
              <w:rPr>
                <w:rFonts w:eastAsia="Times New Roman" w:cs="Times New Roman"/>
                <w:kern w:val="0"/>
                <w:szCs w:val="24"/>
                <w:lang w:eastAsia="fr-BE" w:bidi="ar-SA"/>
              </w:rPr>
              <w:t>Nature et origine géologique;</w:t>
            </w:r>
          </w:p>
          <w:p>
            <w:pPr>
              <w:pStyle w:val="BodyText"/>
              <w:widowControl/>
              <w:numPr>
                <w:ilvl w:val="0"/>
                <w:numId w:val="5"/>
              </w:numPr>
              <w:spacing w:before="0" w:after="0"/>
              <w:rPr>
                <w:szCs w:val="24"/>
              </w:rPr>
            </w:pPr>
            <w:r>
              <w:rPr>
                <w:rFonts w:eastAsia="Times New Roman" w:cs="Times New Roman"/>
                <w:kern w:val="0"/>
                <w:szCs w:val="24"/>
                <w:lang w:eastAsia="fr-BE" w:bidi="ar-SA"/>
              </w:rPr>
              <w:t>Neuf ou réemploi/recyclage;</w:t>
            </w:r>
          </w:p>
          <w:p>
            <w:pPr>
              <w:pStyle w:val="BodyText"/>
              <w:widowControl/>
              <w:numPr>
                <w:ilvl w:val="0"/>
                <w:numId w:val="5"/>
              </w:numPr>
              <w:spacing w:before="0" w:after="0"/>
              <w:rPr>
                <w:szCs w:val="24"/>
              </w:rPr>
            </w:pPr>
            <w:r>
              <w:rPr>
                <w:rFonts w:eastAsia="Times New Roman" w:cs="Times New Roman"/>
                <w:kern w:val="0"/>
                <w:szCs w:val="24"/>
                <w:lang w:eastAsia="fr-BE" w:bidi="ar-SA"/>
              </w:rPr>
              <w:t>Finition de la face vue (surfaçage) éventuel;</w:t>
            </w:r>
          </w:p>
          <w:p>
            <w:pPr>
              <w:pStyle w:val="BodyText"/>
              <w:widowControl/>
              <w:numPr>
                <w:ilvl w:val="0"/>
                <w:numId w:val="5"/>
              </w:numPr>
              <w:spacing w:before="0" w:after="0"/>
              <w:rPr>
                <w:szCs w:val="24"/>
              </w:rPr>
            </w:pPr>
            <w:r>
              <w:rPr>
                <w:rFonts w:eastAsia="Times New Roman" w:cs="Times New Roman"/>
                <w:kern w:val="0"/>
                <w:szCs w:val="24"/>
                <w:lang w:eastAsia="fr-BE" w:bidi="ar-SA"/>
              </w:rPr>
              <w:t>Type, façonnage et format nominal;</w:t>
            </w:r>
          </w:p>
          <w:p>
            <w:pPr>
              <w:pStyle w:val="BodyText"/>
              <w:widowControl/>
              <w:numPr>
                <w:ilvl w:val="0"/>
                <w:numId w:val="5"/>
              </w:numPr>
              <w:spacing w:before="0" w:after="0"/>
              <w:rPr>
                <w:szCs w:val="24"/>
              </w:rPr>
            </w:pPr>
            <w:r>
              <w:rPr>
                <w:rFonts w:eastAsia="Times New Roman" w:cs="Times New Roman"/>
                <w:kern w:val="0"/>
                <w:szCs w:val="24"/>
                <w:lang w:eastAsia="fr-BE" w:bidi="ar-SA"/>
              </w:rPr>
              <w:t>Classe d’épaisseur nominale;</w:t>
            </w:r>
          </w:p>
          <w:p>
            <w:pPr>
              <w:pStyle w:val="BodyText"/>
              <w:widowControl/>
              <w:numPr>
                <w:ilvl w:val="0"/>
                <w:numId w:val="5"/>
              </w:numPr>
              <w:spacing w:before="0" w:after="0"/>
              <w:rPr>
                <w:szCs w:val="24"/>
              </w:rPr>
            </w:pPr>
            <w:r>
              <w:rPr>
                <w:rFonts w:eastAsia="Times New Roman" w:cs="Times New Roman"/>
                <w:kern w:val="0"/>
                <w:szCs w:val="24"/>
                <w:lang w:eastAsia="fr-BE" w:bidi="ar-SA"/>
              </w:rPr>
              <w:t>Classes de tolérances dimensionnelles (*) pour les 4 caractéristiques suivantes: dimensions en plan / épaisseur / démaigri des chants / irrégularités de surface;</w:t>
            </w:r>
          </w:p>
          <w:p>
            <w:pPr>
              <w:pStyle w:val="BodyText"/>
              <w:widowControl/>
              <w:numPr>
                <w:ilvl w:val="0"/>
                <w:numId w:val="5"/>
              </w:numPr>
              <w:spacing w:before="0" w:after="0"/>
              <w:rPr>
                <w:szCs w:val="24"/>
              </w:rPr>
            </w:pPr>
            <w:r>
              <w:rPr>
                <w:rFonts w:eastAsia="Times New Roman" w:cs="Times New Roman"/>
                <w:kern w:val="0"/>
                <w:szCs w:val="24"/>
                <w:lang w:eastAsia="fr-BE" w:bidi="ar-SA"/>
              </w:rPr>
              <w:t>Classe d’utilisation (**) ;</w:t>
            </w:r>
          </w:p>
          <w:p>
            <w:pPr>
              <w:pStyle w:val="BodyText"/>
              <w:widowControl/>
              <w:numPr>
                <w:ilvl w:val="0"/>
                <w:numId w:val="5"/>
              </w:numPr>
              <w:spacing w:before="0" w:after="0"/>
              <w:rPr>
                <w:szCs w:val="24"/>
              </w:rPr>
            </w:pPr>
            <w:r>
              <w:rPr>
                <w:rFonts w:eastAsia="Times New Roman" w:cs="Times New Roman"/>
                <w:kern w:val="0"/>
                <w:szCs w:val="24"/>
                <w:lang w:eastAsia="fr-BE" w:bidi="ar-SA"/>
              </w:rPr>
              <w:t>Le cas échéant, autres spécifications complémentaires.</w:t>
            </w:r>
          </w:p>
        </w:tc>
      </w:tr>
    </w:tbl>
    <w:p>
      <w:pPr>
        <w:pStyle w:val="BodyText"/>
        <w:tabs>
          <w:tab w:val="clear" w:pos="567"/>
          <w:tab w:val="left" w:pos="426" w:leader="none"/>
        </w:tabs>
        <w:ind w:hanging="426" w:start="426"/>
        <w:rPr>
          <w:i/>
          <w:szCs w:val="24"/>
        </w:rPr>
      </w:pPr>
      <w:r>
        <w:rPr>
          <w:i/>
          <w:szCs w:val="24"/>
        </w:rPr>
      </w:r>
    </w:p>
    <w:p>
      <w:pPr>
        <w:pStyle w:val="BodyText"/>
        <w:tabs>
          <w:tab w:val="clear" w:pos="567"/>
          <w:tab w:val="left" w:pos="426" w:leader="none"/>
        </w:tabs>
        <w:ind w:hanging="426" w:start="426"/>
        <w:rPr>
          <w:i/>
          <w:szCs w:val="24"/>
        </w:rPr>
      </w:pPr>
      <w:r>
        <w:rPr>
          <w:i/>
          <w:szCs w:val="24"/>
        </w:rPr>
        <w:t xml:space="preserve"> </w:t>
      </w:r>
      <w:r>
        <w:rPr>
          <w:i/>
          <w:szCs w:val="24"/>
        </w:rPr>
        <w:t>(*)</w:t>
        <w:tab/>
        <w:t>Le tableau du C. 30.2.4.3.1. définit les classes de tolérances dimensionnelles appliquées par défaut.</w:t>
      </w:r>
    </w:p>
    <w:p>
      <w:pPr>
        <w:pStyle w:val="BodyText"/>
        <w:tabs>
          <w:tab w:val="clear" w:pos="567"/>
          <w:tab w:val="left" w:pos="426" w:leader="none"/>
        </w:tabs>
        <w:ind w:hanging="426" w:start="426"/>
        <w:rPr>
          <w:i/>
          <w:szCs w:val="24"/>
        </w:rPr>
      </w:pPr>
      <w:r>
        <w:rPr>
          <w:i/>
          <w:szCs w:val="24"/>
        </w:rPr>
        <w:t>(**)</w:t>
        <w:tab/>
        <w:t>A défaut, la classe 6 d’utilisation est d’application.</w:t>
      </w:r>
    </w:p>
    <w:p>
      <w:pPr>
        <w:pStyle w:val="BodyText"/>
        <w:tabs>
          <w:tab w:val="clear" w:pos="567"/>
          <w:tab w:val="left" w:pos="426" w:leader="none"/>
        </w:tabs>
        <w:ind w:hanging="426" w:start="426"/>
        <w:rPr>
          <w:i/>
          <w:szCs w:val="24"/>
        </w:rPr>
      </w:pPr>
      <w:r>
        <w:rPr>
          <w:i/>
          <w:szCs w:val="24"/>
        </w:rPr>
        <w:t>A titre d’exemple, une prescription satisfaisante et complète pourrait être :</w:t>
      </w:r>
    </w:p>
    <w:p>
      <w:pPr>
        <w:pStyle w:val="BodyText"/>
        <w:tabs>
          <w:tab w:val="clear" w:pos="567"/>
          <w:tab w:val="left" w:pos="426" w:leader="none"/>
        </w:tabs>
        <w:ind w:start="426"/>
        <w:rPr>
          <w:szCs w:val="24"/>
        </w:rPr>
      </w:pPr>
      <w:r>
        <w:rPr>
          <w:szCs w:val="24"/>
        </w:rPr>
        <w:t>"Dalles carrées neuves en petit granit (choix technique), 2 faces sciées et 4 chants sciés, finition: sbattu , format 30 x 30 x 5, tolérances dimensionnelles par défaut, classe d’utilisation 4"</w:t>
      </w:r>
    </w:p>
    <w:p>
      <w:pPr>
        <w:pStyle w:val="BodyText"/>
        <w:rPr>
          <w:szCs w:val="24"/>
        </w:rPr>
      </w:pPr>
      <w:r>
        <w:rPr>
          <w:szCs w:val="24"/>
        </w:rPr>
      </w:r>
    </w:p>
    <w:p>
      <w:pPr>
        <w:pStyle w:val="BodyText"/>
        <w:rPr>
          <w:szCs w:val="24"/>
        </w:rPr>
      </w:pPr>
      <w:r>
        <w:rPr>
          <w:szCs w:val="24"/>
        </w:rPr>
      </w:r>
    </w:p>
    <w:p>
      <w:pPr>
        <w:pStyle w:val="Heading1"/>
        <w:rPr>
          <w:szCs w:val="24"/>
        </w:rPr>
      </w:pPr>
      <w:r>
        <w:rPr>
          <w:szCs w:val="24"/>
        </w:rPr>
        <w:t>C. 30.2.5. DALLES EN pierre naturelle pour zones pietonnes et cyclables</w:t>
      </w:r>
    </w:p>
    <w:p>
      <w:pPr>
        <w:pStyle w:val="BodyText"/>
        <w:rPr>
          <w:szCs w:val="24"/>
        </w:rPr>
      </w:pPr>
      <w:r>
        <w:rPr>
          <w:szCs w:val="24"/>
        </w:rPr>
      </w:r>
    </w:p>
    <w:tbl>
      <w:tblPr>
        <w:tblStyle w:val="Grilledutableau"/>
        <w:tblW w:w="943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9439"/>
      </w:tblGrid>
      <w:tr>
        <w:trPr/>
        <w:tc>
          <w:tcPr>
            <w:tcW w:w="9439" w:type="dxa"/>
            <w:tcBorders>
              <w:top w:val="single" w:sz="12" w:space="0" w:color="000000"/>
              <w:start w:val="single" w:sz="12" w:space="0" w:color="000000"/>
              <w:bottom w:val="single" w:sz="12" w:space="0" w:color="000000"/>
              <w:end w:val="single" w:sz="12" w:space="0" w:color="000000"/>
            </w:tcBorders>
          </w:tcPr>
          <w:p>
            <w:pPr>
              <w:pStyle w:val="BodyText"/>
              <w:widowControl/>
              <w:spacing w:before="0" w:after="0"/>
              <w:rPr>
                <w:szCs w:val="24"/>
              </w:rPr>
            </w:pPr>
            <w:r>
              <w:rPr>
                <w:rFonts w:eastAsia="Times New Roman" w:cs="Times New Roman"/>
                <w:kern w:val="0"/>
                <w:szCs w:val="24"/>
                <w:lang w:eastAsia="fr-BE" w:bidi="ar-SA"/>
              </w:rPr>
              <w:t>Préciser:</w:t>
            </w:r>
          </w:p>
          <w:p>
            <w:pPr>
              <w:pStyle w:val="BodyText"/>
              <w:widowControl/>
              <w:numPr>
                <w:ilvl w:val="0"/>
                <w:numId w:val="5"/>
              </w:numPr>
              <w:spacing w:before="0" w:after="0"/>
              <w:rPr>
                <w:szCs w:val="24"/>
              </w:rPr>
            </w:pPr>
            <w:r>
              <w:rPr>
                <w:rFonts w:eastAsia="Times New Roman" w:cs="Times New Roman"/>
                <w:kern w:val="0"/>
                <w:szCs w:val="24"/>
                <w:lang w:eastAsia="fr-BE" w:bidi="ar-SA"/>
              </w:rPr>
              <w:t>Nature et origine géologique;</w:t>
            </w:r>
          </w:p>
          <w:p>
            <w:pPr>
              <w:pStyle w:val="BodyText"/>
              <w:widowControl/>
              <w:numPr>
                <w:ilvl w:val="0"/>
                <w:numId w:val="5"/>
              </w:numPr>
              <w:spacing w:before="0" w:after="0"/>
              <w:rPr>
                <w:szCs w:val="24"/>
              </w:rPr>
            </w:pPr>
            <w:r>
              <w:rPr>
                <w:rFonts w:eastAsia="Times New Roman" w:cs="Times New Roman"/>
                <w:kern w:val="0"/>
                <w:szCs w:val="24"/>
                <w:lang w:eastAsia="fr-BE" w:bidi="ar-SA"/>
              </w:rPr>
              <w:t>Neuf ou réemploi/recyclage;</w:t>
            </w:r>
          </w:p>
          <w:p>
            <w:pPr>
              <w:pStyle w:val="BodyText"/>
              <w:widowControl/>
              <w:numPr>
                <w:ilvl w:val="0"/>
                <w:numId w:val="5"/>
              </w:numPr>
              <w:spacing w:before="0" w:after="0"/>
              <w:rPr>
                <w:szCs w:val="24"/>
              </w:rPr>
            </w:pPr>
            <w:r>
              <w:rPr>
                <w:rFonts w:eastAsia="Times New Roman" w:cs="Times New Roman"/>
                <w:kern w:val="0"/>
                <w:szCs w:val="24"/>
                <w:lang w:eastAsia="fr-BE" w:bidi="ar-SA"/>
              </w:rPr>
              <w:t>Finition de la face vue (surfaçage) éventuel;</w:t>
            </w:r>
          </w:p>
          <w:p>
            <w:pPr>
              <w:pStyle w:val="BodyText"/>
              <w:widowControl/>
              <w:numPr>
                <w:ilvl w:val="0"/>
                <w:numId w:val="5"/>
              </w:numPr>
              <w:spacing w:before="0" w:after="0"/>
              <w:rPr>
                <w:szCs w:val="24"/>
              </w:rPr>
            </w:pPr>
            <w:r>
              <w:rPr>
                <w:rFonts w:eastAsia="Times New Roman" w:cs="Times New Roman"/>
                <w:kern w:val="0"/>
                <w:szCs w:val="24"/>
                <w:lang w:eastAsia="fr-BE" w:bidi="ar-SA"/>
              </w:rPr>
              <w:t>Type, façonnage et format nominal (*);</w:t>
            </w:r>
          </w:p>
          <w:p>
            <w:pPr>
              <w:pStyle w:val="BodyText"/>
              <w:widowControl/>
              <w:numPr>
                <w:ilvl w:val="0"/>
                <w:numId w:val="5"/>
              </w:numPr>
              <w:spacing w:before="0" w:after="0"/>
              <w:rPr>
                <w:szCs w:val="24"/>
              </w:rPr>
            </w:pPr>
            <w:r>
              <w:rPr>
                <w:rFonts w:eastAsia="Times New Roman" w:cs="Times New Roman"/>
                <w:kern w:val="0"/>
                <w:szCs w:val="24"/>
                <w:lang w:eastAsia="fr-BE" w:bidi="ar-SA"/>
              </w:rPr>
              <w:t>Classe d’épaisseur nominale;</w:t>
            </w:r>
          </w:p>
          <w:p>
            <w:pPr>
              <w:pStyle w:val="BodyText"/>
              <w:widowControl/>
              <w:numPr>
                <w:ilvl w:val="0"/>
                <w:numId w:val="5"/>
              </w:numPr>
              <w:spacing w:before="0" w:after="0"/>
              <w:rPr>
                <w:szCs w:val="24"/>
              </w:rPr>
            </w:pPr>
            <w:r>
              <w:rPr>
                <w:rFonts w:eastAsia="Times New Roman" w:cs="Times New Roman"/>
                <w:kern w:val="0"/>
                <w:szCs w:val="24"/>
                <w:lang w:eastAsia="fr-BE" w:bidi="ar-SA"/>
              </w:rPr>
              <w:t>Classes de tolérances dimensionnelles (**) pour les 3 caractéristiques suivantes: dimensions en plan / épaisseur / diagonales de la face vue;</w:t>
            </w:r>
          </w:p>
          <w:p>
            <w:pPr>
              <w:pStyle w:val="BodyText"/>
              <w:widowControl/>
              <w:numPr>
                <w:ilvl w:val="0"/>
                <w:numId w:val="5"/>
              </w:numPr>
              <w:spacing w:before="0" w:after="0"/>
              <w:rPr>
                <w:szCs w:val="24"/>
              </w:rPr>
            </w:pPr>
            <w:r>
              <w:rPr>
                <w:rFonts w:eastAsia="Times New Roman" w:cs="Times New Roman"/>
                <w:kern w:val="0"/>
                <w:szCs w:val="24"/>
                <w:lang w:eastAsia="fr-BE" w:bidi="ar-SA"/>
              </w:rPr>
              <w:t>Classe d’utilisation (***) ;</w:t>
            </w:r>
          </w:p>
          <w:p>
            <w:pPr>
              <w:pStyle w:val="BodyText"/>
              <w:widowControl/>
              <w:numPr>
                <w:ilvl w:val="0"/>
                <w:numId w:val="5"/>
              </w:numPr>
              <w:spacing w:before="0" w:after="0"/>
              <w:rPr>
                <w:szCs w:val="24"/>
              </w:rPr>
            </w:pPr>
            <w:r>
              <w:rPr>
                <w:rFonts w:eastAsia="Times New Roman" w:cs="Times New Roman"/>
                <w:kern w:val="0"/>
                <w:szCs w:val="24"/>
                <w:lang w:eastAsia="fr-BE" w:bidi="ar-SA"/>
              </w:rPr>
              <w:t>Le cas échéant, autres spécifications complémentaires.</w:t>
            </w:r>
          </w:p>
        </w:tc>
      </w:tr>
    </w:tbl>
    <w:p>
      <w:pPr>
        <w:pStyle w:val="BodyText"/>
        <w:tabs>
          <w:tab w:val="clear" w:pos="567"/>
          <w:tab w:val="left" w:pos="426" w:leader="none"/>
        </w:tabs>
        <w:ind w:hanging="426" w:start="426"/>
        <w:rPr>
          <w:i/>
          <w:szCs w:val="24"/>
        </w:rPr>
      </w:pPr>
      <w:r>
        <w:rPr>
          <w:i/>
          <w:szCs w:val="24"/>
        </w:rPr>
        <w:t>(*)</w:t>
        <w:tab/>
        <w:t>Le format nominal ne s’applique qu’aux dalles régulières.</w:t>
      </w:r>
    </w:p>
    <w:p>
      <w:pPr>
        <w:pStyle w:val="BodyText"/>
        <w:tabs>
          <w:tab w:val="clear" w:pos="567"/>
          <w:tab w:val="left" w:pos="426" w:leader="none"/>
        </w:tabs>
        <w:ind w:hanging="426" w:start="426"/>
        <w:rPr>
          <w:i/>
          <w:szCs w:val="24"/>
        </w:rPr>
      </w:pPr>
      <w:r>
        <w:rPr>
          <w:i/>
          <w:szCs w:val="24"/>
        </w:rPr>
        <w:t>(**)</w:t>
        <w:tab/>
        <w:t>Le tableau du C. 30.2.5.2.1. définit les classes de tolérances dimensionnelles appliquées par défaut.  Pour les dalles "tout-venant", seule la tolérance sur l’épaisseur doit être définie.</w:t>
      </w:r>
    </w:p>
    <w:p>
      <w:pPr>
        <w:pStyle w:val="BodyText"/>
        <w:tabs>
          <w:tab w:val="clear" w:pos="567"/>
          <w:tab w:val="left" w:pos="426" w:leader="none"/>
        </w:tabs>
        <w:ind w:hanging="426" w:start="426"/>
        <w:rPr>
          <w:i/>
          <w:szCs w:val="24"/>
        </w:rPr>
      </w:pPr>
      <w:r>
        <w:rPr>
          <w:i/>
          <w:szCs w:val="24"/>
        </w:rPr>
        <w:t>(***)</w:t>
        <w:tab/>
        <w:t>A défaut, la classe 6 d’utilisation est d’application.</w:t>
      </w:r>
    </w:p>
    <w:p>
      <w:pPr>
        <w:pStyle w:val="BodyText"/>
        <w:tabs>
          <w:tab w:val="clear" w:pos="567"/>
          <w:tab w:val="left" w:pos="426" w:leader="none"/>
        </w:tabs>
        <w:ind w:hanging="426" w:start="426"/>
        <w:rPr>
          <w:i/>
          <w:szCs w:val="24"/>
        </w:rPr>
      </w:pPr>
      <w:r>
        <w:rPr>
          <w:i/>
          <w:szCs w:val="24"/>
        </w:rPr>
        <w:t>A titre d’exemple, une prescription satisfaisante et complète pourrait être :</w:t>
      </w:r>
    </w:p>
    <w:p>
      <w:pPr>
        <w:pStyle w:val="BodyText"/>
        <w:tabs>
          <w:tab w:val="clear" w:pos="567"/>
          <w:tab w:val="left" w:pos="426" w:leader="none"/>
        </w:tabs>
        <w:ind w:start="426"/>
        <w:rPr>
          <w:szCs w:val="24"/>
        </w:rPr>
      </w:pPr>
      <w:r>
        <w:rPr>
          <w:szCs w:val="24"/>
        </w:rPr>
        <w:t>"Dalles "tout-venant" clivées en phyllade lie-de-vin, épaisseur 4 à 7, classe 1 de tolérance d’épaisseur, classe d’utilisation 3"</w:t>
      </w:r>
    </w:p>
    <w:p>
      <w:pPr>
        <w:pStyle w:val="BodyText"/>
        <w:rPr/>
      </w:pPr>
      <w:r>
        <w:rPr/>
      </w:r>
    </w:p>
    <w:p>
      <w:pPr>
        <w:pStyle w:val="BodyText"/>
        <w:rPr/>
      </w:pPr>
      <w:r>
        <w:rPr/>
      </w:r>
    </w:p>
    <w:p>
      <w:pPr>
        <w:pStyle w:val="Heading1"/>
        <w:rPr/>
      </w:pPr>
      <w:r>
        <w:rPr/>
        <w:t>C. 30.3. DALLES-GAZON EN BETON ET EN PEHD</w:t>
      </w:r>
    </w:p>
    <w:p>
      <w:pPr>
        <w:pStyle w:val="BodyText"/>
        <w:rPr/>
      </w:pPr>
      <w:r>
        <w:rPr/>
      </w:r>
    </w:p>
    <w:p>
      <w:pPr>
        <w:pStyle w:val="Puces2"/>
        <w:numPr>
          <w:ilvl w:val="0"/>
          <w:numId w:val="1"/>
        </w:numPr>
        <w:tabs>
          <w:tab w:val="clear" w:pos="284"/>
        </w:tabs>
        <w:rPr/>
      </w:pPr>
      <w:r>
        <w:rPr/>
        <w:t>Préciser la classe de résistance.</w:t>
      </w:r>
    </w:p>
    <w:p>
      <w:pPr>
        <w:pStyle w:val="Puces2"/>
        <w:numPr>
          <w:ilvl w:val="0"/>
          <w:numId w:val="1"/>
        </w:numPr>
        <w:tabs>
          <w:tab w:val="clear" w:pos="284"/>
        </w:tabs>
        <w:rPr/>
      </w:pPr>
      <w:r>
        <w:rPr/>
        <w:t>Indiquer si les dalles comportent uniquement des ouvertures de drainage verticales passantes ou si elles sont également munies d'évidements dans la face supérieure.</w:t>
      </w:r>
    </w:p>
    <w:p>
      <w:pPr>
        <w:pStyle w:val="Puces2"/>
        <w:numPr>
          <w:ilvl w:val="0"/>
          <w:numId w:val="1"/>
        </w:numPr>
        <w:tabs>
          <w:tab w:val="clear" w:pos="284"/>
        </w:tabs>
        <w:rPr/>
      </w:pPr>
      <w:r>
        <w:rPr/>
        <w:t>Pour les dalles-gazon en béton: préciser la forme, si autre que rectangulaire.</w:t>
      </w:r>
    </w:p>
    <w:p>
      <w:pPr>
        <w:pStyle w:val="Puces2"/>
        <w:numPr>
          <w:ilvl w:val="0"/>
          <w:numId w:val="1"/>
        </w:numPr>
        <w:tabs>
          <w:tab w:val="clear" w:pos="284"/>
        </w:tabs>
        <w:rPr/>
      </w:pPr>
      <w:r>
        <w:rPr/>
        <w:t>Pour les dalles-gazon en PEHD: préciser les prescriptions particulières.</w:t>
      </w:r>
    </w:p>
    <w:p>
      <w:pPr>
        <w:pStyle w:val="BodyText"/>
        <w:rPr/>
      </w:pPr>
      <w:r>
        <w:rPr/>
      </w:r>
    </w:p>
    <w:p>
      <w:pPr>
        <w:pStyle w:val="BodyText"/>
        <w:rPr/>
      </w:pPr>
      <w:r>
        <w:rPr/>
      </w:r>
    </w:p>
    <w:p>
      <w:pPr>
        <w:pStyle w:val="Heading1"/>
        <w:keepNext w:val="true"/>
        <w:rPr/>
      </w:pPr>
      <w:r>
        <w:rPr/>
        <w:t>C. 30.4. DALLES DE REPERAGE</w:t>
      </w:r>
    </w:p>
    <w:p>
      <w:pPr>
        <w:pStyle w:val="BodyText"/>
        <w:keepNext w:val="true"/>
        <w:rPr/>
      </w:pPr>
      <w:r>
        <w:rPr/>
      </w:r>
    </w:p>
    <w:p>
      <w:pPr>
        <w:pStyle w:val="Puces2"/>
        <w:keepNext w:val="true"/>
        <w:numPr>
          <w:ilvl w:val="0"/>
          <w:numId w:val="1"/>
        </w:numPr>
        <w:tabs>
          <w:tab w:val="clear" w:pos="284"/>
        </w:tabs>
        <w:rPr/>
      </w:pPr>
      <w:r>
        <w:rPr/>
        <w:t>Préciser la catégorie d'application.</w:t>
      </w:r>
    </w:p>
    <w:p>
      <w:pPr>
        <w:pStyle w:val="Puces2"/>
        <w:keepNext w:val="true"/>
        <w:numPr>
          <w:ilvl w:val="0"/>
          <w:numId w:val="1"/>
        </w:numPr>
        <w:tabs>
          <w:tab w:val="clear" w:pos="284"/>
        </w:tabs>
        <w:rPr/>
      </w:pPr>
      <w:r>
        <w:rPr/>
        <w:t>Dalles de conduite: préciser la couleur du signal strié, si autre que blanche.</w:t>
      </w:r>
    </w:p>
    <w:p>
      <w:pPr>
        <w:pStyle w:val="Puces2"/>
        <w:keepNext w:val="true"/>
        <w:numPr>
          <w:ilvl w:val="0"/>
          <w:numId w:val="1"/>
        </w:numPr>
        <w:tabs>
          <w:tab w:val="clear" w:pos="284"/>
        </w:tabs>
        <w:rPr/>
      </w:pPr>
      <w:r>
        <w:rPr/>
        <w:t>Dalles d'éveil à la vigilance: préciser la couleur du signal à protubérances, si autre que blanche.</w:t>
      </w:r>
    </w:p>
    <w:p>
      <w:pPr>
        <w:pStyle w:val="Puces2"/>
        <w:keepNext w:val="true"/>
        <w:numPr>
          <w:ilvl w:val="0"/>
          <w:numId w:val="1"/>
        </w:numPr>
        <w:tabs>
          <w:tab w:val="clear" w:pos="284"/>
        </w:tabs>
        <w:rPr/>
      </w:pPr>
      <w:r>
        <w:rPr/>
        <w:t>Dalles d'information: préciser la couleur du signal souple, si autre que noire.</w:t>
      </w:r>
    </w:p>
    <w:p>
      <w:pPr>
        <w:pStyle w:val="BodyText"/>
        <w:rPr/>
      </w:pPr>
      <w:r>
        <w:rPr/>
      </w:r>
    </w:p>
    <w:p>
      <w:pPr>
        <w:pStyle w:val="BodyText"/>
        <w:rPr/>
      </w:pPr>
      <w:r>
        <w:rPr/>
      </w:r>
    </w:p>
    <w:p>
      <w:pPr>
        <w:pStyle w:val="Heading1"/>
        <w:rPr/>
      </w:pPr>
      <w:r>
        <w:rPr/>
        <w:t>C. 31.1. BORDURES EN PIERRE NATURELLE</w:t>
      </w:r>
    </w:p>
    <w:p>
      <w:pPr>
        <w:pStyle w:val="BodyText"/>
        <w:rPr/>
      </w:pPr>
      <w:r>
        <w:rPr/>
      </w:r>
    </w:p>
    <w:p>
      <w:pPr>
        <w:pStyle w:val="Cadre"/>
        <w:rPr/>
      </w:pPr>
      <w:r>
        <w:rPr/>
        <w:t>Préciser les tolérances dimensionnelles et la classe d'usage caractéristiques.</w:t>
      </w:r>
    </w:p>
    <w:p>
      <w:pPr>
        <w:pStyle w:val="BodyText"/>
        <w:rPr/>
      </w:pPr>
      <w:r>
        <w:rPr/>
      </w:r>
    </w:p>
    <w:p>
      <w:pPr>
        <w:pStyle w:val="BodyText"/>
        <w:rPr/>
      </w:pPr>
      <w:r>
        <w:rPr/>
      </w:r>
    </w:p>
    <w:p>
      <w:pPr>
        <w:pStyle w:val="BodyText"/>
        <w:rPr/>
      </w:pPr>
      <w:r>
        <w:rPr/>
      </w:r>
    </w:p>
    <w:p>
      <w:pPr>
        <w:pStyle w:val="BodyText"/>
        <w:rPr/>
      </w:pPr>
      <w:r>
        <w:rPr/>
      </w:r>
    </w:p>
    <w:p>
      <w:pPr>
        <w:pStyle w:val="Heading1"/>
        <w:rPr/>
      </w:pPr>
      <w:r>
        <w:rPr/>
        <w:t>C. 31.1.1. BORDURES EN PIERRE CALCAIRE</w:t>
      </w:r>
    </w:p>
    <w:p>
      <w:pPr>
        <w:pStyle w:val="BodyText"/>
        <w:rPr/>
      </w:pPr>
      <w:r>
        <w:rPr/>
      </w:r>
    </w:p>
    <w:p>
      <w:pPr>
        <w:pStyle w:val="Puces2"/>
        <w:numPr>
          <w:ilvl w:val="0"/>
          <w:numId w:val="1"/>
        </w:numPr>
        <w:tabs>
          <w:tab w:val="clear" w:pos="284"/>
        </w:tabs>
        <w:rPr/>
      </w:pPr>
      <w:r>
        <w:rPr/>
        <w:t>Préciser si la taille mécanique des faces verticales se fait dans le sens de la longueur pour les types A I, B I et D.</w:t>
      </w:r>
    </w:p>
    <w:p>
      <w:pPr>
        <w:pStyle w:val="Puces2"/>
        <w:numPr>
          <w:ilvl w:val="0"/>
          <w:numId w:val="1"/>
        </w:numPr>
        <w:tabs>
          <w:tab w:val="clear" w:pos="284"/>
        </w:tabs>
        <w:rPr/>
      </w:pPr>
      <w:r>
        <w:rPr/>
        <w:t>Préciser le type de bordure.</w:t>
      </w:r>
    </w:p>
    <w:p>
      <w:pPr>
        <w:pStyle w:val="BodyText"/>
        <w:rPr/>
      </w:pPr>
      <w:r>
        <w:rPr/>
      </w:r>
    </w:p>
    <w:p>
      <w:pPr>
        <w:pStyle w:val="BodyText"/>
        <w:rPr/>
      </w:pPr>
      <w:r>
        <w:rPr/>
      </w:r>
    </w:p>
    <w:p>
      <w:pPr>
        <w:pStyle w:val="Heading1"/>
        <w:rPr/>
      </w:pPr>
      <w:r>
        <w:rPr/>
        <w:t>C. 31.1.2. BORDURES RUSTIQUES EN GRES FAMENNIEN</w:t>
      </w:r>
    </w:p>
    <w:p>
      <w:pPr>
        <w:pStyle w:val="BodyText"/>
        <w:rPr/>
      </w:pPr>
      <w:r>
        <w:rPr/>
      </w:r>
    </w:p>
    <w:p>
      <w:pPr>
        <w:pStyle w:val="Cadre"/>
        <w:rPr/>
      </w:pPr>
      <w:r>
        <w:rPr/>
        <w:t xml:space="preserve">Préciser les dimensions comprises dans les fourchettes spécifiées au </w:t>
      </w:r>
      <w:r>
        <w:rPr>
          <w:color w:val="0000FF"/>
        </w:rPr>
        <w:t>C. 31.2.1</w:t>
      </w:r>
      <w:r>
        <w:rPr/>
        <w:t>.</w:t>
      </w:r>
    </w:p>
    <w:p>
      <w:pPr>
        <w:pStyle w:val="BodyText"/>
        <w:rPr/>
      </w:pPr>
      <w:r>
        <w:rPr/>
      </w:r>
    </w:p>
    <w:p>
      <w:pPr>
        <w:pStyle w:val="BodyText"/>
        <w:rPr/>
      </w:pPr>
      <w:r>
        <w:rPr/>
      </w:r>
    </w:p>
    <w:p>
      <w:pPr>
        <w:pStyle w:val="Heading1"/>
        <w:rPr/>
      </w:pPr>
      <w:r>
        <w:rPr/>
        <w:t>C. 31.2. BORDURES PREFABRIQUEES EN BETON</w:t>
      </w:r>
    </w:p>
    <w:p>
      <w:pPr>
        <w:pStyle w:val="BodyText"/>
        <w:rPr/>
      </w:pPr>
      <w:r>
        <w:rPr/>
      </w:r>
    </w:p>
    <w:p>
      <w:pPr>
        <w:pStyle w:val="Puces2"/>
        <w:numPr>
          <w:ilvl w:val="0"/>
          <w:numId w:val="1"/>
        </w:numPr>
        <w:tabs>
          <w:tab w:val="clear" w:pos="284"/>
        </w:tabs>
        <w:rPr/>
      </w:pPr>
      <w:r>
        <w:rPr/>
        <w:t>Préciser le type de bordure de trottoir.</w:t>
      </w:r>
    </w:p>
    <w:p>
      <w:pPr>
        <w:pStyle w:val="Puces2"/>
        <w:numPr>
          <w:ilvl w:val="0"/>
          <w:numId w:val="1"/>
        </w:numPr>
        <w:tabs>
          <w:tab w:val="clear" w:pos="284"/>
        </w:tabs>
        <w:rPr/>
      </w:pPr>
      <w:r>
        <w:rPr/>
        <w:t>En cas de bordure de trottoir non standard, préciser le profil transversal, la forme, la longueur, la texture et la couleur.</w:t>
      </w:r>
    </w:p>
    <w:p>
      <w:pPr>
        <w:pStyle w:val="Puces2"/>
        <w:numPr>
          <w:ilvl w:val="0"/>
          <w:numId w:val="1"/>
        </w:numPr>
        <w:tabs>
          <w:tab w:val="clear" w:pos="284"/>
        </w:tabs>
        <w:rPr/>
      </w:pPr>
      <w:r>
        <w:rPr/>
        <w:t>Préciser la catégorie d'application.</w:t>
      </w:r>
    </w:p>
    <w:p>
      <w:pPr>
        <w:pStyle w:val="BodyText"/>
        <w:rPr/>
      </w:pPr>
      <w:r>
        <w:rPr/>
      </w:r>
    </w:p>
    <w:p>
      <w:pPr>
        <w:pStyle w:val="BodyText"/>
        <w:rPr/>
      </w:pPr>
      <w:r>
        <w:rPr/>
      </w:r>
    </w:p>
    <w:p>
      <w:pPr>
        <w:pStyle w:val="Heading1"/>
        <w:rPr/>
      </w:pPr>
      <w:r>
        <w:rPr/>
        <w:t>C. 32. BANDES DE CONTREBUTAGE ET FILETS D'EAU PREFABRIQUES EN BETON</w:t>
      </w:r>
    </w:p>
    <w:p>
      <w:pPr>
        <w:pStyle w:val="BodyText"/>
        <w:rPr/>
      </w:pPr>
      <w:r>
        <w:rPr/>
      </w:r>
    </w:p>
    <w:p>
      <w:pPr>
        <w:pStyle w:val="Puces2"/>
        <w:numPr>
          <w:ilvl w:val="0"/>
          <w:numId w:val="1"/>
        </w:numPr>
        <w:tabs>
          <w:tab w:val="clear" w:pos="284"/>
        </w:tabs>
        <w:rPr/>
      </w:pPr>
      <w:r>
        <w:rPr/>
        <w:t>Préciser le type.</w:t>
      </w:r>
    </w:p>
    <w:p>
      <w:pPr>
        <w:pStyle w:val="Puces2"/>
        <w:numPr>
          <w:ilvl w:val="0"/>
          <w:numId w:val="1"/>
        </w:numPr>
        <w:tabs>
          <w:tab w:val="clear" w:pos="284"/>
        </w:tabs>
        <w:rPr/>
      </w:pPr>
      <w:r>
        <w:rPr/>
        <w:t>Dans les cas non standard, préciser le profil transversal, la forme, la longueur, la texture et la couleur.</w:t>
      </w:r>
    </w:p>
    <w:p>
      <w:pPr>
        <w:pStyle w:val="Puces2"/>
        <w:numPr>
          <w:ilvl w:val="0"/>
          <w:numId w:val="1"/>
        </w:numPr>
        <w:tabs>
          <w:tab w:val="clear" w:pos="284"/>
        </w:tabs>
        <w:rPr/>
      </w:pPr>
      <w:r>
        <w:rPr/>
        <w:t>Préciser la catégorie d'application.</w:t>
      </w:r>
    </w:p>
    <w:p>
      <w:pPr>
        <w:pStyle w:val="BodyText"/>
        <w:rPr/>
      </w:pPr>
      <w:r>
        <w:rPr/>
      </w:r>
    </w:p>
    <w:p>
      <w:pPr>
        <w:pStyle w:val="BodyText"/>
        <w:rPr/>
      </w:pPr>
      <w:r>
        <w:rPr/>
      </w:r>
    </w:p>
    <w:p>
      <w:pPr>
        <w:pStyle w:val="Heading1"/>
        <w:keepNext w:val="true"/>
        <w:rPr/>
      </w:pPr>
      <w:r>
        <w:rPr/>
        <w:t>C. 33. BORDURES-FILETS D'EAU PREFABRIQUEES EN BETON</w:t>
      </w:r>
    </w:p>
    <w:p>
      <w:pPr>
        <w:pStyle w:val="BodyText"/>
        <w:keepNext w:val="true"/>
        <w:rPr/>
      </w:pPr>
      <w:r>
        <w:rPr/>
      </w:r>
    </w:p>
    <w:p>
      <w:pPr>
        <w:pStyle w:val="Puces2"/>
        <w:keepNext w:val="true"/>
        <w:numPr>
          <w:ilvl w:val="0"/>
          <w:numId w:val="1"/>
        </w:numPr>
        <w:tabs>
          <w:tab w:val="clear" w:pos="284"/>
        </w:tabs>
        <w:rPr/>
      </w:pPr>
      <w:r>
        <w:rPr/>
        <w:t>Préciser le type.</w:t>
      </w:r>
    </w:p>
    <w:p>
      <w:pPr>
        <w:pStyle w:val="Puces2"/>
        <w:keepNext w:val="true"/>
        <w:numPr>
          <w:ilvl w:val="0"/>
          <w:numId w:val="1"/>
        </w:numPr>
        <w:tabs>
          <w:tab w:val="clear" w:pos="284"/>
        </w:tabs>
        <w:rPr/>
      </w:pPr>
      <w:r>
        <w:rPr/>
        <w:t>Dans les cas non standard, préciser le profil transversal, la forme, la longueur, la texture et la couleur.</w:t>
      </w:r>
    </w:p>
    <w:p>
      <w:pPr>
        <w:pStyle w:val="Puces2"/>
        <w:keepNext w:val="true"/>
        <w:numPr>
          <w:ilvl w:val="0"/>
          <w:numId w:val="1"/>
        </w:numPr>
        <w:tabs>
          <w:tab w:val="clear" w:pos="284"/>
        </w:tabs>
        <w:rPr/>
      </w:pPr>
      <w:r>
        <w:rPr/>
        <w:t>Préciser la catégorie d'application.</w:t>
      </w:r>
    </w:p>
    <w:p>
      <w:pPr>
        <w:pStyle w:val="BodyText"/>
        <w:rPr/>
      </w:pPr>
      <w:r>
        <w:rPr/>
      </w:r>
    </w:p>
    <w:p>
      <w:pPr>
        <w:pStyle w:val="BodyText"/>
        <w:rPr/>
      </w:pPr>
      <w:r>
        <w:rPr/>
      </w:r>
    </w:p>
    <w:p>
      <w:pPr>
        <w:pStyle w:val="Heading1"/>
        <w:rPr/>
      </w:pPr>
      <w:r>
        <w:rPr/>
        <w:t>C. 34.2. BORDURES D'ILOT DIRECTIONNEL</w:t>
      </w:r>
    </w:p>
    <w:p>
      <w:pPr>
        <w:pStyle w:val="BodyText"/>
        <w:rPr/>
      </w:pPr>
      <w:r>
        <w:rPr/>
      </w:r>
    </w:p>
    <w:p>
      <w:pPr>
        <w:pStyle w:val="Cadre"/>
        <w:rPr/>
      </w:pPr>
      <w:r>
        <w:rPr/>
        <w:t>Préciser la catégorie d'application.</w:t>
      </w:r>
    </w:p>
    <w:p>
      <w:pPr>
        <w:pStyle w:val="BodyText"/>
        <w:rPr/>
      </w:pPr>
      <w:r>
        <w:rPr/>
      </w:r>
    </w:p>
    <w:p>
      <w:pPr>
        <w:pStyle w:val="BodyText"/>
        <w:rPr/>
      </w:pPr>
      <w:r>
        <w:rPr/>
      </w:r>
    </w:p>
    <w:p>
      <w:pPr>
        <w:pStyle w:val="Heading1"/>
        <w:rPr/>
      </w:pPr>
      <w:r>
        <w:rPr/>
        <w:t>C. 34.3. DELIMITATEURS DE TRAFIC</w:t>
      </w:r>
    </w:p>
    <w:p>
      <w:pPr>
        <w:pStyle w:val="BodyText"/>
        <w:rPr/>
      </w:pPr>
      <w:r>
        <w:rPr/>
      </w:r>
    </w:p>
    <w:p>
      <w:pPr>
        <w:pStyle w:val="Cadre"/>
        <w:rPr/>
      </w:pPr>
      <w:r>
        <w:rPr/>
        <w:t>Préciser la catégorie d'application.</w:t>
      </w:r>
    </w:p>
    <w:p>
      <w:pPr>
        <w:pStyle w:val="BodyText"/>
        <w:rPr/>
      </w:pPr>
      <w:r>
        <w:rPr/>
      </w:r>
    </w:p>
    <w:p>
      <w:pPr>
        <w:pStyle w:val="BodyText"/>
        <w:rPr/>
      </w:pPr>
      <w:r>
        <w:rPr/>
      </w:r>
    </w:p>
    <w:p>
      <w:pPr>
        <w:pStyle w:val="Heading1"/>
        <w:rPr/>
      </w:pPr>
      <w:r>
        <w:rPr/>
        <w:t>C. 34.4. BORDURES DE DEMARCATION</w:t>
      </w:r>
    </w:p>
    <w:p>
      <w:pPr>
        <w:pStyle w:val="BodyText"/>
        <w:rPr/>
      </w:pPr>
      <w:r>
        <w:rPr/>
      </w:r>
    </w:p>
    <w:p>
      <w:pPr>
        <w:pStyle w:val="Cadre"/>
        <w:rPr/>
      </w:pPr>
      <w:r>
        <w:rPr/>
        <w:t>Préciser la catégorie d'application.</w:t>
      </w:r>
    </w:p>
    <w:p>
      <w:pPr>
        <w:pStyle w:val="BodyText"/>
        <w:rPr/>
      </w:pPr>
      <w:r>
        <w:rPr/>
      </w:r>
    </w:p>
    <w:p>
      <w:pPr>
        <w:pStyle w:val="BodyText"/>
        <w:rPr/>
      </w:pPr>
      <w:r>
        <w:rPr/>
      </w:r>
    </w:p>
    <w:p>
      <w:pPr>
        <w:pStyle w:val="Heading1"/>
        <w:rPr/>
      </w:pPr>
      <w:r>
        <w:rPr/>
        <w:t>C. 35.1. CANIVEAUX SANS GRILLE</w:t>
      </w:r>
    </w:p>
    <w:p>
      <w:pPr>
        <w:pStyle w:val="BodyText"/>
        <w:rPr/>
      </w:pPr>
      <w:r>
        <w:rPr/>
      </w:r>
    </w:p>
    <w:p>
      <w:pPr>
        <w:pStyle w:val="Cadre"/>
        <w:rPr/>
      </w:pPr>
      <w:r>
        <w:rPr/>
        <w:t>Préciser la classe de résistance, les dimensions du profil en travers et les caractéristiques des couvercles.</w:t>
      </w:r>
    </w:p>
    <w:p>
      <w:pPr>
        <w:pStyle w:val="BodyText"/>
        <w:rPr/>
      </w:pPr>
      <w:r>
        <w:rPr/>
      </w:r>
    </w:p>
    <w:p>
      <w:pPr>
        <w:pStyle w:val="BodyText"/>
        <w:rPr/>
      </w:pPr>
      <w:r>
        <w:rPr/>
      </w:r>
    </w:p>
    <w:p>
      <w:pPr>
        <w:pStyle w:val="Heading1"/>
        <w:rPr/>
      </w:pPr>
      <w:r>
        <w:rPr/>
        <w:t>C. 35.1.2.1. CANIVEAUX EN BETON SANS GRILLE</w:t>
      </w:r>
    </w:p>
    <w:p>
      <w:pPr>
        <w:pStyle w:val="BodyText"/>
        <w:rPr/>
      </w:pPr>
      <w:r>
        <w:rPr/>
      </w:r>
    </w:p>
    <w:p>
      <w:pPr>
        <w:pStyle w:val="Cadre"/>
        <w:rPr/>
      </w:pPr>
      <w:r>
        <w:rPr/>
        <w:t>Préciser les dimensions pour les caniveaux avec fente.</w:t>
      </w:r>
    </w:p>
    <w:p>
      <w:pPr>
        <w:pStyle w:val="BodyText"/>
        <w:rPr/>
      </w:pPr>
      <w:r>
        <w:rPr/>
      </w:r>
    </w:p>
    <w:p>
      <w:pPr>
        <w:pStyle w:val="BodyText"/>
        <w:rPr/>
      </w:pPr>
      <w:r>
        <w:rPr/>
      </w:r>
    </w:p>
    <w:p>
      <w:pPr>
        <w:pStyle w:val="Heading1"/>
        <w:rPr/>
      </w:pPr>
      <w:r>
        <w:rPr/>
        <w:t>C. 35.1.2.2. CANIVEAUX EN POLYESTER ARME SANS GRILLE</w:t>
      </w:r>
    </w:p>
    <w:p>
      <w:pPr>
        <w:pStyle w:val="BodyText"/>
        <w:rPr/>
      </w:pPr>
      <w:r>
        <w:rPr/>
      </w:r>
    </w:p>
    <w:p>
      <w:pPr>
        <w:pStyle w:val="Cadre"/>
        <w:rPr/>
      </w:pPr>
      <w:r>
        <w:rPr/>
        <w:t>Définir les prescriptions.</w:t>
      </w:r>
    </w:p>
    <w:p>
      <w:pPr>
        <w:pStyle w:val="BodyText"/>
        <w:rPr/>
      </w:pPr>
      <w:r>
        <w:rPr/>
      </w:r>
    </w:p>
    <w:p>
      <w:pPr>
        <w:pStyle w:val="BodyText"/>
        <w:rPr/>
      </w:pPr>
      <w:r>
        <w:rPr/>
      </w:r>
    </w:p>
    <w:p>
      <w:pPr>
        <w:pStyle w:val="Heading1"/>
        <w:rPr/>
      </w:pPr>
      <w:r>
        <w:rPr/>
        <w:t>C. 35.2.2.1. CANIVEAUX EN BETON AVEC GRILLE</w:t>
      </w:r>
    </w:p>
    <w:p>
      <w:pPr>
        <w:pStyle w:val="BodyText"/>
        <w:rPr/>
      </w:pPr>
      <w:r>
        <w:rPr/>
      </w:r>
    </w:p>
    <w:p>
      <w:pPr>
        <w:pStyle w:val="Cadre"/>
        <w:rPr/>
      </w:pPr>
      <w:r>
        <w:rPr/>
        <w:t>Préciser la classe de résistance, les dimensions du profil en travers, les caractéristiques des grilles et le type de sortie.</w:t>
      </w:r>
    </w:p>
    <w:p>
      <w:pPr>
        <w:pStyle w:val="BodyText"/>
        <w:rPr/>
      </w:pPr>
      <w:r>
        <w:rPr/>
      </w:r>
    </w:p>
    <w:p>
      <w:pPr>
        <w:pStyle w:val="BodyText"/>
        <w:rPr/>
      </w:pPr>
      <w:r>
        <w:rPr/>
      </w:r>
    </w:p>
    <w:p>
      <w:pPr>
        <w:pStyle w:val="Heading1"/>
        <w:keepNext w:val="true"/>
        <w:rPr/>
      </w:pPr>
      <w:r>
        <w:rPr/>
        <w:t>C. 35.2.2.2. CANIVEAUX EN BETON DE RESINE SYNTHETIQUE AVEC GRILLE</w:t>
      </w:r>
    </w:p>
    <w:p>
      <w:pPr>
        <w:pStyle w:val="BodyText"/>
        <w:keepNext w:val="true"/>
        <w:rPr/>
      </w:pPr>
      <w:r>
        <w:rPr/>
      </w:r>
    </w:p>
    <w:p>
      <w:pPr>
        <w:pStyle w:val="Cadre"/>
        <w:keepNext w:val="true"/>
        <w:rPr/>
      </w:pPr>
      <w:r>
        <w:rPr/>
        <w:t>Préciser la classe de résistance, les dimensions du profil en travers, les caractéristiques des grilles et le type de sortie.</w:t>
      </w:r>
    </w:p>
    <w:p>
      <w:pPr>
        <w:pStyle w:val="BodyText"/>
        <w:rPr/>
      </w:pPr>
      <w:r>
        <w:rPr/>
      </w:r>
    </w:p>
    <w:p>
      <w:pPr>
        <w:pStyle w:val="BodyText"/>
        <w:rPr/>
      </w:pPr>
      <w:r>
        <w:rPr/>
      </w:r>
    </w:p>
    <w:p>
      <w:pPr>
        <w:pStyle w:val="Heading1"/>
        <w:rPr/>
      </w:pPr>
      <w:r>
        <w:rPr/>
        <w:t>C. 35.2.2.3. CANIVEAUX EN PEHD OU PP AVEC GRILLE</w:t>
      </w:r>
    </w:p>
    <w:p>
      <w:pPr>
        <w:pStyle w:val="BodyText"/>
        <w:rPr/>
      </w:pPr>
      <w:r>
        <w:rPr/>
      </w:r>
    </w:p>
    <w:p>
      <w:pPr>
        <w:pStyle w:val="Cadre"/>
        <w:rPr/>
      </w:pPr>
      <w:r>
        <w:rPr/>
        <w:t>Préciser la classe de résistance, les dimensions du profil en travers, les caractéristiques des grilles et le type de sortie.</w:t>
      </w:r>
    </w:p>
    <w:p>
      <w:pPr>
        <w:pStyle w:val="BodyText"/>
        <w:rPr/>
      </w:pPr>
      <w:r>
        <w:rPr/>
      </w:r>
    </w:p>
    <w:p>
      <w:pPr>
        <w:pStyle w:val="BodyText"/>
        <w:rPr/>
      </w:pPr>
      <w:r>
        <w:rPr/>
      </w:r>
    </w:p>
    <w:p>
      <w:pPr>
        <w:pStyle w:val="Heading1"/>
        <w:rPr/>
      </w:pPr>
      <w:r>
        <w:rPr/>
        <w:t>C. 38.1.2. TUYAUX EN BETON</w:t>
      </w:r>
    </w:p>
    <w:p>
      <w:pPr>
        <w:pStyle w:val="BodyText"/>
        <w:rPr/>
      </w:pPr>
      <w:r>
        <w:rPr/>
      </w:r>
    </w:p>
    <w:p>
      <w:pPr>
        <w:pStyle w:val="Puces2"/>
        <w:numPr>
          <w:ilvl w:val="0"/>
          <w:numId w:val="1"/>
        </w:numPr>
        <w:tabs>
          <w:tab w:val="clear" w:pos="284"/>
        </w:tabs>
        <w:rPr/>
      </w:pPr>
      <w:r>
        <w:rPr/>
        <w:t>Pour les tuyaux circulaires: préciser le diamètre intérieur nominal DN.</w:t>
      </w:r>
    </w:p>
    <w:p>
      <w:pPr>
        <w:pStyle w:val="Puces2"/>
        <w:numPr>
          <w:ilvl w:val="0"/>
          <w:numId w:val="1"/>
        </w:numPr>
        <w:tabs>
          <w:tab w:val="clear" w:pos="284"/>
        </w:tabs>
        <w:rPr/>
      </w:pPr>
      <w:r>
        <w:rPr/>
        <w:t>Pour les tuyaux ovoïdes: préciser les dimensions intérieures.</w:t>
      </w:r>
    </w:p>
    <w:p>
      <w:pPr>
        <w:pStyle w:val="Puces2"/>
        <w:numPr>
          <w:ilvl w:val="0"/>
          <w:numId w:val="1"/>
        </w:numPr>
        <w:tabs>
          <w:tab w:val="clear" w:pos="284"/>
        </w:tabs>
        <w:rPr/>
      </w:pPr>
      <w:r>
        <w:rPr/>
        <w:t>Préciser le cas échéant si le béton des tuyaux n'est pas un béton à résistance accrue aux sulfates.</w:t>
      </w:r>
    </w:p>
    <w:p>
      <w:pPr>
        <w:pStyle w:val="Puces2"/>
        <w:numPr>
          <w:ilvl w:val="0"/>
          <w:numId w:val="1"/>
        </w:numPr>
        <w:tabs>
          <w:tab w:val="clear" w:pos="284"/>
        </w:tabs>
        <w:rPr/>
      </w:pPr>
      <w:r>
        <w:rPr/>
        <w:t>Préciser la classe de résistance, si elle diffère de la classe prescrite par défaut.</w:t>
      </w:r>
    </w:p>
    <w:p>
      <w:pPr>
        <w:pStyle w:val="Puces2"/>
        <w:numPr>
          <w:ilvl w:val="0"/>
          <w:numId w:val="1"/>
        </w:numPr>
        <w:tabs>
          <w:tab w:val="clear" w:pos="284"/>
        </w:tabs>
        <w:rPr/>
      </w:pPr>
      <w:r>
        <w:rPr/>
        <w:t>Préciser le cas échéant la longueur des tuyaux elliptiques.</w:t>
      </w:r>
    </w:p>
    <w:p>
      <w:pPr>
        <w:pStyle w:val="BodyText"/>
        <w:rPr/>
      </w:pPr>
      <w:r>
        <w:rPr/>
      </w:r>
    </w:p>
    <w:p>
      <w:pPr>
        <w:pStyle w:val="BodyText"/>
        <w:rPr/>
      </w:pPr>
      <w:r>
        <w:rPr/>
      </w:r>
    </w:p>
    <w:p>
      <w:pPr>
        <w:pStyle w:val="Heading1"/>
        <w:rPr/>
      </w:pPr>
      <w:r>
        <w:rPr/>
        <w:t>C. 38.1.5. TUYAUX EN FONTE DUCTILE</w:t>
      </w:r>
    </w:p>
    <w:p>
      <w:pPr>
        <w:pStyle w:val="BodyText"/>
        <w:rPr/>
      </w:pPr>
      <w:r>
        <w:rPr/>
      </w:r>
    </w:p>
    <w:p>
      <w:pPr>
        <w:pStyle w:val="Puces2"/>
        <w:numPr>
          <w:ilvl w:val="0"/>
          <w:numId w:val="1"/>
        </w:numPr>
        <w:tabs>
          <w:tab w:val="clear" w:pos="284"/>
        </w:tabs>
        <w:rPr/>
      </w:pPr>
      <w:r>
        <w:rPr/>
        <w:t>Préciser le type de revêtement intérieur des tuyaux et raccords parmi ceux proposés.</w:t>
      </w:r>
    </w:p>
    <w:p>
      <w:pPr>
        <w:pStyle w:val="Puces2"/>
        <w:numPr>
          <w:ilvl w:val="0"/>
          <w:numId w:val="1"/>
        </w:numPr>
        <w:tabs>
          <w:tab w:val="clear" w:pos="284"/>
        </w:tabs>
        <w:rPr/>
      </w:pPr>
      <w:r>
        <w:rPr/>
        <w:t>Préciser le choix de la protection extérieure parmi celles proposées.</w:t>
      </w:r>
    </w:p>
    <w:p>
      <w:pPr>
        <w:pStyle w:val="BodyText"/>
        <w:rPr/>
      </w:pPr>
      <w:r>
        <w:rPr/>
      </w:r>
    </w:p>
    <w:p>
      <w:pPr>
        <w:pStyle w:val="BodyText"/>
        <w:rPr/>
      </w:pPr>
      <w:r>
        <w:rPr/>
      </w:r>
    </w:p>
    <w:p>
      <w:pPr>
        <w:pStyle w:val="Heading1"/>
        <w:rPr/>
      </w:pPr>
      <w:r>
        <w:rPr/>
        <w:t>C. 38.2.3. TUYAUX SOUMIS A PRESSION INTERNE EN FONTE DUCTILE</w:t>
      </w:r>
    </w:p>
    <w:p>
      <w:pPr>
        <w:pStyle w:val="BodyText"/>
        <w:rPr/>
      </w:pPr>
      <w:r>
        <w:rPr/>
      </w:r>
    </w:p>
    <w:p>
      <w:pPr>
        <w:pStyle w:val="Cadre"/>
        <w:rPr/>
      </w:pPr>
      <w:r>
        <w:rPr/>
        <w:t>Préciser les éventuelles sujétions relatives au verrouillage des courbes et des tuyaux.</w:t>
      </w:r>
    </w:p>
    <w:p>
      <w:pPr>
        <w:pStyle w:val="BodyText"/>
        <w:rPr/>
      </w:pPr>
      <w:r>
        <w:rPr/>
      </w:r>
    </w:p>
    <w:p>
      <w:pPr>
        <w:pStyle w:val="BodyText"/>
        <w:rPr/>
      </w:pPr>
      <w:r>
        <w:rPr/>
      </w:r>
    </w:p>
    <w:p>
      <w:pPr>
        <w:pStyle w:val="Heading1"/>
        <w:rPr/>
      </w:pPr>
      <w:r>
        <w:rPr/>
        <w:t>C. 38.2.3. TUYAUX EN PVC NON PLASTIFIE ORIENTE (PVC-O)</w:t>
      </w:r>
    </w:p>
    <w:p>
      <w:pPr>
        <w:pStyle w:val="BodyText"/>
        <w:rPr/>
      </w:pPr>
      <w:r>
        <w:rPr/>
      </w:r>
    </w:p>
    <w:p>
      <w:pPr>
        <w:pStyle w:val="Cadre"/>
        <w:rPr/>
      </w:pPr>
      <w:r>
        <w:rPr/>
        <w:t>Définir les prescriptions.</w:t>
      </w:r>
    </w:p>
    <w:p>
      <w:pPr>
        <w:pStyle w:val="BodyText"/>
        <w:rPr/>
      </w:pPr>
      <w:r>
        <w:rPr/>
      </w:r>
    </w:p>
    <w:p>
      <w:pPr>
        <w:pStyle w:val="BodyText"/>
        <w:rPr/>
      </w:pPr>
      <w:r>
        <w:rPr/>
      </w:r>
    </w:p>
    <w:p>
      <w:pPr>
        <w:pStyle w:val="Heading1"/>
        <w:rPr/>
      </w:pPr>
      <w:r>
        <w:rPr/>
        <w:t>C. 40.1.2. TUYAUX DRAINANTS EN BETON</w:t>
      </w:r>
    </w:p>
    <w:p>
      <w:pPr>
        <w:pStyle w:val="BodyText"/>
        <w:rPr/>
      </w:pPr>
      <w:r>
        <w:rPr/>
      </w:r>
    </w:p>
    <w:p>
      <w:pPr>
        <w:pStyle w:val="Puces2"/>
        <w:numPr>
          <w:ilvl w:val="0"/>
          <w:numId w:val="1"/>
        </w:numPr>
        <w:tabs>
          <w:tab w:val="clear" w:pos="284"/>
        </w:tabs>
        <w:rPr/>
      </w:pPr>
      <w:r>
        <w:rPr/>
        <w:t>Préciser la classe de résistance.</w:t>
      </w:r>
    </w:p>
    <w:p>
      <w:pPr>
        <w:pStyle w:val="Puces2"/>
        <w:numPr>
          <w:ilvl w:val="0"/>
          <w:numId w:val="1"/>
        </w:numPr>
        <w:tabs>
          <w:tab w:val="clear" w:pos="284"/>
        </w:tabs>
        <w:rPr/>
      </w:pPr>
      <w:r>
        <w:rPr/>
        <w:t>Préciser le cas échéant si le béton des tuyaux n'est pas un béton à résistance accrue aux sulfates.</w:t>
      </w:r>
    </w:p>
    <w:p>
      <w:pPr>
        <w:pStyle w:val="BodyText"/>
        <w:rPr/>
      </w:pPr>
      <w:r>
        <w:rPr/>
      </w:r>
    </w:p>
    <w:p>
      <w:pPr>
        <w:pStyle w:val="BodyText"/>
        <w:rPr/>
      </w:pPr>
      <w:r>
        <w:rPr/>
      </w:r>
    </w:p>
    <w:p>
      <w:pPr>
        <w:pStyle w:val="Heading1"/>
        <w:keepNext w:val="true"/>
        <w:jc w:val="start"/>
        <w:rPr/>
      </w:pPr>
      <w:r>
        <w:rPr/>
        <w:t>C. 41.1. AVALOIRS</w:t>
      </w:r>
    </w:p>
    <w:p>
      <w:pPr>
        <w:pStyle w:val="BodyText"/>
        <w:keepNext w:val="true"/>
        <w:rPr/>
      </w:pPr>
      <w:r>
        <w:rPr/>
      </w:r>
    </w:p>
    <w:p>
      <w:pPr>
        <w:pStyle w:val="Puces2"/>
        <w:keepNext w:val="true"/>
        <w:numPr>
          <w:ilvl w:val="0"/>
          <w:numId w:val="1"/>
        </w:numPr>
        <w:tabs>
          <w:tab w:val="clear" w:pos="284"/>
        </w:tabs>
        <w:rPr/>
      </w:pPr>
      <w:r>
        <w:rPr/>
        <w:t>Préciser le type d'avaloir et la classe de résistance.</w:t>
      </w:r>
    </w:p>
    <w:p>
      <w:pPr>
        <w:pStyle w:val="Puces2"/>
        <w:keepNext w:val="true"/>
        <w:numPr>
          <w:ilvl w:val="0"/>
          <w:numId w:val="1"/>
        </w:numPr>
        <w:tabs>
          <w:tab w:val="clear" w:pos="284"/>
        </w:tabs>
        <w:rPr/>
      </w:pPr>
      <w:r>
        <w:rPr/>
        <w:t>Pour les dispositions en zone piétonne, le cas échéant, préciser si la charge d'épreuve de 250 kN est d'application.</w:t>
      </w:r>
    </w:p>
    <w:p>
      <w:pPr>
        <w:pStyle w:val="Puces2"/>
        <w:keepNext w:val="true"/>
        <w:numPr>
          <w:ilvl w:val="0"/>
          <w:numId w:val="1"/>
        </w:numPr>
        <w:tabs>
          <w:tab w:val="clear" w:pos="284"/>
        </w:tabs>
        <w:rPr/>
      </w:pPr>
      <w:r>
        <w:rPr/>
        <w:t>Préciser la classe de résistance des dispositifs de couronnement et de fermeture, les dimensions du profil en travers et éventuellement les caractéristiques des grilles.</w:t>
      </w:r>
    </w:p>
    <w:p>
      <w:pPr>
        <w:pStyle w:val="Puces2"/>
        <w:keepNext w:val="true"/>
        <w:numPr>
          <w:ilvl w:val="0"/>
          <w:numId w:val="1"/>
        </w:numPr>
        <w:tabs>
          <w:tab w:val="clear" w:pos="284"/>
        </w:tabs>
        <w:rPr/>
      </w:pPr>
      <w:r>
        <w:rPr/>
        <w:t>Bacs en matériaux synthétiques: définir les prescriptions.</w:t>
      </w:r>
    </w:p>
    <w:p>
      <w:pPr>
        <w:pStyle w:val="BodyText"/>
        <w:rPr/>
      </w:pPr>
      <w:r>
        <w:rPr/>
      </w:r>
    </w:p>
    <w:p>
      <w:pPr>
        <w:pStyle w:val="BodyText"/>
        <w:rPr/>
      </w:pPr>
      <w:r>
        <w:rPr/>
      </w:r>
    </w:p>
    <w:p>
      <w:pPr>
        <w:pStyle w:val="Heading1"/>
        <w:jc w:val="start"/>
        <w:rPr/>
      </w:pPr>
      <w:r>
        <w:rPr/>
        <w:t>C. 41.2. TRAPPILLONS</w:t>
      </w:r>
    </w:p>
    <w:p>
      <w:pPr>
        <w:pStyle w:val="BodyText"/>
        <w:rPr/>
      </w:pPr>
      <w:r>
        <w:rPr/>
      </w:r>
    </w:p>
    <w:p>
      <w:pPr>
        <w:pStyle w:val="Puces2"/>
        <w:numPr>
          <w:ilvl w:val="0"/>
          <w:numId w:val="1"/>
        </w:numPr>
        <w:tabs>
          <w:tab w:val="clear" w:pos="284"/>
        </w:tabs>
        <w:rPr/>
      </w:pPr>
      <w:r>
        <w:rPr/>
        <w:t>Préciser la classe de résistance si elle est différente de D400.</w:t>
      </w:r>
    </w:p>
    <w:p>
      <w:pPr>
        <w:pStyle w:val="Puces2"/>
        <w:numPr>
          <w:ilvl w:val="0"/>
          <w:numId w:val="1"/>
        </w:numPr>
        <w:tabs>
          <w:tab w:val="clear" w:pos="284"/>
        </w:tabs>
        <w:rPr/>
      </w:pPr>
      <w:r>
        <w:rPr/>
        <w:t>Préciser éventuellement la résistance minimale à la glissance.</w:t>
      </w:r>
    </w:p>
    <w:p>
      <w:pPr>
        <w:pStyle w:val="Puces2"/>
        <w:numPr>
          <w:ilvl w:val="0"/>
          <w:numId w:val="1"/>
        </w:numPr>
        <w:tabs>
          <w:tab w:val="clear" w:pos="284"/>
        </w:tabs>
        <w:rPr/>
      </w:pPr>
      <w:r>
        <w:rPr/>
        <w:t>Indiquer si les trapillons sont fournis avec un revêtement ou non.</w:t>
      </w:r>
    </w:p>
    <w:p>
      <w:pPr>
        <w:pStyle w:val="BodyText"/>
        <w:rPr/>
      </w:pPr>
      <w:r>
        <w:rPr/>
      </w:r>
    </w:p>
    <w:p>
      <w:pPr>
        <w:pStyle w:val="BodyText"/>
        <w:rPr/>
      </w:pPr>
      <w:r>
        <w:rPr/>
      </w:r>
    </w:p>
    <w:p>
      <w:pPr>
        <w:pStyle w:val="Heading1"/>
        <w:jc w:val="start"/>
        <w:rPr/>
      </w:pPr>
      <w:r>
        <w:rPr/>
        <w:t>C. 44. ELEMENTS PREFABRIQUES EN BETON</w:t>
      </w:r>
    </w:p>
    <w:p>
      <w:pPr>
        <w:pStyle w:val="BodyText"/>
        <w:rPr/>
      </w:pPr>
      <w:r>
        <w:rPr/>
      </w:r>
    </w:p>
    <w:p>
      <w:pPr>
        <w:pStyle w:val="Cadre"/>
        <w:rPr/>
      </w:pPr>
      <w:r>
        <w:rPr/>
        <w:t>Définir la qualité des aciers, leur enrobage et les propriétés du béton.</w:t>
      </w:r>
    </w:p>
    <w:p>
      <w:pPr>
        <w:pStyle w:val="BodyText"/>
        <w:rPr/>
      </w:pPr>
      <w:r>
        <w:rPr/>
      </w:r>
    </w:p>
    <w:p>
      <w:pPr>
        <w:pStyle w:val="BodyText"/>
        <w:rPr/>
      </w:pPr>
      <w:r>
        <w:rPr/>
      </w:r>
    </w:p>
    <w:p>
      <w:pPr>
        <w:pStyle w:val="Heading1"/>
        <w:jc w:val="start"/>
        <w:rPr/>
      </w:pPr>
      <w:r>
        <w:rPr/>
        <w:t>C. 44.2.2.2. MURS DE SOUTENEMENT PREFABRIQUES EN BETON</w:t>
      </w:r>
    </w:p>
    <w:p>
      <w:pPr>
        <w:pStyle w:val="BodyText"/>
        <w:rPr/>
      </w:pPr>
      <w:r>
        <w:rPr/>
      </w:r>
    </w:p>
    <w:p>
      <w:pPr>
        <w:pStyle w:val="Puces2"/>
        <w:numPr>
          <w:ilvl w:val="0"/>
          <w:numId w:val="1"/>
        </w:numPr>
        <w:tabs>
          <w:tab w:val="clear" w:pos="284"/>
        </w:tabs>
        <w:rPr/>
      </w:pPr>
      <w:r>
        <w:rPr/>
        <w:t>Fixer les dimensions (avec une tolérance de 10 mm)</w:t>
      </w:r>
    </w:p>
    <w:p>
      <w:pPr>
        <w:pStyle w:val="Puces2"/>
        <w:numPr>
          <w:ilvl w:val="0"/>
          <w:numId w:val="1"/>
        </w:numPr>
        <w:tabs>
          <w:tab w:val="clear" w:pos="284"/>
        </w:tabs>
        <w:rPr/>
      </w:pPr>
      <w:r>
        <w:rPr/>
        <w:t>Préciser les charges à prévoir si elles sont différentes des valeurs par défaut.</w:t>
      </w:r>
    </w:p>
    <w:p>
      <w:pPr>
        <w:pStyle w:val="BodyText"/>
        <w:rPr/>
      </w:pPr>
      <w:r>
        <w:rPr/>
      </w:r>
    </w:p>
    <w:p>
      <w:pPr>
        <w:pStyle w:val="BodyText"/>
        <w:rPr/>
      </w:pPr>
      <w:r>
        <w:rPr/>
      </w:r>
    </w:p>
    <w:p>
      <w:pPr>
        <w:pStyle w:val="Heading1"/>
        <w:jc w:val="start"/>
        <w:rPr/>
      </w:pPr>
      <w:r>
        <w:rPr/>
        <w:t>C. 44.2.2.3. CADREs ENTERREs PREFABRIQUEs EN BETON ARME</w:t>
      </w:r>
    </w:p>
    <w:p>
      <w:pPr>
        <w:pStyle w:val="BodyText"/>
        <w:rPr/>
      </w:pPr>
      <w:r>
        <w:rPr/>
      </w:r>
    </w:p>
    <w:p>
      <w:pPr>
        <w:pStyle w:val="Puces2"/>
        <w:numPr>
          <w:ilvl w:val="0"/>
          <w:numId w:val="1"/>
        </w:numPr>
        <w:tabs>
          <w:tab w:val="clear" w:pos="284"/>
        </w:tabs>
        <w:rPr/>
      </w:pPr>
      <w:r>
        <w:rPr/>
        <w:t>Fixer les dimensions intérieures (avec une tolérance de 10 mm).</w:t>
      </w:r>
    </w:p>
    <w:p>
      <w:pPr>
        <w:pStyle w:val="Puces2"/>
        <w:numPr>
          <w:ilvl w:val="0"/>
          <w:numId w:val="1"/>
        </w:numPr>
        <w:tabs>
          <w:tab w:val="clear" w:pos="284"/>
        </w:tabs>
        <w:rPr/>
      </w:pPr>
      <w:r>
        <w:rPr/>
        <w:t>Préciser la surcharge à prévoir si elle est différente de la valeur par défaut.</w:t>
      </w:r>
    </w:p>
    <w:p>
      <w:pPr>
        <w:pStyle w:val="BodyText"/>
        <w:rPr/>
      </w:pPr>
      <w:r>
        <w:rPr/>
      </w:r>
    </w:p>
    <w:p>
      <w:pPr>
        <w:pStyle w:val="BodyText"/>
        <w:rPr/>
      </w:pPr>
      <w:r>
        <w:rPr/>
      </w:r>
    </w:p>
    <w:p>
      <w:pPr>
        <w:pStyle w:val="Heading1"/>
        <w:jc w:val="start"/>
        <w:rPr/>
      </w:pPr>
      <w:r>
        <w:rPr/>
        <w:t>C. 44.3. VERIFICATION DU BETON PREFABRIQUE</w:t>
      </w:r>
    </w:p>
    <w:p>
      <w:pPr>
        <w:pStyle w:val="BodyText"/>
        <w:rPr/>
      </w:pPr>
      <w:r>
        <w:rPr/>
      </w:r>
    </w:p>
    <w:p>
      <w:pPr>
        <w:pStyle w:val="Cadre"/>
        <w:rPr/>
      </w:pPr>
      <w:r>
        <w:rPr/>
        <w:t>Eventuellement préciser les modalités de réception du ferraillage.</w:t>
      </w:r>
    </w:p>
    <w:p>
      <w:pPr>
        <w:pStyle w:val="BodyText"/>
        <w:rPr/>
      </w:pPr>
      <w:r>
        <w:rPr/>
      </w:r>
    </w:p>
    <w:p>
      <w:pPr>
        <w:pStyle w:val="BodyText"/>
        <w:rPr/>
      </w:pPr>
      <w:r>
        <w:rPr/>
      </w:r>
    </w:p>
    <w:p>
      <w:pPr>
        <w:pStyle w:val="Heading1"/>
        <w:jc w:val="start"/>
        <w:rPr/>
      </w:pPr>
      <w:r>
        <w:rPr/>
        <w:t>C. 45.2. BRIQUES EN TERRE CUITE</w:t>
      </w:r>
    </w:p>
    <w:p>
      <w:pPr>
        <w:pStyle w:val="Normal"/>
        <w:rPr/>
      </w:pPr>
      <w:r>
        <w:rPr/>
      </w:r>
    </w:p>
    <w:p>
      <w:pPr>
        <w:pStyle w:val="Cadre"/>
        <w:rPr/>
      </w:pPr>
      <w:r>
        <w:rPr/>
        <w:t>Préciser la résistance à la compression si elle est différente de la valeur par défaut.</w:t>
      </w:r>
    </w:p>
    <w:p>
      <w:pPr>
        <w:pStyle w:val="BodyText"/>
        <w:rPr/>
      </w:pPr>
      <w:r>
        <w:rPr/>
      </w:r>
    </w:p>
    <w:p>
      <w:pPr>
        <w:pStyle w:val="BodyText"/>
        <w:rPr/>
      </w:pPr>
      <w:r>
        <w:rPr/>
      </w:r>
    </w:p>
    <w:p>
      <w:pPr>
        <w:pStyle w:val="Heading1"/>
        <w:jc w:val="start"/>
        <w:rPr/>
      </w:pPr>
      <w:r>
        <w:rPr/>
        <w:t>C. 45.3.1. BLOCS EN BETON</w:t>
      </w:r>
    </w:p>
    <w:p>
      <w:pPr>
        <w:pStyle w:val="Normal"/>
        <w:rPr/>
      </w:pPr>
      <w:r>
        <w:rPr/>
      </w:r>
    </w:p>
    <w:p>
      <w:pPr>
        <w:pStyle w:val="Cadre"/>
        <w:rPr/>
      </w:pPr>
      <w:r>
        <w:rPr/>
        <w:t>Préciser la résistance à la compression et la masse volumique apparente.</w:t>
      </w:r>
    </w:p>
    <w:p>
      <w:pPr>
        <w:pStyle w:val="Normal"/>
        <w:rPr/>
      </w:pPr>
      <w:r>
        <w:rPr/>
      </w:r>
    </w:p>
    <w:p>
      <w:pPr>
        <w:pStyle w:val="Normal"/>
        <w:rPr/>
      </w:pPr>
      <w:r>
        <w:rPr/>
      </w:r>
    </w:p>
    <w:p>
      <w:pPr>
        <w:pStyle w:val="Heading1"/>
        <w:jc w:val="start"/>
        <w:rPr/>
      </w:pPr>
      <w:r>
        <w:rPr/>
        <w:t>C. 45.3.2. BLOCS EN BETON CELLULAIRE</w:t>
      </w:r>
    </w:p>
    <w:p>
      <w:pPr>
        <w:pStyle w:val="Normal"/>
        <w:rPr/>
      </w:pPr>
      <w:r>
        <w:rPr/>
      </w:r>
    </w:p>
    <w:p>
      <w:pPr>
        <w:pStyle w:val="Cadre"/>
        <w:rPr/>
      </w:pPr>
      <w:r>
        <w:rPr/>
        <w:t>Préciser la résistance à la compression et la masse volumique apparente.</w:t>
      </w:r>
    </w:p>
    <w:p>
      <w:pPr>
        <w:pStyle w:val="Normal"/>
        <w:rPr/>
      </w:pPr>
      <w:r>
        <w:rPr/>
      </w:r>
    </w:p>
    <w:p>
      <w:pPr>
        <w:pStyle w:val="Normal"/>
        <w:rPr/>
      </w:pPr>
      <w:r>
        <w:rPr/>
      </w:r>
    </w:p>
    <w:p>
      <w:pPr>
        <w:pStyle w:val="Heading1"/>
        <w:jc w:val="start"/>
        <w:rPr/>
      </w:pPr>
      <w:r>
        <w:rPr/>
        <w:t>C. 45.3.2. BLOCS EN SILICO-CALCAIRE</w:t>
      </w:r>
    </w:p>
    <w:p>
      <w:pPr>
        <w:pStyle w:val="Normal"/>
        <w:rPr/>
      </w:pPr>
      <w:r>
        <w:rPr/>
      </w:r>
    </w:p>
    <w:p>
      <w:pPr>
        <w:pStyle w:val="Cadre"/>
        <w:rPr/>
      </w:pPr>
      <w:r>
        <w:rPr/>
        <w:t>Préciser la classe de résistance à la compression et la classe de masse volumique apparente.</w:t>
      </w:r>
    </w:p>
    <w:p>
      <w:pPr>
        <w:pStyle w:val="Normal"/>
        <w:rPr/>
      </w:pPr>
      <w:r>
        <w:rPr/>
      </w:r>
    </w:p>
    <w:p>
      <w:pPr>
        <w:pStyle w:val="Normal"/>
        <w:rPr/>
      </w:pPr>
      <w:r>
        <w:rPr/>
      </w:r>
    </w:p>
    <w:p>
      <w:pPr>
        <w:pStyle w:val="Heading1"/>
        <w:jc w:val="start"/>
        <w:rPr/>
      </w:pPr>
      <w:r>
        <w:rPr/>
        <w:t>C. 51.3. REVETEMENT d’impermeabilisation ou d’etancheite du beton</w:t>
      </w:r>
    </w:p>
    <w:p>
      <w:pPr>
        <w:pStyle w:val="Normal"/>
        <w:rPr/>
      </w:pPr>
      <w:r>
        <w:rPr/>
      </w:r>
    </w:p>
    <w:p>
      <w:pPr>
        <w:pStyle w:val="Puces2"/>
        <w:numPr>
          <w:ilvl w:val="0"/>
          <w:numId w:val="1"/>
        </w:numPr>
        <w:rPr/>
      </w:pPr>
      <w:r>
        <w:rPr/>
        <w:t>Définir les spécifications en fonction:</w:t>
      </w:r>
    </w:p>
    <w:p>
      <w:pPr>
        <w:pStyle w:val="Puces2"/>
        <w:numPr>
          <w:ilvl w:val="0"/>
          <w:numId w:val="0"/>
        </w:numPr>
        <w:ind w:hanging="0" w:start="0"/>
        <w:rPr/>
      </w:pPr>
      <w:r>
        <w:rPr/>
        <w:t xml:space="preserve"> </w:t>
      </w:r>
      <w:r>
        <w:rPr/>
        <w:tab/>
        <w:t>- des conditions relatives à l’utilisation prévue</w:t>
      </w:r>
    </w:p>
    <w:p>
      <w:pPr>
        <w:pStyle w:val="Puces2"/>
        <w:numPr>
          <w:ilvl w:val="0"/>
          <w:numId w:val="0"/>
        </w:numPr>
        <w:ind w:hanging="0" w:start="0"/>
        <w:rPr/>
      </w:pPr>
      <w:r>
        <w:rPr/>
        <w:t xml:space="preserve"> </w:t>
      </w:r>
      <w:r>
        <w:rPr/>
        <w:tab/>
        <w:t>- des conditions d’utilisation.</w:t>
      </w:r>
    </w:p>
    <w:p>
      <w:pPr>
        <w:pStyle w:val="Puces2"/>
        <w:numPr>
          <w:ilvl w:val="0"/>
          <w:numId w:val="1"/>
        </w:numPr>
        <w:rPr/>
      </w:pPr>
      <w:r>
        <w:rPr/>
        <w:t>Définir les vérifications et contrôles nécessaires.</w:t>
      </w:r>
    </w:p>
    <w:p>
      <w:pPr>
        <w:pStyle w:val="Heading1"/>
        <w:rPr/>
      </w:pPr>
      <w:r>
        <w:rPr/>
      </w:r>
    </w:p>
    <w:p>
      <w:pPr>
        <w:pStyle w:val="Normal"/>
        <w:rPr/>
      </w:pPr>
      <w:r>
        <w:rPr/>
      </w:r>
    </w:p>
    <w:p>
      <w:pPr>
        <w:pStyle w:val="Heading1"/>
        <w:rPr/>
      </w:pPr>
      <w:r>
        <w:rPr/>
        <w:t>C. 52.4.1. Les matériaux de marquage - Livraison</w:t>
      </w:r>
    </w:p>
    <w:p>
      <w:pPr>
        <w:pStyle w:val="BodyText"/>
        <w:rPr/>
      </w:pPr>
      <w:r>
        <w:rPr/>
      </w:r>
    </w:p>
    <w:p>
      <w:pPr>
        <w:pStyle w:val="Puces2"/>
        <w:numPr>
          <w:ilvl w:val="0"/>
          <w:numId w:val="1"/>
        </w:numPr>
        <w:tabs>
          <w:tab w:val="clear" w:pos="284"/>
        </w:tabs>
        <w:rPr/>
      </w:pPr>
      <w:r>
        <w:rPr/>
        <w:t>Préciser le lieu de livraison.</w:t>
      </w:r>
    </w:p>
    <w:p>
      <w:pPr>
        <w:pStyle w:val="Puces2"/>
        <w:numPr>
          <w:ilvl w:val="0"/>
          <w:numId w:val="1"/>
        </w:numPr>
        <w:tabs>
          <w:tab w:val="clear" w:pos="284"/>
        </w:tabs>
        <w:rPr/>
      </w:pPr>
      <w:r>
        <w:rPr/>
        <w:t xml:space="preserve">Préciser  conditionnement s’il diffère de celui défini au </w:t>
      </w:r>
      <w:r>
        <w:rPr>
          <w:color w:val="0000FF"/>
        </w:rPr>
        <w:t>C. 52.4.1</w:t>
      </w:r>
      <w:r>
        <w:rPr/>
        <w:t>.</w:t>
      </w:r>
    </w:p>
    <w:p>
      <w:pPr>
        <w:pStyle w:val="BodyText"/>
        <w:rPr/>
      </w:pPr>
      <w:r>
        <w:rPr/>
      </w:r>
    </w:p>
    <w:p>
      <w:pPr>
        <w:pStyle w:val="BodyText"/>
        <w:rPr/>
      </w:pPr>
      <w:r>
        <w:rPr/>
      </w:r>
    </w:p>
    <w:p>
      <w:pPr>
        <w:pStyle w:val="Heading1"/>
        <w:rPr/>
      </w:pPr>
      <w:r>
        <w:rPr/>
        <w:t>C. 53.1.1. ACIER POUR SIGNAUX ROUTIERS</w:t>
      </w:r>
    </w:p>
    <w:p>
      <w:pPr>
        <w:pStyle w:val="BodyText"/>
        <w:rPr/>
      </w:pPr>
      <w:r>
        <w:rPr/>
      </w:r>
    </w:p>
    <w:p>
      <w:pPr>
        <w:pStyle w:val="Cadre"/>
        <w:rPr/>
      </w:pPr>
      <w:r>
        <w:rPr/>
        <w:t>Préciser si un couvercle à visser est à fournir.</w:t>
      </w:r>
    </w:p>
    <w:p>
      <w:pPr>
        <w:pStyle w:val="Normal"/>
        <w:rPr/>
      </w:pPr>
      <w:r>
        <w:rPr/>
      </w:r>
    </w:p>
    <w:p>
      <w:pPr>
        <w:pStyle w:val="Normal"/>
        <w:rPr/>
      </w:pPr>
      <w:r>
        <w:rPr/>
      </w:r>
    </w:p>
    <w:p>
      <w:pPr>
        <w:pStyle w:val="Heading1"/>
        <w:rPr/>
      </w:pPr>
      <w:r>
        <w:rPr/>
        <w:t>C. 55. MOBILIER URBAIN</w:t>
      </w:r>
    </w:p>
    <w:p>
      <w:pPr>
        <w:pStyle w:val="Normal"/>
        <w:rPr/>
      </w:pPr>
      <w:r>
        <w:rPr/>
      </w:r>
    </w:p>
    <w:p>
      <w:pPr>
        <w:pStyle w:val="Puces2"/>
        <w:numPr>
          <w:ilvl w:val="0"/>
          <w:numId w:val="1"/>
        </w:numPr>
        <w:rPr/>
      </w:pPr>
      <w:r>
        <w:rPr/>
        <w:t>Préciser les coloris.</w:t>
      </w:r>
    </w:p>
    <w:p>
      <w:pPr>
        <w:pStyle w:val="Puces2"/>
        <w:numPr>
          <w:ilvl w:val="0"/>
          <w:numId w:val="1"/>
        </w:numPr>
        <w:rPr/>
      </w:pPr>
      <w:r>
        <w:rPr/>
        <w:t>Préciser la nature du bois des tables et des bancs.</w:t>
      </w:r>
    </w:p>
    <w:p>
      <w:pPr>
        <w:pStyle w:val="Puces2"/>
        <w:numPr>
          <w:ilvl w:val="0"/>
          <w:numId w:val="1"/>
        </w:numPr>
        <w:rPr/>
      </w:pPr>
      <w:r>
        <w:rPr/>
        <w:t>Pour les poubelles:</w:t>
      </w:r>
    </w:p>
    <w:p>
      <w:pPr>
        <w:pStyle w:val="Puces2"/>
        <w:numPr>
          <w:ilvl w:val="0"/>
          <w:numId w:val="0"/>
        </w:numPr>
        <w:ind w:hanging="0" w:start="0"/>
        <w:rPr/>
      </w:pPr>
      <w:r>
        <w:rPr/>
        <w:t xml:space="preserve"> </w:t>
      </w:r>
      <w:r>
        <w:rPr/>
        <w:tab/>
        <w:t>- préciser le volume et le coloris</w:t>
      </w:r>
    </w:p>
    <w:p>
      <w:pPr>
        <w:pStyle w:val="Puces2"/>
        <w:numPr>
          <w:ilvl w:val="0"/>
          <w:numId w:val="0"/>
        </w:numPr>
        <w:ind w:hanging="0" w:start="0"/>
        <w:rPr/>
      </w:pPr>
      <w:r>
        <w:rPr/>
        <w:t xml:space="preserve"> </w:t>
      </w:r>
      <w:r>
        <w:rPr/>
        <w:tab/>
        <w:t>- préciser l’éventuelle demande d’un bac en acier galvanisé</w:t>
      </w:r>
    </w:p>
    <w:p>
      <w:pPr>
        <w:pStyle w:val="Puces2"/>
        <w:numPr>
          <w:ilvl w:val="0"/>
          <w:numId w:val="0"/>
        </w:numPr>
        <w:ind w:hanging="0" w:start="0"/>
        <w:rPr/>
      </w:pPr>
      <w:r>
        <w:rPr/>
        <w:t xml:space="preserve"> </w:t>
      </w:r>
      <w:r>
        <w:rPr/>
        <w:tab/>
        <w:t>- préciser l’éventuelle demande d’un sac en plastic</w:t>
      </w:r>
    </w:p>
    <w:p>
      <w:pPr>
        <w:pStyle w:val="Puces2"/>
        <w:numPr>
          <w:ilvl w:val="0"/>
          <w:numId w:val="0"/>
        </w:numPr>
        <w:ind w:hanging="0" w:start="0"/>
        <w:rPr/>
      </w:pPr>
      <w:r>
        <w:rPr/>
        <w:t xml:space="preserve"> </w:t>
      </w:r>
      <w:r>
        <w:rPr/>
        <w:tab/>
        <w:t>- préciser le système de protection des matériaux ferreux.</w:t>
      </w:r>
    </w:p>
    <w:p>
      <w:pPr>
        <w:pStyle w:val="Puces2"/>
        <w:numPr>
          <w:ilvl w:val="0"/>
          <w:numId w:val="1"/>
        </w:numPr>
        <w:rPr/>
      </w:pPr>
      <w:r>
        <w:rPr/>
        <w:t>Pour les mini-conteneurs: préciser la contenance si elle est différente de la valeur par défaut.</w:t>
      </w:r>
    </w:p>
    <w:p>
      <w:pPr>
        <w:pStyle w:val="Puces2"/>
        <w:numPr>
          <w:ilvl w:val="0"/>
          <w:numId w:val="1"/>
        </w:numPr>
        <w:rPr/>
      </w:pPr>
      <w:r>
        <w:rPr/>
        <w:t>Pour les bornes en acier: préciser le coloris.</w:t>
      </w:r>
    </w:p>
    <w:p>
      <w:pPr>
        <w:pStyle w:val="Puces2"/>
        <w:numPr>
          <w:ilvl w:val="0"/>
          <w:numId w:val="1"/>
        </w:numPr>
        <w:rPr/>
      </w:pPr>
      <w:r>
        <w:rPr/>
        <w:t>Pour les bacs-jardinières: définir les matériaux, la forme et les dimensions.</w:t>
      </w:r>
    </w:p>
    <w:p>
      <w:pPr>
        <w:pStyle w:val="Puces2"/>
        <w:numPr>
          <w:ilvl w:val="0"/>
          <w:numId w:val="1"/>
        </w:numPr>
        <w:rPr/>
      </w:pPr>
      <w:r>
        <w:rPr/>
        <w:t>Pour les panneaux d’affichage: définir les matériaux, la protection, les dimensions, etc.</w:t>
      </w:r>
    </w:p>
    <w:p>
      <w:pPr>
        <w:pStyle w:val="Puces2"/>
        <w:numPr>
          <w:ilvl w:val="0"/>
          <w:numId w:val="1"/>
        </w:numPr>
        <w:rPr/>
      </w:pPr>
      <w:r>
        <w:rPr/>
        <w:t>Pour les grilles pour arbres: définir la résistance.</w:t>
      </w:r>
    </w:p>
    <w:p>
      <w:pPr>
        <w:pStyle w:val="BodyText"/>
        <w:rPr/>
      </w:pPr>
      <w:r>
        <w:rPr/>
      </w:r>
    </w:p>
    <w:p>
      <w:pPr>
        <w:pStyle w:val="BodyText"/>
        <w:rPr/>
      </w:pPr>
      <w:r>
        <w:rPr/>
      </w:r>
    </w:p>
    <w:p>
      <w:pPr>
        <w:pStyle w:val="Heading1"/>
        <w:rPr/>
      </w:pPr>
      <w:r>
        <w:rPr/>
        <w:t>C. 56. MATERIAUX DE PROTECTION DE BERGES ET DE TALUS</w:t>
      </w:r>
    </w:p>
    <w:p>
      <w:pPr>
        <w:pStyle w:val="BodyText"/>
        <w:rPr/>
      </w:pPr>
      <w:r>
        <w:rPr/>
      </w:r>
    </w:p>
    <w:p>
      <w:pPr>
        <w:pStyle w:val="Cadre"/>
        <w:rPr/>
      </w:pPr>
      <w:r>
        <w:rPr/>
        <w:t>Définir les prescriptions.</w:t>
      </w:r>
    </w:p>
    <w:p>
      <w:pPr>
        <w:pStyle w:val="BodyText"/>
        <w:rPr/>
      </w:pPr>
      <w:r>
        <w:rPr/>
      </w:r>
    </w:p>
    <w:p>
      <w:pPr>
        <w:pStyle w:val="BodyText"/>
        <w:rPr/>
      </w:pPr>
      <w:r>
        <w:rPr/>
      </w:r>
    </w:p>
    <w:p>
      <w:pPr>
        <w:pStyle w:val="Heading1"/>
        <w:rPr/>
      </w:pPr>
      <w:bookmarkStart w:id="1" w:name="_Toc45336611"/>
      <w:r>
        <w:rPr/>
        <w:t>C. 57.1.1. DISTRIBUTION D'EAU – Eléments en contact avec l'eau potable</w:t>
      </w:r>
      <w:bookmarkEnd w:id="1"/>
    </w:p>
    <w:p>
      <w:pPr>
        <w:pStyle w:val="Normal"/>
        <w:numPr>
          <w:ilvl w:val="0"/>
          <w:numId w:val="0"/>
        </w:numPr>
        <w:ind w:hanging="0" w:start="0"/>
        <w:rPr/>
      </w:pPr>
      <w:r>
        <w:rPr/>
      </w:r>
    </w:p>
    <w:p>
      <w:pPr>
        <w:pStyle w:val="Cadre"/>
        <w:rPr/>
      </w:pPr>
      <w:r>
        <w:rPr/>
        <w:t>Préciser le cas échéant les prescriptions concernant la composition des mélanges pour les pièces et revêtement en caoutchouc en contact avec l’eau potable.</w:t>
      </w:r>
    </w:p>
    <w:p>
      <w:pPr>
        <w:pStyle w:val="BodyText"/>
        <w:rPr/>
      </w:pPr>
      <w:r>
        <w:rPr/>
      </w:r>
    </w:p>
    <w:p>
      <w:pPr>
        <w:pStyle w:val="BodyText"/>
        <w:rPr/>
      </w:pPr>
      <w:r>
        <w:rPr/>
      </w:r>
    </w:p>
    <w:p>
      <w:pPr>
        <w:pStyle w:val="Heading1"/>
        <w:rPr/>
      </w:pPr>
      <w:bookmarkStart w:id="2" w:name="_Toc45336613"/>
      <w:r>
        <w:rPr/>
        <w:t>C. 57.1.2. PRELIMINAIRES – Clauses techniques générales</w:t>
      </w:r>
      <w:bookmarkEnd w:id="2"/>
    </w:p>
    <w:p>
      <w:pPr>
        <w:pStyle w:val="Normal"/>
        <w:numPr>
          <w:ilvl w:val="0"/>
          <w:numId w:val="0"/>
        </w:numPr>
        <w:ind w:hanging="0" w:start="0"/>
        <w:rPr/>
      </w:pPr>
      <w:r>
        <w:rPr/>
      </w:r>
    </w:p>
    <w:p>
      <w:pPr>
        <w:pStyle w:val="Puces2"/>
        <w:numPr>
          <w:ilvl w:val="0"/>
          <w:numId w:val="1"/>
        </w:numPr>
        <w:tabs>
          <w:tab w:val="clear" w:pos="284"/>
        </w:tabs>
        <w:rPr/>
      </w:pPr>
      <w:r>
        <w:rPr/>
        <w:t>Définir  les caractéristiques selon un des systèmes proposés dans le cahier des charges type.</w:t>
      </w:r>
    </w:p>
    <w:p>
      <w:pPr>
        <w:pStyle w:val="Puces2"/>
        <w:numPr>
          <w:ilvl w:val="0"/>
          <w:numId w:val="1"/>
        </w:numPr>
        <w:tabs>
          <w:tab w:val="clear" w:pos="284"/>
        </w:tabs>
        <w:rPr/>
      </w:pPr>
      <w:r>
        <w:rPr/>
        <w:t>Préciser si des variantes sont autorisées pour le matériau des canalisations.</w:t>
      </w:r>
    </w:p>
    <w:p>
      <w:pPr>
        <w:pStyle w:val="Puces2"/>
        <w:numPr>
          <w:ilvl w:val="0"/>
          <w:numId w:val="1"/>
        </w:numPr>
        <w:tabs>
          <w:tab w:val="clear" w:pos="284"/>
        </w:tabs>
        <w:rPr/>
      </w:pPr>
      <w:r>
        <w:rPr/>
        <w:t>Préciser le ou les type(s) de revêtement autorisé(s).</w:t>
      </w:r>
    </w:p>
    <w:p>
      <w:pPr>
        <w:pStyle w:val="Normal"/>
        <w:rPr/>
      </w:pPr>
      <w:r>
        <w:rPr/>
      </w:r>
    </w:p>
    <w:p>
      <w:pPr>
        <w:pStyle w:val="Normal"/>
        <w:rPr/>
      </w:pPr>
      <w:r>
        <w:rPr/>
      </w:r>
    </w:p>
    <w:p>
      <w:pPr>
        <w:pStyle w:val="Heading1"/>
        <w:rPr/>
      </w:pPr>
      <w:r>
        <w:rPr/>
        <w:t>C. 57.2. BRIDES, PLAQUES PLEINES ET ACCESSOIRES A BRIDES</w:t>
      </w:r>
    </w:p>
    <w:p>
      <w:pPr>
        <w:pStyle w:val="Normal"/>
        <w:numPr>
          <w:ilvl w:val="0"/>
          <w:numId w:val="0"/>
        </w:numPr>
        <w:ind w:hanging="0" w:start="0"/>
        <w:rPr/>
      </w:pPr>
      <w:r>
        <w:rPr/>
      </w:r>
    </w:p>
    <w:p>
      <w:pPr>
        <w:pStyle w:val="Cadre"/>
        <w:rPr/>
      </w:pPr>
      <w:r>
        <w:rPr/>
        <w:t>Préciser le cas échéant les dispositions à appliquer en ce qui concerne la reprise de brides « anciens forages ».</w:t>
      </w:r>
    </w:p>
    <w:p>
      <w:pPr>
        <w:pStyle w:val="Normal"/>
        <w:numPr>
          <w:ilvl w:val="0"/>
          <w:numId w:val="0"/>
        </w:numPr>
        <w:ind w:hanging="0" w:start="0"/>
        <w:rPr/>
      </w:pPr>
      <w:r>
        <w:rPr/>
      </w:r>
    </w:p>
    <w:p>
      <w:pPr>
        <w:pStyle w:val="Normal"/>
        <w:rPr/>
      </w:pPr>
      <w:r>
        <w:rPr/>
      </w:r>
    </w:p>
    <w:p>
      <w:pPr>
        <w:pStyle w:val="Heading1"/>
        <w:rPr/>
      </w:pPr>
      <w:bookmarkStart w:id="3" w:name="_Toc45336619"/>
      <w:r>
        <w:rPr/>
        <w:t>C. 57.3. JOINTS D'ETANCHEITE ET D'ISOLATION POUR BRIDES</w:t>
      </w:r>
      <w:bookmarkEnd w:id="3"/>
    </w:p>
    <w:p>
      <w:pPr>
        <w:pStyle w:val="TOC2"/>
        <w:tabs>
          <w:tab w:val="clear" w:pos="8645"/>
          <w:tab w:val="clear" w:pos="9071"/>
        </w:tabs>
        <w:spacing w:before="0" w:after="0"/>
        <w:rPr>
          <w:caps w:val="false"/>
          <w:smallCaps w:val="false"/>
        </w:rPr>
      </w:pPr>
      <w:r>
        <w:rPr>
          <w:caps w:val="false"/>
          <w:smallCaps w:val="false"/>
        </w:rPr>
      </w:r>
    </w:p>
    <w:p>
      <w:pPr>
        <w:pStyle w:val="Cadre"/>
        <w:rPr/>
      </w:pPr>
      <w:r>
        <w:rPr/>
        <w:t xml:space="preserve">Préciser le type de joint s’il diffère de celui prévu au </w:t>
      </w:r>
      <w:r>
        <w:rPr>
          <w:color w:val="0000FF"/>
        </w:rPr>
        <w:t>C. 57.3</w:t>
      </w:r>
      <w:r>
        <w:rPr/>
        <w:t>.</w:t>
      </w:r>
    </w:p>
    <w:p>
      <w:pPr>
        <w:pStyle w:val="Normal"/>
        <w:numPr>
          <w:ilvl w:val="0"/>
          <w:numId w:val="0"/>
        </w:numPr>
        <w:ind w:hanging="0" w:start="0"/>
        <w:rPr>
          <w:b/>
        </w:rPr>
      </w:pPr>
      <w:r>
        <w:rPr>
          <w:b/>
        </w:rPr>
      </w:r>
    </w:p>
    <w:p>
      <w:pPr>
        <w:pStyle w:val="Heading1"/>
        <w:numPr>
          <w:ilvl w:val="0"/>
          <w:numId w:val="0"/>
        </w:numPr>
        <w:ind w:hanging="0" w:start="0"/>
        <w:rPr/>
      </w:pPr>
      <w:r>
        <w:rPr/>
      </w:r>
      <w:bookmarkStart w:id="4" w:name="_Toc45336621"/>
      <w:bookmarkStart w:id="5" w:name="_Toc45336621"/>
      <w:bookmarkEnd w:id="5"/>
    </w:p>
    <w:p>
      <w:pPr>
        <w:pStyle w:val="Heading1"/>
        <w:rPr/>
      </w:pPr>
      <w:bookmarkStart w:id="6" w:name="_Toc45336621"/>
      <w:bookmarkStart w:id="7" w:name="_Toc45336622"/>
      <w:bookmarkEnd w:id="6"/>
      <w:r>
        <w:rPr/>
        <w:t>C. 58.1. TUYAUX ET RACCORDS  EN ACIER</w:t>
      </w:r>
      <w:bookmarkEnd w:id="7"/>
    </w:p>
    <w:p>
      <w:pPr>
        <w:pStyle w:val="Normal"/>
        <w:numPr>
          <w:ilvl w:val="0"/>
          <w:numId w:val="0"/>
        </w:numPr>
        <w:tabs>
          <w:tab w:val="clear" w:pos="567"/>
          <w:tab w:val="left" w:pos="2014" w:leader="none"/>
        </w:tabs>
        <w:ind w:hanging="0" w:start="0"/>
        <w:rPr/>
      </w:pPr>
      <w:r>
        <w:rPr/>
      </w:r>
    </w:p>
    <w:p>
      <w:pPr>
        <w:pStyle w:val="Cadre"/>
        <w:rPr/>
      </w:pPr>
      <w:r>
        <w:rPr/>
        <w:t>Préciser le(s) type(s) d’assemblage(s) et de revêtement(s) autorisé(s).</w:t>
      </w:r>
    </w:p>
    <w:p>
      <w:pPr>
        <w:pStyle w:val="Normal"/>
        <w:numPr>
          <w:ilvl w:val="0"/>
          <w:numId w:val="0"/>
        </w:numPr>
        <w:tabs>
          <w:tab w:val="clear" w:pos="567"/>
          <w:tab w:val="left" w:pos="1293" w:leader="none"/>
        </w:tabs>
        <w:ind w:hanging="0" w:start="0"/>
        <w:rPr/>
      </w:pPr>
      <w:r>
        <w:rPr/>
      </w:r>
    </w:p>
    <w:p>
      <w:pPr>
        <w:pStyle w:val="Normal"/>
        <w:numPr>
          <w:ilvl w:val="0"/>
          <w:numId w:val="0"/>
        </w:numPr>
        <w:tabs>
          <w:tab w:val="clear" w:pos="567"/>
          <w:tab w:val="left" w:pos="1293" w:leader="none"/>
        </w:tabs>
        <w:ind w:hanging="0" w:start="0"/>
        <w:rPr/>
      </w:pPr>
      <w:r>
        <w:rPr/>
      </w:r>
    </w:p>
    <w:p>
      <w:pPr>
        <w:pStyle w:val="Heading1"/>
        <w:rPr/>
      </w:pPr>
      <w:bookmarkStart w:id="8" w:name="_Toc45336626"/>
      <w:r>
        <w:rPr/>
        <w:t>C. 58.2. TUYAUX ET RACCORDS EN FONTE</w:t>
      </w:r>
      <w:bookmarkEnd w:id="8"/>
    </w:p>
    <w:p>
      <w:pPr>
        <w:pStyle w:val="Normal"/>
        <w:rPr/>
      </w:pPr>
      <w:r>
        <w:rPr/>
      </w:r>
    </w:p>
    <w:p>
      <w:pPr>
        <w:pStyle w:val="Cadre"/>
        <w:rPr/>
      </w:pPr>
      <w:r>
        <w:rPr/>
        <w:t>Préciser le(s) type(s) d’assemblage(s) et de revêtement(s) autorisé(s).</w:t>
      </w:r>
    </w:p>
    <w:p>
      <w:pPr>
        <w:pStyle w:val="Normal"/>
        <w:rPr/>
      </w:pPr>
      <w:r>
        <w:rPr/>
      </w:r>
    </w:p>
    <w:p>
      <w:pPr>
        <w:pStyle w:val="Normal"/>
        <w:rPr/>
      </w:pPr>
      <w:r>
        <w:rPr/>
      </w:r>
    </w:p>
    <w:p>
      <w:pPr>
        <w:pStyle w:val="Heading1"/>
        <w:rPr/>
      </w:pPr>
      <w:bookmarkStart w:id="9" w:name="_Toc45336627"/>
      <w:r>
        <w:rPr/>
        <w:t>C. 58.3. TUYAUX ET RACCORDS EN POLYETHYLENE</w:t>
      </w:r>
      <w:bookmarkEnd w:id="9"/>
    </w:p>
    <w:p>
      <w:pPr>
        <w:pStyle w:val="Normal"/>
        <w:rPr/>
      </w:pPr>
      <w:r>
        <w:rPr/>
      </w:r>
    </w:p>
    <w:p>
      <w:pPr>
        <w:pStyle w:val="Puces2"/>
        <w:numPr>
          <w:ilvl w:val="0"/>
          <w:numId w:val="1"/>
        </w:numPr>
        <w:rPr/>
      </w:pPr>
      <w:r>
        <w:rPr/>
        <w:t>Préciser les pressions nominales si elles différent de la valeur par défaut.</w:t>
      </w:r>
    </w:p>
    <w:p>
      <w:pPr>
        <w:pStyle w:val="Puces2"/>
        <w:numPr>
          <w:ilvl w:val="0"/>
          <w:numId w:val="1"/>
        </w:numPr>
        <w:rPr/>
      </w:pPr>
      <w:r>
        <w:rPr/>
        <w:t>Préciser le type  de PEHD s’il diffère du matériau défini par défaut.</w:t>
      </w:r>
    </w:p>
    <w:p>
      <w:pPr>
        <w:pStyle w:val="Puces2"/>
        <w:numPr>
          <w:ilvl w:val="0"/>
          <w:numId w:val="1"/>
        </w:numPr>
        <w:rPr/>
      </w:pPr>
      <w:r>
        <w:rPr/>
        <w:t>Préciser le(s) type(s) d’assemblage(s).</w:t>
      </w:r>
    </w:p>
    <w:p>
      <w:pPr>
        <w:pStyle w:val="Normal"/>
        <w:rPr/>
      </w:pPr>
      <w:r>
        <w:rPr/>
      </w:r>
    </w:p>
    <w:p>
      <w:pPr>
        <w:pStyle w:val="Normal"/>
        <w:rPr>
          <w:caps/>
        </w:rPr>
      </w:pPr>
      <w:r>
        <w:rPr>
          <w:caps/>
        </w:rPr>
      </w:r>
    </w:p>
    <w:p>
      <w:pPr>
        <w:pStyle w:val="Heading1"/>
        <w:rPr/>
      </w:pPr>
      <w:r>
        <w:rPr/>
        <w:t>C. 58.5. APPAREILS DE ROBINETTERIE</w:t>
      </w:r>
    </w:p>
    <w:p>
      <w:pPr>
        <w:pStyle w:val="Normal"/>
        <w:numPr>
          <w:ilvl w:val="0"/>
          <w:numId w:val="0"/>
        </w:numPr>
        <w:ind w:hanging="0" w:start="0"/>
        <w:rPr/>
      </w:pPr>
      <w:r>
        <w:rPr/>
      </w:r>
    </w:p>
    <w:p>
      <w:pPr>
        <w:pStyle w:val="Puces2"/>
        <w:numPr>
          <w:ilvl w:val="0"/>
          <w:numId w:val="1"/>
        </w:numPr>
        <w:tabs>
          <w:tab w:val="clear" w:pos="284"/>
        </w:tabs>
        <w:rPr/>
      </w:pPr>
      <w:r>
        <w:rPr/>
        <w:t>Préciser le nombre et la position des obturateurs.</w:t>
      </w:r>
    </w:p>
    <w:p>
      <w:pPr>
        <w:pStyle w:val="Puces2"/>
        <w:numPr>
          <w:ilvl w:val="0"/>
          <w:numId w:val="1"/>
        </w:numPr>
        <w:tabs>
          <w:tab w:val="clear" w:pos="284"/>
        </w:tabs>
        <w:rPr/>
      </w:pPr>
      <w:r>
        <w:rPr/>
        <w:t>Préciser la présence éventuelle d’une connexion centrale (purge).</w:t>
      </w:r>
    </w:p>
    <w:p>
      <w:pPr>
        <w:pStyle w:val="Normal"/>
        <w:rPr/>
      </w:pPr>
      <w:r>
        <w:rPr/>
      </w:r>
      <w:bookmarkStart w:id="10" w:name="_Toc45336638"/>
      <w:bookmarkStart w:id="11" w:name="_Toc45336638"/>
    </w:p>
    <w:p>
      <w:pPr>
        <w:pStyle w:val="Normal"/>
        <w:rPr/>
      </w:pPr>
      <w:r>
        <w:rPr/>
      </w:r>
    </w:p>
    <w:p>
      <w:pPr>
        <w:pStyle w:val="Heading1"/>
        <w:rPr/>
      </w:pPr>
      <w:r>
        <w:rPr/>
        <w:t>C.59.3. PROTECTION ET SIGNALISATION DES INSTALLATIONS ENTERREES</w:t>
      </w:r>
    </w:p>
    <w:p>
      <w:pPr>
        <w:pStyle w:val="Normal"/>
        <w:rPr/>
      </w:pPr>
      <w:r>
        <w:rPr/>
      </w:r>
    </w:p>
    <w:p>
      <w:pPr>
        <w:pStyle w:val="Cadre"/>
        <w:rPr/>
      </w:pPr>
      <w:r>
        <w:rPr/>
        <w:t xml:space="preserve">Préciser les mentions à indiquer sur la bande plastique de signalisation. </w:t>
      </w:r>
    </w:p>
    <w:p>
      <w:pPr>
        <w:pStyle w:val="BodyText3"/>
        <w:spacing w:lineRule="auto" w:line="240"/>
        <w:rPr/>
      </w:pPr>
      <w:r>
        <w:rPr/>
      </w:r>
    </w:p>
    <w:p>
      <w:pPr>
        <w:pStyle w:val="BodyText3"/>
        <w:spacing w:lineRule="auto" w:line="240"/>
        <w:rPr/>
      </w:pPr>
      <w:r>
        <w:rPr/>
      </w:r>
    </w:p>
    <w:p>
      <w:pPr>
        <w:pStyle w:val="Heading1"/>
        <w:rPr/>
      </w:pPr>
      <w:r>
        <w:rPr/>
        <w:t>C. 60.1. ASPHALTE COULE POUR ETANCHEITE</w:t>
      </w:r>
    </w:p>
    <w:p>
      <w:pPr>
        <w:pStyle w:val="Normal"/>
        <w:rPr/>
      </w:pPr>
      <w:r>
        <w:rPr/>
      </w:r>
    </w:p>
    <w:p>
      <w:pPr>
        <w:pStyle w:val="Cadre"/>
        <w:rPr/>
      </w:pPr>
      <w:r>
        <w:rPr/>
        <w:t>Préciser le cas échéant le type de bitume avec additifs.</w:t>
      </w:r>
    </w:p>
    <w:p>
      <w:pPr>
        <w:pStyle w:val="Normal"/>
        <w:rPr/>
      </w:pPr>
      <w:r>
        <w:rPr/>
      </w:r>
    </w:p>
    <w:p>
      <w:pPr>
        <w:pStyle w:val="Normal"/>
        <w:rPr/>
      </w:pPr>
      <w:r>
        <w:rPr/>
      </w:r>
    </w:p>
    <w:p>
      <w:pPr>
        <w:pStyle w:val="Heading1"/>
        <w:rPr/>
      </w:pPr>
      <w:r>
        <w:rPr/>
        <w:t>C. 60.2. ASPHALTE COULE POUR ELEMENTS LINEAIRES</w:t>
      </w:r>
    </w:p>
    <w:p>
      <w:pPr>
        <w:pStyle w:val="Normal"/>
        <w:rPr/>
      </w:pPr>
      <w:r>
        <w:rPr/>
      </w:r>
    </w:p>
    <w:p>
      <w:pPr>
        <w:pStyle w:val="Cadre"/>
        <w:rPr/>
      </w:pPr>
      <w:r>
        <w:rPr/>
        <w:t>Préciser le cas échéant le type de bitume avec additifs.</w:t>
      </w:r>
    </w:p>
    <w:p>
      <w:pPr>
        <w:pStyle w:val="Normal"/>
        <w:rPr/>
      </w:pPr>
      <w:r>
        <w:rPr/>
      </w:r>
    </w:p>
    <w:p>
      <w:pPr>
        <w:pStyle w:val="Normal"/>
        <w:rPr/>
      </w:pPr>
      <w:r>
        <w:rPr/>
      </w:r>
    </w:p>
    <w:p>
      <w:pPr>
        <w:pStyle w:val="Heading1"/>
        <w:rPr/>
      </w:pPr>
      <w:r>
        <w:rPr/>
        <w:t>C. 60.3. ASPHALTE COULE POUR COUCHE DE PROTECTION DE L’ETANCHEITE</w:t>
      </w:r>
    </w:p>
    <w:p>
      <w:pPr>
        <w:pStyle w:val="Normal"/>
        <w:rPr/>
      </w:pPr>
      <w:r>
        <w:rPr/>
      </w:r>
    </w:p>
    <w:p>
      <w:pPr>
        <w:pStyle w:val="Cadre"/>
        <w:rPr/>
      </w:pPr>
      <w:r>
        <w:rPr/>
        <w:t>Préciser le cas échéant le type de bitume avec additifs.</w:t>
      </w:r>
    </w:p>
    <w:p>
      <w:pPr>
        <w:pStyle w:val="Normal"/>
        <w:rPr/>
      </w:pPr>
      <w:r>
        <w:rPr/>
      </w:r>
    </w:p>
    <w:p>
      <w:pPr>
        <w:pStyle w:val="Normal"/>
        <w:rPr/>
      </w:pPr>
      <w:r>
        <w:rPr/>
      </w:r>
    </w:p>
    <w:p>
      <w:pPr>
        <w:pStyle w:val="Heading1"/>
        <w:rPr/>
      </w:pPr>
      <w:r>
        <w:rPr/>
        <w:t>C. 60.5. ASPHALTE COULE POUR REPARATION DE FISSURES</w:t>
      </w:r>
    </w:p>
    <w:p>
      <w:pPr>
        <w:pStyle w:val="Normal"/>
        <w:rPr/>
      </w:pPr>
      <w:r>
        <w:rPr/>
      </w:r>
    </w:p>
    <w:p>
      <w:pPr>
        <w:pStyle w:val="Cadre"/>
        <w:rPr/>
      </w:pPr>
      <w:r>
        <w:rPr/>
        <w:t>Préciser le cas échéant le type de bitume avec additifs.</w:t>
      </w:r>
    </w:p>
    <w:p>
      <w:pPr>
        <w:pStyle w:val="Normal"/>
        <w:rPr/>
      </w:pPr>
      <w:r>
        <w:rPr/>
      </w:r>
    </w:p>
    <w:p>
      <w:pPr>
        <w:pStyle w:val="Normal"/>
        <w:rPr/>
      </w:pPr>
      <w:r>
        <w:rPr/>
      </w:r>
    </w:p>
    <w:p>
      <w:pPr>
        <w:pStyle w:val="Heading1"/>
        <w:rPr/>
      </w:pPr>
      <w:r>
        <w:rPr/>
        <w:t>C. 62.2.1. DELINEATEURS DE TYPE D1</w:t>
      </w:r>
    </w:p>
    <w:p>
      <w:pPr>
        <w:pStyle w:val="Normal"/>
        <w:rPr/>
      </w:pPr>
      <w:r>
        <w:rPr/>
      </w:r>
    </w:p>
    <w:p>
      <w:pPr>
        <w:pStyle w:val="Cadre"/>
        <w:rPr/>
      </w:pPr>
      <w:r>
        <w:rPr/>
        <w:t>Préciser le diamètre, la couleur et la position sur le musoir.</w:t>
      </w:r>
    </w:p>
    <w:p>
      <w:pPr>
        <w:pStyle w:val="Normal"/>
        <w:rPr/>
      </w:pPr>
      <w:r>
        <w:rPr/>
      </w:r>
    </w:p>
    <w:p>
      <w:pPr>
        <w:pStyle w:val="Normal"/>
        <w:rPr/>
      </w:pPr>
      <w:r>
        <w:rPr/>
      </w:r>
    </w:p>
    <w:p>
      <w:pPr>
        <w:pStyle w:val="Heading1"/>
        <w:rPr/>
      </w:pPr>
      <w:r>
        <w:rPr/>
        <w:t>C. 62.2.2. DELINEATEURS DE TYPE D3</w:t>
      </w:r>
    </w:p>
    <w:p>
      <w:pPr>
        <w:pStyle w:val="Normal"/>
        <w:rPr/>
      </w:pPr>
      <w:r>
        <w:rPr/>
      </w:r>
    </w:p>
    <w:p>
      <w:pPr>
        <w:pStyle w:val="Cadre"/>
        <w:rPr/>
      </w:pPr>
      <w:r>
        <w:rPr/>
        <w:t>Préciser si le délinéateur est fixé par une selle de fixation.</w:t>
      </w:r>
    </w:p>
    <w:p>
      <w:pPr>
        <w:pStyle w:val="Normal"/>
        <w:rPr/>
      </w:pPr>
      <w:r>
        <w:rPr/>
      </w:r>
    </w:p>
    <w:p>
      <w:pPr>
        <w:pStyle w:val="Normal"/>
        <w:rPr/>
      </w:pPr>
      <w:r>
        <w:rPr/>
      </w:r>
    </w:p>
    <w:p>
      <w:pPr>
        <w:pStyle w:val="Heading1"/>
        <w:rPr/>
      </w:pPr>
      <w:r>
        <w:rPr/>
        <w:t>C. 62.2.5. RETROREFLECTEUR DE TYPE R2</w:t>
      </w:r>
    </w:p>
    <w:p>
      <w:pPr>
        <w:pStyle w:val="Normal"/>
        <w:rPr/>
      </w:pPr>
      <w:r>
        <w:rPr/>
      </w:r>
    </w:p>
    <w:p>
      <w:pPr>
        <w:pStyle w:val="Cadre"/>
        <w:rPr/>
      </w:pPr>
      <w:r>
        <w:rPr/>
        <w:t>Préciser si le rétroréflecteur est de type R1 découpé aux dimensions R2.</w:t>
      </w:r>
    </w:p>
    <w:p>
      <w:pPr>
        <w:pStyle w:val="Normal"/>
        <w:rPr/>
      </w:pPr>
      <w:r>
        <w:rPr/>
      </w:r>
    </w:p>
    <w:p>
      <w:pPr>
        <w:pStyle w:val="Normal"/>
        <w:rPr/>
      </w:pPr>
      <w:r>
        <w:rPr/>
      </w:r>
    </w:p>
    <w:p>
      <w:pPr>
        <w:pStyle w:val="Heading1"/>
        <w:rPr/>
      </w:pPr>
      <w:r>
        <w:rPr/>
        <w:t>C. 63. DISPOSITIFS ANTI-EBLOUISSEMENT</w:t>
      </w:r>
    </w:p>
    <w:p>
      <w:pPr>
        <w:pStyle w:val="Normal"/>
        <w:rPr/>
      </w:pPr>
      <w:r>
        <w:rPr/>
      </w:r>
    </w:p>
    <w:p>
      <w:pPr>
        <w:pStyle w:val="Heading1"/>
        <w:rPr/>
      </w:pPr>
      <w:r>
        <w:rPr/>
        <w:t>C. 63.2.1. TYPEs D’ECRAN ANTI-EBLOUISSEMENT</w:t>
      </w:r>
    </w:p>
    <w:p>
      <w:pPr>
        <w:pStyle w:val="Normal"/>
        <w:rPr/>
      </w:pPr>
      <w:r>
        <w:rPr/>
      </w:r>
    </w:p>
    <w:p>
      <w:pPr>
        <w:pStyle w:val="Cadre"/>
        <w:rPr/>
      </w:pPr>
      <w:r>
        <w:rPr/>
        <w:t>Prescire la catégorie d’accessibilité.</w:t>
      </w:r>
    </w:p>
    <w:p>
      <w:pPr>
        <w:pStyle w:val="Normal"/>
        <w:rPr/>
      </w:pPr>
      <w:r>
        <w:rPr/>
      </w:r>
    </w:p>
    <w:p>
      <w:pPr>
        <w:pStyle w:val="Normal"/>
        <w:rPr/>
      </w:pPr>
      <w:r>
        <w:rPr/>
      </w:r>
    </w:p>
    <w:p>
      <w:pPr>
        <w:pStyle w:val="Heading1"/>
        <w:rPr/>
      </w:pPr>
      <w:r>
        <w:rPr/>
        <w:t>C. 63.2.2.2. PERFORMANCE - VISIBIlITE LATERALE</w:t>
      </w:r>
    </w:p>
    <w:p>
      <w:pPr>
        <w:pStyle w:val="Normal"/>
        <w:rPr/>
      </w:pPr>
      <w:r>
        <w:rPr/>
      </w:r>
    </w:p>
    <w:p>
      <w:pPr>
        <w:pStyle w:val="Cadre"/>
        <w:rPr/>
      </w:pPr>
      <w:r>
        <w:rPr/>
        <w:t>Prescire le groupe.</w:t>
      </w:r>
    </w:p>
    <w:p>
      <w:pPr>
        <w:pStyle w:val="Normal"/>
        <w:rPr/>
      </w:pPr>
      <w:r>
        <w:rPr/>
      </w:r>
    </w:p>
    <w:p>
      <w:pPr>
        <w:pStyle w:val="Normal"/>
        <w:rPr/>
      </w:pPr>
      <w:r>
        <w:rPr/>
      </w:r>
    </w:p>
    <w:p>
      <w:pPr>
        <w:pStyle w:val="Heading1"/>
        <w:rPr/>
      </w:pPr>
      <w:r>
        <w:rPr/>
        <w:t>C. 63.2.2.5. PERFORMANCE – HAUTEUR EFFICACE MINIMALE</w:t>
      </w:r>
    </w:p>
    <w:p>
      <w:pPr>
        <w:pStyle w:val="Normal"/>
        <w:rPr/>
      </w:pPr>
      <w:r>
        <w:rPr/>
      </w:r>
    </w:p>
    <w:p>
      <w:pPr>
        <w:pStyle w:val="Cadre"/>
        <w:rPr/>
      </w:pPr>
      <w:r>
        <w:rPr/>
        <w:t>Définir la hauteur efficace minimale.</w:t>
      </w:r>
    </w:p>
    <w:p>
      <w:pPr>
        <w:pStyle w:val="Normal"/>
        <w:rPr/>
      </w:pPr>
      <w:r>
        <w:rPr/>
      </w:r>
    </w:p>
    <w:p>
      <w:pPr>
        <w:pStyle w:val="Normal"/>
        <w:rPr/>
      </w:pPr>
      <w:r>
        <w:rPr/>
      </w:r>
    </w:p>
    <w:p>
      <w:pPr>
        <w:pStyle w:val="Heading1"/>
        <w:rPr/>
      </w:pPr>
      <w:r>
        <w:rPr/>
        <w:t>C. 64.2. COQUES et cunettes en polyester arme de fibres de verre</w:t>
      </w:r>
    </w:p>
    <w:p>
      <w:pPr>
        <w:pStyle w:val="Normal"/>
        <w:rPr/>
      </w:pPr>
      <w:r>
        <w:rPr/>
      </w:r>
    </w:p>
    <w:p>
      <w:pPr>
        <w:pStyle w:val="Cadre"/>
        <w:rPr/>
      </w:pPr>
      <w:r>
        <w:rPr/>
        <w:t>Définir les éventuelles prescriptions complémentaires de résistance aux attaques chimiques.</w:t>
      </w:r>
    </w:p>
    <w:p>
      <w:pPr>
        <w:pStyle w:val="Normal"/>
        <w:rPr/>
      </w:pPr>
      <w:r>
        <w:rPr/>
      </w:r>
    </w:p>
    <w:p>
      <w:pPr>
        <w:pStyle w:val="Normal"/>
        <w:rPr/>
      </w:pPr>
      <w:r>
        <w:rPr/>
      </w:r>
    </w:p>
    <w:p>
      <w:pPr>
        <w:pStyle w:val="Heading1"/>
        <w:rPr/>
      </w:pPr>
      <w:r>
        <w:rPr/>
        <w:t>C. 64.3. TUBAge avec espace annulaire</w:t>
      </w:r>
    </w:p>
    <w:p>
      <w:pPr>
        <w:pStyle w:val="Normal"/>
        <w:rPr/>
      </w:pPr>
      <w:r>
        <w:rPr/>
      </w:r>
    </w:p>
    <w:p>
      <w:pPr>
        <w:pStyle w:val="Cadre"/>
        <w:rPr/>
      </w:pPr>
      <w:r>
        <w:rPr/>
        <w:t>Eventuellement définir les eaux concernées.</w:t>
      </w:r>
    </w:p>
    <w:p>
      <w:pPr>
        <w:pStyle w:val="Normal"/>
        <w:rPr/>
      </w:pPr>
      <w:r>
        <w:rPr/>
      </w:r>
    </w:p>
    <w:p>
      <w:pPr>
        <w:pStyle w:val="Normal"/>
        <w:rPr/>
      </w:pPr>
      <w:r>
        <w:rPr/>
      </w:r>
    </w:p>
    <w:p>
      <w:pPr>
        <w:pStyle w:val="Heading1"/>
        <w:rPr/>
      </w:pPr>
      <w:r>
        <w:rPr/>
        <w:t xml:space="preserve">C. 64.5. PANNEAUX PREFABRIQUES EN GRES </w:t>
      </w:r>
    </w:p>
    <w:p>
      <w:pPr>
        <w:pStyle w:val="Normal"/>
        <w:rPr/>
      </w:pPr>
      <w:r>
        <w:rPr/>
      </w:r>
    </w:p>
    <w:p>
      <w:pPr>
        <w:pStyle w:val="Cadre"/>
        <w:rPr/>
      </w:pPr>
      <w:r>
        <w:rPr/>
        <w:t>Définir les prescriptions du mortier de pose.</w:t>
      </w:r>
    </w:p>
    <w:p>
      <w:pPr>
        <w:pStyle w:val="Normal"/>
        <w:rPr/>
      </w:pPr>
      <w:r>
        <w:rPr/>
      </w:r>
    </w:p>
    <w:p>
      <w:pPr>
        <w:pStyle w:val="Normal"/>
        <w:rPr/>
      </w:pPr>
      <w:r>
        <w:rPr/>
      </w:r>
    </w:p>
    <w:p>
      <w:pPr>
        <w:pStyle w:val="Heading1"/>
        <w:rPr/>
      </w:pPr>
      <w:r>
        <w:rPr/>
        <w:t>C. 65.3. BENTONITE – reception technique prealable</w:t>
      </w:r>
    </w:p>
    <w:p>
      <w:pPr>
        <w:pStyle w:val="Normal"/>
        <w:rPr/>
      </w:pPr>
      <w:r>
        <w:rPr/>
      </w:r>
    </w:p>
    <w:p>
      <w:pPr>
        <w:pStyle w:val="Cadre"/>
        <w:rPr/>
      </w:pPr>
      <w:bookmarkStart w:id="12" w:name="_Toc45336638"/>
      <w:r>
        <w:rPr/>
        <w:t>Définir le cas échéant le programme de réception technique préalable.</w:t>
      </w:r>
      <w:bookmarkEnd w:id="12"/>
    </w:p>
    <w:p>
      <w:pPr>
        <w:pStyle w:val="BodyText"/>
        <w:rPr>
          <w:i/>
        </w:rPr>
      </w:pPr>
      <w:r>
        <w:rPr>
          <w:i/>
        </w:rPr>
      </w:r>
    </w:p>
    <w:p>
      <w:pPr>
        <w:pStyle w:val="BodyText"/>
        <w:rPr/>
      </w:pPr>
      <w:r>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304" w:right="1304" w:gutter="0" w:header="72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Elite">
    <w:charset w:val="01" w:characterSet="utf-8"/>
    <w:family w:val="roman"/>
    <w:pitch w:val="variable"/>
  </w:font>
  <w:font w:name="Arial">
    <w:charset w:val="01" w:characterSet="utf-8"/>
    <w:family w:val="swiss"/>
    <w:pitch w:val="variable"/>
  </w:font>
  <w:font w:name="Times New Roman">
    <w:charset w:val="01" w:characterSet="utf-8"/>
    <w:family w:val="swiss"/>
    <w:pitch w:val="variable"/>
  </w:font>
  <w:font w:name="Arial">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Arial" w:hAnsi="Arial" w:cs="Arial"/>
        <w:i w:val="false"/>
        <w:sz w:val="20"/>
      </w:rPr>
    </w:pPr>
    <w:r>
      <w:rPr>
        <w:rFonts w:cs="Arial" w:ascii="Arial" w:hAnsi="Arial"/>
        <w:i w:val="false"/>
        <w:sz w:val="20"/>
      </w:rPr>
      <w:t xml:space="preserve">Modèle de CSC du Chapitre C – Version du 01/01/2018 – </w:t>
    </w:r>
    <w:r>
      <w:rPr>
        <w:rFonts w:cs="Arial" w:ascii="Arial" w:hAnsi="Arial"/>
        <w:i w:val="false"/>
        <w:sz w:val="20"/>
      </w:rPr>
      <w:fldChar w:fldCharType="begin"/>
    </w:r>
    <w:r>
      <w:rPr>
        <w:rFonts w:cs="Arial" w:ascii="Arial" w:hAnsi="Arial"/>
        <w:i w:val="false"/>
        <w:sz w:val="20"/>
      </w:rPr>
      <w:instrText xml:space="preserve"> PAGE </w:instrText>
    </w:r>
    <w:r>
      <w:rPr>
        <w:rFonts w:cs="Arial" w:ascii="Arial" w:hAnsi="Arial"/>
        <w:i w:val="false"/>
        <w:sz w:val="20"/>
      </w:rPr>
      <w:fldChar w:fldCharType="separate"/>
    </w:r>
    <w:r>
      <w:rPr>
        <w:rFonts w:cs="Arial" w:ascii="Arial" w:hAnsi="Arial"/>
        <w:i w:val="false"/>
        <w:sz w:val="20"/>
      </w:rPr>
      <w:t>5</w:t>
    </w:r>
    <w:r>
      <w:rPr>
        <w:rFonts w:cs="Arial" w:ascii="Arial" w:hAnsi="Arial"/>
        <w:i w:val="false"/>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Arial" w:hAnsi="Arial" w:cs="Arial"/>
        <w:i w:val="false"/>
        <w:sz w:val="20"/>
      </w:rPr>
    </w:pPr>
    <w:r>
      <w:rPr>
        <w:rFonts w:cs="Arial" w:ascii="Arial" w:hAnsi="Arial"/>
        <w:i w:val="false"/>
        <w:sz w:val="20"/>
      </w:rPr>
      <w:t xml:space="preserve">Modèle de CSC du Chapitre C – Version du 01/01/2018 – </w:t>
    </w:r>
    <w:r>
      <w:rPr>
        <w:rFonts w:cs="Arial" w:ascii="Arial" w:hAnsi="Arial"/>
        <w:i w:val="false"/>
        <w:sz w:val="20"/>
      </w:rPr>
      <w:fldChar w:fldCharType="begin"/>
    </w:r>
    <w:r>
      <w:rPr>
        <w:rFonts w:cs="Arial" w:ascii="Arial" w:hAnsi="Arial"/>
        <w:i w:val="false"/>
        <w:sz w:val="20"/>
      </w:rPr>
      <w:instrText xml:space="preserve"> PAGE </w:instrText>
    </w:r>
    <w:r>
      <w:rPr>
        <w:rFonts w:cs="Arial" w:ascii="Arial" w:hAnsi="Arial"/>
        <w:i w:val="false"/>
        <w:sz w:val="20"/>
      </w:rPr>
      <w:fldChar w:fldCharType="separate"/>
    </w:r>
    <w:r>
      <w:rPr>
        <w:rFonts w:cs="Arial" w:ascii="Arial" w:hAnsi="Arial"/>
        <w:i w:val="false"/>
        <w:sz w:val="20"/>
      </w:rPr>
      <w:t>5</w:t>
    </w:r>
    <w:r>
      <w:rPr>
        <w:rFonts w:cs="Arial" w:ascii="Arial" w:hAnsi="Arial"/>
        <w:i w:val="false"/>
        <w:sz w:val="20"/>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Arial" w:hAnsi="Arial" w:cs="Arial"/>
        <w:i w:val="false"/>
        <w:sz w:val="20"/>
      </w:rPr>
    </w:pPr>
    <w:r>
      <w:rPr>
        <w:rFonts w:cs="Arial" w:ascii="Arial" w:hAnsi="Arial"/>
        <w:i w:val="false"/>
        <w:sz w:val="20"/>
      </w:rPr>
      <w:t xml:space="preserve">Modèle de CSC du Chapitre C – Version du 01/01/2018 – </w:t>
    </w:r>
    <w:r>
      <w:rPr>
        <w:rFonts w:cs="Arial" w:ascii="Arial" w:hAnsi="Arial"/>
        <w:i w:val="false"/>
        <w:sz w:val="20"/>
      </w:rPr>
      <w:fldChar w:fldCharType="begin"/>
    </w:r>
    <w:r>
      <w:rPr>
        <w:rFonts w:cs="Arial" w:ascii="Arial" w:hAnsi="Arial"/>
        <w:i w:val="false"/>
        <w:sz w:val="20"/>
      </w:rPr>
      <w:instrText xml:space="preserve"> PAGE </w:instrText>
    </w:r>
    <w:r>
      <w:rPr>
        <w:rFonts w:cs="Arial" w:ascii="Arial" w:hAnsi="Arial"/>
        <w:i w:val="false"/>
        <w:sz w:val="20"/>
      </w:rPr>
      <w:fldChar w:fldCharType="separate"/>
    </w:r>
    <w:r>
      <w:rPr>
        <w:rFonts w:cs="Arial" w:ascii="Arial" w:hAnsi="Arial"/>
        <w:i w:val="false"/>
        <w:sz w:val="20"/>
      </w:rPr>
      <w:t>6</w:t>
    </w:r>
    <w:r>
      <w:rPr>
        <w:rFonts w:cs="Arial" w:ascii="Arial" w:hAnsi="Arial"/>
        <w:i w:val="false"/>
        <w:sz w:val="20"/>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i w:val="false"/>
        <w:sz w:val="20"/>
      </w:rPr>
    </w:pPr>
    <w:r>
      <w:rPr>
        <w:i w:val="false"/>
        <w:sz w:val="20"/>
      </w:rPr>
      <w:t xml:space="preserve">Chapitre C –Version du 01/01/2018 – </w:t>
    </w:r>
    <w:r>
      <w:rPr>
        <w:i w:val="false"/>
        <w:sz w:val="20"/>
      </w:rPr>
      <w:fldChar w:fldCharType="begin"/>
    </w:r>
    <w:r>
      <w:rPr>
        <w:i w:val="false"/>
        <w:sz w:val="20"/>
      </w:rPr>
      <w:instrText xml:space="preserve"> PAGE </w:instrText>
    </w:r>
    <w:r>
      <w:rPr>
        <w:i w:val="false"/>
        <w:sz w:val="20"/>
      </w:rPr>
      <w:fldChar w:fldCharType="separate"/>
    </w:r>
    <w:r>
      <w:rPr>
        <w:i w:val="false"/>
        <w:sz w:val="20"/>
      </w:rPr>
      <w:t>21</w:t>
    </w:r>
    <w:r>
      <w:rPr>
        <w:i w:val="false"/>
        <w:sz w:val="20"/>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i w:val="false"/>
        <w:sz w:val="20"/>
      </w:rPr>
    </w:pPr>
    <w:r>
      <w:rPr>
        <w:i w:val="false"/>
        <w:sz w:val="20"/>
      </w:rPr>
      <w:t xml:space="preserve">Chapitre C –Version du 01/01/2018 – </w:t>
    </w:r>
    <w:r>
      <w:rPr>
        <w:i w:val="false"/>
        <w:sz w:val="20"/>
      </w:rPr>
      <w:fldChar w:fldCharType="begin"/>
    </w:r>
    <w:r>
      <w:rPr>
        <w:i w:val="false"/>
        <w:sz w:val="20"/>
      </w:rPr>
      <w:instrText xml:space="preserve"> PAGE </w:instrText>
    </w:r>
    <w:r>
      <w:rPr>
        <w:i w:val="false"/>
        <w:sz w:val="20"/>
      </w:rPr>
      <w:fldChar w:fldCharType="separate"/>
    </w:r>
    <w:r>
      <w:rPr>
        <w:i w:val="false"/>
        <w:sz w:val="20"/>
      </w:rPr>
      <w:t>21</w:t>
    </w:r>
    <w:r>
      <w:rPr>
        <w:i w:val="false"/>
        <w:sz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bidi w:val="0"/>
      <w:spacing w:lineRule="exact" w:line="240" w:before="0" w:after="480"/>
      <w:jc w:val="cent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bidi w:val="0"/>
      <w:spacing w:lineRule="exact" w:line="240" w:before="0" w:after="48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bidi w:val="0"/>
      <w:spacing w:lineRule="exact" w:line="240" w:before="0" w:after="48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bidi w:val="0"/>
      <w:spacing w:lineRule="exact" w:line="240" w:before="0" w:after="480"/>
      <w:jc w:val="cent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bidi w:val="0"/>
      <w:spacing w:lineRule="exact" w:line="240" w:before="0" w:after="48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both"/>
      <w:rPr>
        <w:rFonts w:ascii="Times New Roman" w:hAnsi="Times New Roman"/>
      </w:rPr>
    </w:pPr>
    <w:r>
      <w:rPr>
        <w:rFonts w:ascii="Times New Roman" w:hAnsi="Times New Roman"/>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both"/>
      <w:rPr>
        <w:rFonts w:ascii="Times New Roman" w:hAnsi="Times New Roman"/>
      </w:rPr>
    </w:pPr>
    <w:r>
      <w:rPr>
        <w:rFonts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360"/>
        </w:tabs>
        <w:ind w:start="360" w:hanging="360"/>
      </w:pPr>
      <w:rPr>
        <w:rFonts w:ascii="Arial" w:hAnsi="Arial" w:cs="Aria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360"/>
        </w:tabs>
        <w:ind w:start="357" w:hanging="357"/>
      </w:pPr>
      <w:rPr>
        <w:rFonts w:ascii="Symbol" w:hAnsi="Symbol" w:cs="Symbol" w:hint="default"/>
        <w:sz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20"/>
  <w:defaultTabStop w:val="567"/>
  <w:autoHyphenation w:val="true"/>
  <w:hyphenationZone w:val="425"/>
  <w:doNotHyphenateCaps/>
  <w:compat>
    <w:compatSetting w:name="compatibilityMode" w:uri="http://schemas.microsoft.com/office/word" w:val="12"/>
    <w:compatSetting w:name="useWord2013TrackBottomHyphenation" w:uri="http://schemas.microsoft.com/office/word" w:val="1"/>
  </w:compat>
  <w:themeFontLang w:val="fr-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BE" w:eastAsia="fr-BE"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0f2c2d"/>
    <w:pPr>
      <w:widowControl/>
      <w:suppressAutoHyphens w:val="true"/>
      <w:bidi w:val="0"/>
      <w:spacing w:lineRule="atLeast" w:line="300" w:before="0" w:after="0"/>
      <w:jc w:val="both"/>
    </w:pPr>
    <w:rPr>
      <w:rFonts w:ascii="Times New Roman" w:hAnsi="Times New Roman" w:eastAsia="Times New Roman" w:cs="Times New Roman"/>
      <w:i/>
      <w:color w:val="auto"/>
      <w:kern w:val="0"/>
      <w:sz w:val="24"/>
      <w:szCs w:val="20"/>
      <w:lang w:val="fr-FR" w:eastAsia="fr-BE" w:bidi="ar-SA"/>
    </w:rPr>
  </w:style>
  <w:style w:type="paragraph" w:styleId="Heading1">
    <w:name w:val="heading 1"/>
    <w:basedOn w:val="Normal"/>
    <w:next w:val="Normal"/>
    <w:qFormat/>
    <w:rsid w:val="000f2c2d"/>
    <w:pPr>
      <w:outlineLvl w:val="0"/>
    </w:pPr>
    <w:rPr>
      <w:b/>
      <w:i w:val="false"/>
      <w:caps/>
    </w:rPr>
  </w:style>
  <w:style w:type="paragraph" w:styleId="Heading2">
    <w:name w:val="heading 2"/>
    <w:basedOn w:val="Normal"/>
    <w:next w:val="Normal"/>
    <w:qFormat/>
    <w:rsid w:val="000f2c2d"/>
    <w:pPr>
      <w:keepNext w:val="true"/>
      <w:outlineLvl w:val="1"/>
    </w:pPr>
    <w:rPr>
      <w:b/>
    </w:rPr>
  </w:style>
  <w:style w:type="paragraph" w:styleId="Heading3">
    <w:name w:val="heading 3"/>
    <w:basedOn w:val="Normal"/>
    <w:next w:val="Normal"/>
    <w:qFormat/>
    <w:rsid w:val="000f2c2d"/>
    <w:pPr>
      <w:keepNext w:val="true"/>
      <w:pBdr>
        <w:top w:val="single" w:sz="12" w:space="1" w:color="000000"/>
        <w:left w:val="single" w:sz="12" w:space="4" w:color="000000"/>
        <w:bottom w:val="single" w:sz="12" w:space="1" w:color="000000"/>
        <w:right w:val="single" w:sz="12" w:space="4" w:color="000000"/>
      </w:pBdr>
      <w:outlineLvl w:val="2"/>
    </w:pPr>
    <w:rPr>
      <w:b/>
      <w:u w:val="single"/>
    </w:rPr>
  </w:style>
  <w:style w:type="paragraph" w:styleId="Heading4">
    <w:name w:val="heading 4"/>
    <w:basedOn w:val="Normal"/>
    <w:next w:val="Normal"/>
    <w:qFormat/>
    <w:rsid w:val="000f2c2d"/>
    <w:pPr>
      <w:keepNext w:val="true"/>
      <w:outlineLvl w:val="3"/>
    </w:pPr>
    <w:rPr>
      <w:b/>
    </w:rPr>
  </w:style>
  <w:style w:type="paragraph" w:styleId="Heading5">
    <w:name w:val="heading 5"/>
    <w:basedOn w:val="Normal"/>
    <w:next w:val="Normal"/>
    <w:qFormat/>
    <w:rsid w:val="000f2c2d"/>
    <w:pPr>
      <w:keepNext w:val="true"/>
      <w:outlineLvl w:val="4"/>
    </w:pPr>
    <w:rPr>
      <w:i w:val="false"/>
      <w:u w:val="single"/>
    </w:rPr>
  </w:style>
  <w:style w:type="paragraph" w:styleId="Heading6">
    <w:name w:val="heading 6"/>
    <w:basedOn w:val="Normal"/>
    <w:next w:val="Normal"/>
    <w:qFormat/>
    <w:rsid w:val="000f2c2d"/>
    <w:pPr>
      <w:keepNext w:val="true"/>
      <w:outlineLvl w:val="5"/>
    </w:pPr>
    <w:rPr>
      <w:i w:val="false"/>
      <w:u w:val="single"/>
    </w:rPr>
  </w:style>
  <w:style w:type="paragraph" w:styleId="Heading7">
    <w:name w:val="heading 7"/>
    <w:basedOn w:val="Normal"/>
    <w:next w:val="Normal"/>
    <w:qFormat/>
    <w:rsid w:val="000f2c2d"/>
    <w:pPr>
      <w:keepNext w:val="true"/>
      <w:jc w:val="center"/>
      <w:outlineLvl w:val="6"/>
    </w:pPr>
    <w:rPr>
      <w:b/>
    </w:rPr>
  </w:style>
  <w:style w:type="paragraph" w:styleId="Heading8">
    <w:name w:val="heading 8"/>
    <w:basedOn w:val="Normal"/>
    <w:next w:val="Normal"/>
    <w:qFormat/>
    <w:rsid w:val="000f2c2d"/>
    <w:pPr>
      <w:keepNext w:val="true"/>
      <w:tabs>
        <w:tab w:val="clear" w:pos="567"/>
        <w:tab w:val="left" w:pos="1843" w:leader="none"/>
        <w:tab w:val="left" w:pos="6521" w:leader="none"/>
      </w:tabs>
      <w:outlineLvl w:val="7"/>
    </w:pPr>
    <w:rPr>
      <w:i w:val="false"/>
    </w:rPr>
  </w:style>
  <w:style w:type="paragraph" w:styleId="Heading9">
    <w:name w:val="heading 9"/>
    <w:basedOn w:val="Normal"/>
    <w:next w:val="Normal"/>
    <w:qFormat/>
    <w:rsid w:val="000f2c2d"/>
    <w:pPr>
      <w:keepNext w:val="true"/>
      <w:jc w:val="center"/>
      <w:outlineLvl w:val="8"/>
    </w:pPr>
    <w:rPr>
      <w:u w:val="single"/>
    </w:rPr>
  </w:style>
  <w:style w:type="character" w:styleId="DefaultParagraphFont" w:default="1">
    <w:name w:val="Default Paragraph Font"/>
    <w:uiPriority w:val="1"/>
    <w:semiHidden/>
    <w:unhideWhenUsed/>
    <w:qFormat/>
    <w:rPr/>
  </w:style>
  <w:style w:type="character" w:styleId="FootnoteCharacters">
    <w:name w:val="Footnote Characters"/>
    <w:basedOn w:val="DefaultParagraphFont"/>
    <w:semiHidden/>
    <w:qFormat/>
    <w:rsid w:val="000f2c2d"/>
    <w:rPr>
      <w:vertAlign w:val="superscript"/>
    </w:rPr>
  </w:style>
  <w:style w:type="character" w:styleId="FootnoteReference">
    <w:name w:val="footnote reference"/>
    <w:rPr>
      <w:vertAlign w:val="superscript"/>
    </w:rPr>
  </w:style>
  <w:style w:type="character" w:styleId="PageNumber">
    <w:name w:val="page number"/>
    <w:basedOn w:val="DefaultParagraphFont"/>
    <w:semiHidden/>
    <w:rsid w:val="000f2c2d"/>
    <w:rPr/>
  </w:style>
  <w:style w:type="character" w:styleId="PieddepageCar" w:customStyle="1">
    <w:name w:val="Pied de page Car"/>
    <w:basedOn w:val="DefaultParagraphFont"/>
    <w:link w:val="Footer"/>
    <w:semiHidden/>
    <w:qFormat/>
    <w:rsid w:val="00371e60"/>
    <w:rPr>
      <w:i/>
      <w:sz w:val="24"/>
      <w:lang w:val="fr-F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semiHidden/>
    <w:rsid w:val="000f2c2d"/>
    <w:pPr/>
    <w:rPr>
      <w:i w:val="fals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next w:val="Normal"/>
    <w:semiHidden/>
    <w:rsid w:val="000f2c2d"/>
    <w:pPr>
      <w:widowControl/>
      <w:bidi w:val="0"/>
      <w:spacing w:lineRule="exact" w:line="240" w:before="0" w:after="480"/>
      <w:jc w:val="center"/>
    </w:pPr>
    <w:rPr>
      <w:rFonts w:ascii="Elite" w:hAnsi="Elite" w:eastAsia="Times New Roman" w:cs="Times New Roman"/>
      <w:color w:val="auto"/>
      <w:kern w:val="0"/>
      <w:sz w:val="24"/>
      <w:szCs w:val="20"/>
      <w:lang w:val="fr-FR" w:eastAsia="fr-BE" w:bidi="ar-SA"/>
    </w:rPr>
  </w:style>
  <w:style w:type="paragraph" w:styleId="concerne" w:customStyle="1">
    <w:name w:val="concerne"/>
    <w:basedOn w:val="Normal"/>
    <w:qFormat/>
    <w:rsid w:val="000f2c2d"/>
    <w:pPr>
      <w:spacing w:before="1440" w:after="0"/>
      <w:ind w:hanging="1134" w:start="1134"/>
    </w:pPr>
    <w:rPr>
      <w:b/>
    </w:rPr>
  </w:style>
  <w:style w:type="paragraph" w:styleId="texte" w:customStyle="1">
    <w:name w:val="texte"/>
    <w:basedOn w:val="Normal"/>
    <w:qFormat/>
    <w:rsid w:val="000f2c2d"/>
    <w:pPr>
      <w:ind w:firstLine="1134"/>
    </w:pPr>
    <w:rPr/>
  </w:style>
  <w:style w:type="paragraph" w:styleId="adresse" w:customStyle="1">
    <w:name w:val="adresse"/>
    <w:basedOn w:val="Normal"/>
    <w:qFormat/>
    <w:rsid w:val="000f2c2d"/>
    <w:pPr>
      <w:tabs>
        <w:tab w:val="clear" w:pos="567"/>
        <w:tab w:val="left" w:pos="4820" w:leader="none"/>
      </w:tabs>
      <w:spacing w:before="1920" w:after="0"/>
      <w:ind w:start="4820"/>
    </w:pPr>
    <w:rPr/>
  </w:style>
  <w:style w:type="paragraph" w:styleId="Signature1" w:customStyle="1">
    <w:name w:val="Signature1"/>
    <w:basedOn w:val="Normal"/>
    <w:qFormat/>
    <w:rsid w:val="000f2c2d"/>
    <w:pPr>
      <w:tabs>
        <w:tab w:val="clear" w:pos="567"/>
        <w:tab w:val="left" w:pos="5670" w:leader="none"/>
      </w:tabs>
      <w:ind w:start="5670"/>
    </w:pPr>
    <w:rPr/>
  </w:style>
  <w:style w:type="paragraph" w:styleId="rfrence" w:customStyle="1">
    <w:name w:val="référence"/>
    <w:basedOn w:val="Normal"/>
    <w:qFormat/>
    <w:rsid w:val="000f2c2d"/>
    <w:pPr/>
    <w:rPr/>
  </w:style>
  <w:style w:type="paragraph" w:styleId="rapport" w:customStyle="1">
    <w:name w:val="rapport"/>
    <w:basedOn w:val="Normal"/>
    <w:qFormat/>
    <w:rsid w:val="000f2c2d"/>
    <w:pPr>
      <w:ind w:start="567"/>
    </w:pPr>
    <w:rPr/>
  </w:style>
  <w:style w:type="paragraph" w:styleId="FootnoteText">
    <w:name w:val="footnote text"/>
    <w:basedOn w:val="Normal"/>
    <w:semiHidden/>
    <w:rsid w:val="000f2c2d"/>
    <w:pPr/>
    <w:rPr>
      <w:sz w:val="20"/>
    </w:rPr>
  </w:style>
  <w:style w:type="paragraph" w:styleId="Footer">
    <w:name w:val="footer"/>
    <w:basedOn w:val="Normal"/>
    <w:link w:val="PieddepageCar"/>
    <w:semiHidden/>
    <w:rsid w:val="000f2c2d"/>
    <w:pPr>
      <w:tabs>
        <w:tab w:val="clear" w:pos="567"/>
        <w:tab w:val="center" w:pos="4536" w:leader="none"/>
        <w:tab w:val="right" w:pos="9072" w:leader="none"/>
      </w:tabs>
    </w:pPr>
    <w:rPr/>
  </w:style>
  <w:style w:type="paragraph" w:styleId="BodyText2">
    <w:name w:val="Body Text 2"/>
    <w:basedOn w:val="Normal"/>
    <w:semiHidden/>
    <w:qFormat/>
    <w:rsid w:val="000f2c2d"/>
    <w:pPr>
      <w:pBdr>
        <w:top w:val="single" w:sz="12" w:space="1" w:color="000000"/>
        <w:left w:val="single" w:sz="12" w:space="1" w:color="000000"/>
        <w:bottom w:val="single" w:sz="12" w:space="1" w:color="000000"/>
        <w:right w:val="single" w:sz="12" w:space="1" w:color="000000"/>
      </w:pBdr>
    </w:pPr>
    <w:rPr>
      <w:b/>
    </w:rPr>
  </w:style>
  <w:style w:type="paragraph" w:styleId="BodyText3">
    <w:name w:val="Body Text 3"/>
    <w:basedOn w:val="Normal"/>
    <w:semiHidden/>
    <w:qFormat/>
    <w:rsid w:val="000f2c2d"/>
    <w:pPr/>
    <w:rPr>
      <w:i w:val="false"/>
    </w:rPr>
  </w:style>
  <w:style w:type="paragraph" w:styleId="BodyTextIndent">
    <w:name w:val="Body Text Indent"/>
    <w:basedOn w:val="Normal"/>
    <w:semiHidden/>
    <w:rsid w:val="000f2c2d"/>
    <w:pPr>
      <w:tabs>
        <w:tab w:val="clear" w:pos="567"/>
        <w:tab w:val="left" w:pos="142" w:leader="none"/>
      </w:tabs>
      <w:ind w:start="360"/>
    </w:pPr>
    <w:rPr>
      <w:i w:val="false"/>
    </w:rPr>
  </w:style>
  <w:style w:type="paragraph" w:styleId="Puces1" w:customStyle="1">
    <w:name w:val="Puces 1"/>
    <w:basedOn w:val="Normal"/>
    <w:qFormat/>
    <w:rsid w:val="000f2c2d"/>
    <w:pPr>
      <w:numPr>
        <w:ilvl w:val="0"/>
        <w:numId w:val="1"/>
      </w:numPr>
      <w:tabs>
        <w:tab w:val="clear" w:pos="567"/>
        <w:tab w:val="left" w:pos="284" w:leader="none"/>
      </w:tabs>
    </w:pPr>
    <w:rPr>
      <w:i w:val="false"/>
    </w:rPr>
  </w:style>
  <w:style w:type="paragraph" w:styleId="BodyTextIndent2">
    <w:name w:val="Body Text Indent 2"/>
    <w:basedOn w:val="Normal"/>
    <w:semiHidden/>
    <w:qFormat/>
    <w:rsid w:val="000f2c2d"/>
    <w:pPr>
      <w:tabs>
        <w:tab w:val="clear" w:pos="567"/>
        <w:tab w:val="left" w:pos="142" w:leader="none"/>
        <w:tab w:val="left" w:pos="284" w:leader="none"/>
      </w:tabs>
      <w:ind w:start="284"/>
    </w:pPr>
    <w:rPr>
      <w:i w:val="false"/>
    </w:rPr>
  </w:style>
  <w:style w:type="paragraph" w:styleId="BodyTextIndent3">
    <w:name w:val="Body Text Indent 3"/>
    <w:basedOn w:val="Normal"/>
    <w:semiHidden/>
    <w:qFormat/>
    <w:rsid w:val="000f2c2d"/>
    <w:pPr>
      <w:tabs>
        <w:tab w:val="clear" w:pos="567"/>
        <w:tab w:val="left" w:pos="180" w:leader="none"/>
      </w:tabs>
      <w:ind w:start="357"/>
    </w:pPr>
    <w:rPr>
      <w:i w:val="false"/>
    </w:rPr>
  </w:style>
  <w:style w:type="paragraph" w:styleId="Puces2" w:customStyle="1">
    <w:name w:val="Puces 2"/>
    <w:basedOn w:val="Puces1"/>
    <w:qFormat/>
    <w:rsid w:val="000f2c2d"/>
    <w:pPr>
      <w:pBdr>
        <w:top w:val="single" w:sz="12" w:space="1" w:color="000000"/>
        <w:left w:val="single" w:sz="12" w:space="4" w:color="000000"/>
        <w:bottom w:val="single" w:sz="12" w:space="1" w:color="000000"/>
        <w:right w:val="single" w:sz="12" w:space="4" w:color="000000"/>
      </w:pBdr>
    </w:pPr>
    <w:rPr/>
  </w:style>
  <w:style w:type="paragraph" w:styleId="puces11" w:customStyle="1">
    <w:name w:val="puces 11"/>
    <w:basedOn w:val="Normal"/>
    <w:qFormat/>
    <w:rsid w:val="000f2c2d"/>
    <w:pPr>
      <w:numPr>
        <w:ilvl w:val="0"/>
        <w:numId w:val="2"/>
      </w:numPr>
      <w:spacing w:lineRule="auto" w:line="240"/>
    </w:pPr>
    <w:rPr/>
  </w:style>
  <w:style w:type="paragraph" w:styleId="TOC2">
    <w:name w:val="toc 2"/>
    <w:basedOn w:val="Normal"/>
    <w:next w:val="Normal"/>
    <w:autoRedefine/>
    <w:semiHidden/>
    <w:rsid w:val="000f2c2d"/>
    <w:pPr>
      <w:tabs>
        <w:tab w:val="clear" w:pos="567"/>
        <w:tab w:val="left" w:pos="8645" w:leader="dot"/>
        <w:tab w:val="right" w:pos="9071" w:leader="none"/>
      </w:tabs>
      <w:spacing w:lineRule="auto" w:line="240" w:before="0" w:after="120"/>
    </w:pPr>
    <w:rPr>
      <w:rFonts w:ascii="Arial" w:hAnsi="Arial"/>
      <w:caps/>
      <w:sz w:val="20"/>
    </w:rPr>
  </w:style>
  <w:style w:type="paragraph" w:styleId="Cadre" w:customStyle="1">
    <w:name w:val="Cadre"/>
    <w:basedOn w:val="BodyText3"/>
    <w:qFormat/>
    <w:rsid w:val="000f2c2d"/>
    <w:pPr>
      <w:pBdr>
        <w:top w:val="single" w:sz="12" w:space="1" w:color="000000"/>
        <w:left w:val="single" w:sz="12" w:space="4" w:color="000000"/>
        <w:bottom w:val="single" w:sz="12" w:space="0" w:color="000000"/>
        <w:right w:val="single" w:sz="12" w:space="4" w:color="000000"/>
      </w:pBdr>
    </w:pPr>
    <w:rPr/>
  </w:style>
  <w:style w:type="paragraph" w:styleId="ListParagraph">
    <w:name w:val="List Paragraph"/>
    <w:basedOn w:val="Normal"/>
    <w:uiPriority w:val="34"/>
    <w:qFormat/>
    <w:rsid w:val="00276508"/>
    <w:pPr>
      <w:spacing w:before="0" w:after="0"/>
      <w:ind w:start="720"/>
      <w:contextualSpacing/>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27650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LibreOffice/25.8.6.2$Linux_X86_64 LibreOffice_project/580$Build-2</Application>
  <AppVersion>15.0000</AppVersion>
  <Pages>21</Pages>
  <Words>4658</Words>
  <Characters>25622</Characters>
  <CharactersWithSpaces>30220</CharactersWithSpaces>
  <Paragraphs>60</Paragraphs>
  <Company>M.R.W.</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2014-09-08T10:21:00Z</dcterms:created>
  <dc:creator>MRW</dc:creator>
  <dc:description/>
  <dc:language>fr-FR</dc:language>
  <cp:lastModifiedBy>MICHAUX Gauthier</cp:lastModifiedBy>
  <cp:lastPrinted>2004-02-10T09:54:00Z</cp:lastPrinted>
  <dcterms:modified xsi:type="dcterms:W3CDTF">2019-11-27T14:19:00Z</dcterms:modified>
  <cp:revision>8</cp:revision>
  <dc:subject/>
  <dc:title>03.06.97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ActionId">
    <vt:lpwstr>139ec14f-e4e3-492f-85af-fc0ec347c1e0</vt:lpwstr>
  </property>
  <property fmtid="{D5CDD505-2E9C-101B-9397-08002B2CF9AE}" pid="3" name="MSIP_Label_e72a09c5-6e26-4737-a926-47ef1ab198ae_Application">
    <vt:lpwstr>Microsoft Azure Information Protection</vt:lpwstr>
  </property>
  <property fmtid="{D5CDD505-2E9C-101B-9397-08002B2CF9AE}" pid="4" name="MSIP_Label_e72a09c5-6e26-4737-a926-47ef1ab198ae_Enabled">
    <vt:lpwstr>True</vt:lpwstr>
  </property>
  <property fmtid="{D5CDD505-2E9C-101B-9397-08002B2CF9AE}" pid="5" name="MSIP_Label_e72a09c5-6e26-4737-a926-47ef1ab198ae_Extended_MSFT_Method">
    <vt:lpwstr>Automatic</vt:lpwstr>
  </property>
  <property fmtid="{D5CDD505-2E9C-101B-9397-08002B2CF9AE}" pid="6" name="MSIP_Label_e72a09c5-6e26-4737-a926-47ef1ab198ae_Name">
    <vt:lpwstr>Confidentiel</vt:lpwstr>
  </property>
  <property fmtid="{D5CDD505-2E9C-101B-9397-08002B2CF9AE}" pid="7" name="MSIP_Label_e72a09c5-6e26-4737-a926-47ef1ab198ae_Owner">
    <vt:lpwstr>gauthier.michaux@spw.wallonie.be</vt:lpwstr>
  </property>
  <property fmtid="{D5CDD505-2E9C-101B-9397-08002B2CF9AE}" pid="8" name="MSIP_Label_e72a09c5-6e26-4737-a926-47ef1ab198ae_SetDate">
    <vt:lpwstr>2019-11-27T14:19:58.6489327Z</vt:lpwstr>
  </property>
  <property fmtid="{D5CDD505-2E9C-101B-9397-08002B2CF9AE}" pid="9" name="MSIP_Label_e72a09c5-6e26-4737-a926-47ef1ab198ae_SiteId">
    <vt:lpwstr>1f816a84-7aa6-4a56-b22a-7b3452fa8681</vt:lpwstr>
  </property>
  <property fmtid="{D5CDD505-2E9C-101B-9397-08002B2CF9AE}" pid="10" name="Sensitivity">
    <vt:lpwstr>Confidentiel</vt:lpwstr>
  </property>
</Properties>
</file>