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top w:val="double" w:sz="4" w:space="1" w:color="000000"/>
          <w:left w:val="double" w:sz="4" w:space="4" w:color="000000"/>
          <w:bottom w:val="double" w:sz="4" w:space="1" w:color="000000"/>
          <w:right w:val="double" w:sz="4" w:space="4" w:color="000000"/>
        </w:pBdr>
        <w:spacing w:lineRule="atLeast" w:line="300"/>
        <w:jc w:val="center"/>
        <w:rPr>
          <w:b/>
          <w:color w:val="000000"/>
          <w:sz w:val="28"/>
        </w:rPr>
      </w:pPr>
      <w:r>
        <w:rPr>
          <w:b/>
          <w:caps/>
          <w:color w:val="000000"/>
          <w:sz w:val="28"/>
        </w:rPr>
        <w:t xml:space="preserve">Précisions et commentaires relatifs àU chapitre D – Travaux préparatoires et démolitions sélectives </w:t>
        <w:br/>
        <w:t>du CCT QUALIROUTES</w:t>
      </w:r>
    </w:p>
    <w:p>
      <w:pPr>
        <w:pStyle w:val="Normal"/>
        <w:spacing w:lineRule="atLeast" w:line="300"/>
        <w:rPr>
          <w:b/>
          <w:color w:val="000000"/>
          <w:sz w:val="28"/>
        </w:rPr>
      </w:pPr>
      <w:r>
        <w:rPr>
          <w:b/>
          <w:color w:val="000000"/>
          <w:sz w:val="28"/>
        </w:rPr>
      </w:r>
    </w:p>
    <w:p>
      <w:pPr>
        <w:pStyle w:val="Normal"/>
        <w:spacing w:lineRule="atLeast" w:line="300"/>
        <w:jc w:val="both"/>
        <w:rPr>
          <w:color w:val="000000"/>
        </w:rPr>
      </w:pPr>
      <w:r>
        <w:rPr>
          <w:color w:val="000000"/>
        </w:rPr>
      </w:r>
    </w:p>
    <w:p>
      <w:pPr>
        <w:pStyle w:val="Heading1"/>
        <w:ind w:hanging="0" w:start="0"/>
        <w:rPr/>
      </w:pPr>
      <w:r>
        <w:rPr/>
        <w:t>D. 1.2.1. Essouchement – Clauses techniques</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 cas échéant le matériau à utiliser pour le remblai de la fouille si celui-ci n’est pas effectué au moyen de terres de remblai.</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D. 2 - Poste D6590</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Prévoir toutes les caractéristiques relatives à ce poste dans les documents du marché.</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D. 2.1.1.1. Démolition sélective – Clauses techniques – Exécution – Généralités</w:t>
      </w:r>
    </w:p>
    <w:p>
      <w:pPr>
        <w:pStyle w:val="Normal"/>
        <w:spacing w:lineRule="atLeast" w:line="300"/>
        <w:jc w:val="both"/>
        <w:rPr>
          <w:color w:val="000000"/>
        </w:rPr>
      </w:pPr>
      <w:r>
        <w:rPr>
          <w:color w:val="000000"/>
        </w:rPr>
      </w:r>
    </w:p>
    <w:p>
      <w:pPr>
        <w:pStyle w:val="BodyText"/>
        <w:spacing w:lineRule="atLeast" w:line="300"/>
        <w:rPr/>
      </w:pPr>
      <w:r>
        <w:rPr/>
        <w:t>Les postes du CPN relatifs à la démolition sélective comprennent l’excavation et le chargement des matériaux et objets.</w:t>
      </w:r>
    </w:p>
    <w:p>
      <w:pPr>
        <w:pStyle w:val="Normal"/>
        <w:spacing w:lineRule="atLeast" w:line="300"/>
        <w:jc w:val="both"/>
        <w:rPr>
          <w:i/>
          <w:color w:val="000000"/>
        </w:rPr>
      </w:pPr>
      <w:r>
        <w:rPr>
          <w:i/>
          <w:color w:val="000000"/>
        </w:rPr>
      </w:r>
    </w:p>
    <w:p>
      <w:pPr>
        <w:pStyle w:val="Normal"/>
        <w:spacing w:lineRule="atLeast" w:line="300"/>
        <w:jc w:val="both"/>
        <w:rPr/>
      </w:pPr>
      <w:r>
        <w:rPr>
          <w:i/>
          <w:color w:val="000000"/>
        </w:rPr>
        <w:t xml:space="preserve">L’organisation de l’évacuation des déchets (comprenant le transport et le déchargement) fait l’objet de postes du CPN de la série D9000. Cette organisation est résumée au tableau </w:t>
      </w:r>
      <w:r>
        <w:rPr>
          <w:i/>
          <w:color w:val="0000FF"/>
        </w:rPr>
        <w:t>D. 2.1.1.1.a</w:t>
      </w:r>
      <w:r>
        <w:rPr>
          <w:i/>
          <w:color w:val="000000"/>
        </w:rPr>
        <w:t>.</w:t>
      </w:r>
    </w:p>
    <w:p>
      <w:pPr>
        <w:pStyle w:val="Normal"/>
        <w:spacing w:lineRule="atLeast" w:line="300"/>
        <w:jc w:val="both"/>
        <w:rPr>
          <w:i/>
          <w:color w:val="000000"/>
        </w:rPr>
      </w:pPr>
      <w:r>
        <w:rPr>
          <w:i/>
          <w:color w:val="000000"/>
        </w:rPr>
      </w:r>
    </w:p>
    <w:p>
      <w:pPr>
        <w:pStyle w:val="Normal"/>
        <w:spacing w:lineRule="atLeast" w:line="300"/>
        <w:jc w:val="both"/>
        <w:rPr/>
      </w:pPr>
      <w:r>
        <w:rPr>
          <w:i/>
          <w:color w:val="000000"/>
        </w:rPr>
        <w:t xml:space="preserve">Afin de permettre aux soumissionnaires d’opérer le récolement entre les postes avec indice E et les postes de la série D9000, un tableau à deux entrées complété par l’auteur de projet est annexé au cahier spécial des charges suivant le modèle figurant au </w:t>
      </w:r>
      <w:r>
        <w:rPr>
          <w:i/>
          <w:color w:val="0000FF"/>
        </w:rPr>
        <w:t>D.</w:t>
      </w:r>
      <w:r>
        <w:rPr>
          <w:i/>
          <w:color w:val="000000"/>
        </w:rPr>
        <w:t xml:space="preserve"> </w:t>
      </w:r>
      <w:r>
        <w:rPr>
          <w:i/>
          <w:color w:val="0000FF"/>
        </w:rPr>
        <w:t>2.1.1.1.b</w:t>
      </w:r>
      <w:r>
        <w:rPr>
          <w:i/>
          <w:color w:val="000000"/>
        </w:rPr>
        <w:t>.</w:t>
      </w:r>
    </w:p>
    <w:p>
      <w:pPr>
        <w:pStyle w:val="Normal"/>
        <w:spacing w:lineRule="atLeast" w:line="300"/>
        <w:jc w:val="both"/>
        <w:rPr>
          <w:b/>
          <w:i/>
          <w:color w:val="000000"/>
        </w:rPr>
      </w:pPr>
      <w:r>
        <w:rPr>
          <w:b/>
          <w:i/>
          <w:color w:val="000000"/>
        </w:rPr>
      </w:r>
    </w:p>
    <w:p>
      <w:pPr>
        <w:pStyle w:val="Normal"/>
        <w:spacing w:lineRule="atLeast" w:line="300"/>
        <w:jc w:val="both"/>
        <w:rPr/>
      </w:pPr>
      <w:r>
        <w:rPr>
          <w:i/>
          <w:color w:val="000000"/>
        </w:rPr>
        <w:t xml:space="preserve">La réutilisation sur le chantier (postes avec indice C) peut être envisagée pour les déchets traités (définis au </w:t>
      </w:r>
      <w:r>
        <w:rPr>
          <w:i/>
          <w:color w:val="0000FF"/>
        </w:rPr>
        <w:t>B. 3.5</w:t>
      </w:r>
      <w:r>
        <w:rPr>
          <w:i/>
          <w:color w:val="000000"/>
        </w:rPr>
        <w:t>), soit par excavation ou fraisage, soit par l’utilisation d’une installation de traitement autorisée mobile. Dans tous les cas, l’auteur de projet doit avoir l’assurance d’une bonne qualité des déchets traités en procédant aux essais de caractérisation nécessaires (voir document de référence QUALIROUTES-A-8).</w:t>
      </w:r>
    </w:p>
    <w:p>
      <w:pPr>
        <w:pStyle w:val="Normal"/>
        <w:spacing w:lineRule="atLeast" w:line="300"/>
        <w:jc w:val="both"/>
        <w:rPr>
          <w:i/>
          <w:color w:val="000000"/>
        </w:rPr>
      </w:pPr>
      <w:r>
        <w:rPr>
          <w:i/>
          <w:color w:val="000000"/>
        </w:rPr>
      </w:r>
    </w:p>
    <w:p>
      <w:pPr>
        <w:pStyle w:val="BodyText"/>
        <w:spacing w:lineRule="atLeast" w:line="300"/>
        <w:rPr/>
      </w:pPr>
      <w:r>
        <w:rPr/>
        <w:t>Les postes D2100 ne s’utilisent que si les documents d’adjudication précisent l’implantation, les dimensions et le type de clôtures à démolir.</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D. 2.1.1.2. Fraisage de couches de chaussée</w:t>
      </w:r>
    </w:p>
    <w:p>
      <w:pPr>
        <w:pStyle w:val="Normal"/>
        <w:spacing w:lineRule="atLeast" w:line="300"/>
        <w:jc w:val="both"/>
        <w:rPr>
          <w:color w:val="000000"/>
        </w:rPr>
      </w:pPr>
      <w:r>
        <w:rPr>
          <w:color w:val="000000"/>
        </w:rPr>
      </w:r>
    </w:p>
    <w:p>
      <w:pPr>
        <w:pStyle w:val="Puces1"/>
        <w:numPr>
          <w:ilvl w:val="0"/>
          <w:numId w:val="3"/>
        </w:numPr>
        <w:pBdr>
          <w:top w:val="single" w:sz="12" w:space="1" w:color="000000"/>
          <w:left w:val="single" w:sz="12" w:space="4" w:color="000000"/>
          <w:bottom w:val="single" w:sz="12" w:space="1" w:color="000000"/>
          <w:right w:val="single" w:sz="12" w:space="4" w:color="000000"/>
        </w:pBdr>
        <w:ind w:hanging="0" w:start="0"/>
        <w:rPr>
          <w:color w:val="000000"/>
        </w:rPr>
      </w:pPr>
      <w:r>
        <w:rPr>
          <w:color w:val="000000"/>
        </w:rPr>
        <w:t>Définir l’épaisseur totale à démolir, l’identification de chaque couche et des interfaces.</w:t>
      </w:r>
    </w:p>
    <w:p>
      <w:pPr>
        <w:pStyle w:val="Puces1"/>
        <w:numPr>
          <w:ilvl w:val="0"/>
          <w:numId w:val="3"/>
        </w:numPr>
        <w:pBdr>
          <w:top w:val="single" w:sz="12" w:space="1" w:color="000000"/>
          <w:left w:val="single" w:sz="12" w:space="4" w:color="000000"/>
          <w:bottom w:val="single" w:sz="12" w:space="1" w:color="000000"/>
          <w:right w:val="single" w:sz="12" w:space="4" w:color="000000"/>
        </w:pBdr>
        <w:ind w:hanging="0" w:start="0"/>
        <w:rPr>
          <w:color w:val="000000"/>
        </w:rPr>
      </w:pPr>
      <w:r>
        <w:rPr>
          <w:color w:val="000000"/>
        </w:rPr>
        <w:t xml:space="preserve">Le cas échéant (en cas de revêtements en enrobés bitumineux), indiquer si la surface fraisée fait l’objet d’un nettoyage sous haute pression tel que décrit au </w:t>
      </w:r>
      <w:r>
        <w:rPr>
          <w:color w:val="0000FF"/>
        </w:rPr>
        <w:t>D. 2.1.1.2</w:t>
      </w:r>
      <w:r>
        <w:rPr>
          <w:color w:val="000000"/>
        </w:rPr>
        <w:t>.</w:t>
      </w:r>
    </w:p>
    <w:p>
      <w:pPr>
        <w:pStyle w:val="Puces1"/>
        <w:numPr>
          <w:ilvl w:val="0"/>
          <w:numId w:val="3"/>
        </w:numPr>
        <w:pBdr>
          <w:top w:val="single" w:sz="12" w:space="1" w:color="000000"/>
          <w:left w:val="single" w:sz="12" w:space="4" w:color="000000"/>
          <w:bottom w:val="single" w:sz="12" w:space="1" w:color="000000"/>
          <w:right w:val="single" w:sz="12" w:space="4" w:color="000000"/>
        </w:pBdr>
        <w:ind w:hanging="0" w:start="0"/>
        <w:rPr>
          <w:color w:val="000000"/>
        </w:rPr>
      </w:pPr>
      <w:r>
        <w:rPr>
          <w:color w:val="000000"/>
        </w:rPr>
        <w:t>Décrire le cas échéant les opérations de dégagement des joints de dilation après fraisage.</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t>Dans le respect de la Circulaire de mise en application du rapport final n° 2018-00762 de l'ISSeP relatif à la détermination d'un traceur permettant de mesurer la teneur en goudron d'un déchet en vue d'établir sa possible valorisation comme déchet autre que dangereux ou sa dangerosité</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t>En attendant la création de nouveaux postes normalisés, évacuer les fraisâts valorisables suivant des postes étoilés basés sur le D9411 considérant:</w:t>
      </w:r>
    </w:p>
    <w:p>
      <w:pPr>
        <w:pStyle w:val="Normal"/>
        <w:spacing w:lineRule="atLeast" w:line="300"/>
        <w:jc w:val="both"/>
        <w:rPr>
          <w:color w:val="000000"/>
        </w:rPr>
      </w:pPr>
      <w:r>
        <w:rPr>
          <w:color w:val="000000"/>
        </w:rPr>
        <w:t xml:space="preserve"> </w:t>
      </w:r>
    </w:p>
    <w:p>
      <w:pPr>
        <w:pStyle w:val="Normal"/>
        <w:numPr>
          <w:ilvl w:val="0"/>
          <w:numId w:val="2"/>
        </w:numPr>
        <w:spacing w:lineRule="atLeast" w:line="300"/>
        <w:jc w:val="both"/>
        <w:rPr>
          <w:color w:val="000000"/>
        </w:rPr>
      </w:pPr>
      <w:r>
        <w:rPr>
          <w:color w:val="000000"/>
        </w:rPr>
        <w:t>la valeur limite en benzo(a)pyrène pour que le déchet reste inerte par rapport à ce traceur, soit &lt; à 8,5 mg/ kg ms – valorisable à chaud</w:t>
      </w:r>
    </w:p>
    <w:p>
      <w:pPr>
        <w:pStyle w:val="Normal"/>
        <w:spacing w:lineRule="atLeast" w:line="300"/>
        <w:ind w:start="720" w:end="0"/>
        <w:jc w:val="both"/>
        <w:rPr>
          <w:color w:val="000000"/>
        </w:rPr>
      </w:pPr>
      <w:r>
        <w:rPr>
          <w:color w:val="000000"/>
        </w:rPr>
      </w:r>
    </w:p>
    <w:p>
      <w:pPr>
        <w:pStyle w:val="Normal"/>
        <w:numPr>
          <w:ilvl w:val="0"/>
          <w:numId w:val="2"/>
        </w:numPr>
        <w:spacing w:lineRule="atLeast" w:line="300"/>
        <w:jc w:val="both"/>
        <w:rPr>
          <w:color w:val="000000"/>
        </w:rPr>
      </w:pPr>
      <w:r>
        <w:rPr>
          <w:color w:val="000000"/>
        </w:rPr>
        <w:t>la valeur limite en benzo(a)pyrène permettant au déchet de rester non dangereux par rapport à ce traceur et d'être valorisable à froid, soit 8,5 &lt; benzo(a)pyrène &lt; 50 mg/kg ms</w:t>
      </w:r>
    </w:p>
    <w:p>
      <w:pPr>
        <w:pStyle w:val="Normal"/>
        <w:spacing w:lineRule="atLeast" w:line="300"/>
        <w:jc w:val="both"/>
        <w:rPr>
          <w:color w:val="000000"/>
        </w:rPr>
      </w:pPr>
      <w:r>
        <w:rPr>
          <w:color w:val="000000"/>
        </w:rPr>
      </w:r>
    </w:p>
    <w:p>
      <w:pPr>
        <w:pStyle w:val="Normal"/>
        <w:spacing w:lineRule="atLeast" w:line="300"/>
        <w:jc w:val="both"/>
        <w:rPr/>
      </w:pPr>
      <w:r>
        <w:rPr>
          <w:color w:val="000000"/>
        </w:rPr>
        <w:t>Évacuer les fraisâts non valorisables considérant  la valeur limite en benzo(a)pyrène indiquant que par rapport à ce traceur, le déchet n'est pas valorisable et doit être considéré comme un déchet dangereux, soit &gt; à 50 mg/ kg ms suivant:</w:t>
      </w:r>
    </w:p>
    <w:p>
      <w:pPr>
        <w:pStyle w:val="Normal"/>
        <w:spacing w:lineRule="atLeast" w:line="300"/>
        <w:jc w:val="both"/>
        <w:rPr>
          <w:color w:val="000000"/>
        </w:rPr>
      </w:pPr>
      <w:r>
        <w:rPr>
          <w:color w:val="000000"/>
        </w:rPr>
      </w:r>
    </w:p>
    <w:p>
      <w:pPr>
        <w:pStyle w:val="Normal"/>
        <w:numPr>
          <w:ilvl w:val="0"/>
          <w:numId w:val="2"/>
        </w:numPr>
        <w:spacing w:lineRule="atLeast" w:line="300"/>
        <w:jc w:val="both"/>
        <w:rPr>
          <w:color w:val="000000"/>
        </w:rPr>
      </w:pPr>
      <w:r>
        <w:rPr>
          <w:color w:val="000000"/>
        </w:rPr>
        <w:t>une somme réservée du poste D9380 mise en CTA.</w:t>
      </w:r>
    </w:p>
    <w:p>
      <w:pPr>
        <w:pStyle w:val="Normal"/>
        <w:spacing w:lineRule="atLeast" w:line="300"/>
        <w:jc w:val="both"/>
        <w:rPr>
          <w:color w:val="000000"/>
        </w:rPr>
      </w:pPr>
      <w:r>
        <w:rPr>
          <w:color w:val="000000"/>
        </w:rPr>
      </w:r>
    </w:p>
    <w:p>
      <w:pPr>
        <w:pStyle w:val="Heading1"/>
        <w:ind w:hanging="0" w:start="0"/>
        <w:rPr/>
      </w:pPr>
      <w:r>
        <w:rPr/>
        <w:t>D. 2.1.1.5. Démontage</w:t>
      </w:r>
    </w:p>
    <w:p>
      <w:pPr>
        <w:pStyle w:val="Normal"/>
        <w:spacing w:lineRule="atLeast" w:line="300"/>
        <w:jc w:val="both"/>
        <w:rPr>
          <w:i/>
          <w:color w:val="000000"/>
        </w:rPr>
      </w:pPr>
      <w:r>
        <w:rPr>
          <w:i/>
          <w:color w:val="000000"/>
        </w:rPr>
      </w:r>
    </w:p>
    <w:p>
      <w:pPr>
        <w:pStyle w:val="Normal"/>
        <w:spacing w:lineRule="atLeast" w:line="300"/>
        <w:jc w:val="both"/>
        <w:rPr>
          <w:i/>
          <w:color w:val="000000"/>
        </w:rPr>
      </w:pPr>
      <w:r>
        <w:rPr>
          <w:i/>
          <w:color w:val="000000"/>
        </w:rPr>
        <w:t>Les prescriptions de ce paragraphe sont applicables uniquement en cas de mise en dépôt ou de réutilisation en place.</w:t>
      </w:r>
    </w:p>
    <w:p>
      <w:pPr>
        <w:pStyle w:val="Normal"/>
        <w:spacing w:lineRule="atLeast" w:line="300"/>
        <w:jc w:val="both"/>
        <w:rPr>
          <w:i/>
          <w:color w:val="000000"/>
        </w:rPr>
      </w:pPr>
      <w:r>
        <w:rPr>
          <w:i/>
          <w:color w:val="000000"/>
        </w:rPr>
      </w:r>
    </w:p>
    <w:p>
      <w:pPr>
        <w:pStyle w:val="Normal"/>
        <w:spacing w:lineRule="atLeast" w:line="300"/>
        <w:jc w:val="both"/>
        <w:rPr>
          <w:color w:val="000000"/>
        </w:rPr>
      </w:pPr>
      <w:r>
        <w:rPr>
          <w:color w:val="000000"/>
        </w:rPr>
      </w:r>
    </w:p>
    <w:p>
      <w:pPr>
        <w:pStyle w:val="Heading1"/>
        <w:ind w:hanging="0" w:start="0"/>
        <w:rPr/>
      </w:pPr>
      <w:r>
        <w:rPr/>
        <w:t>D. 2.1.1.8. Démolition sélective d’immeubles</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Préciser la vidange des fosses et citernes, les travaux de ragréage et d’appropriation à effectuer.</w:t>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Ces travaux font l’objet des postes de la série D7420.</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Normal"/>
        <w:rPr>
          <w:color w:val="000000"/>
        </w:rPr>
      </w:pPr>
      <w:r>
        <w:rPr>
          <w:color w:val="000000"/>
        </w:rPr>
      </w:r>
    </w:p>
    <w:sectPr>
      <w:footerReference w:type="default" r:id="rId2"/>
      <w:type w:val="nextPage"/>
      <w:pgSz w:w="11906" w:h="16838"/>
      <w:pgMar w:left="1304" w:right="1304"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Elite">
    <w:altName w:val="Courier New"/>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Arial" w:ascii="Arial" w:hAnsi="Arial"/>
        <w:color w:val="000000"/>
        <w:sz w:val="20"/>
      </w:rPr>
      <w:t xml:space="preserve">Modèle de CSC du </w:t>
    </w:r>
    <w:r>
      <w:rPr>
        <w:rStyle w:val="PageNumber"/>
        <w:rFonts w:cs="Arial" w:ascii="Arial" w:hAnsi="Arial"/>
        <w:color w:val="000000"/>
        <w:sz w:val="20"/>
      </w:rPr>
      <w:t xml:space="preserve">Chapitre D </w:t>
    </w:r>
    <w:r>
      <w:rPr>
        <w:rFonts w:cs="Arial" w:ascii="Arial" w:hAnsi="Arial"/>
        <w:color w:val="000000"/>
        <w:sz w:val="20"/>
      </w:rPr>
      <w:t xml:space="preserve">– Version du 01/01/2025 – </w:t>
    </w:r>
    <w:r>
      <w:rPr>
        <w:rFonts w:cs="Arial" w:ascii="Arial" w:hAnsi="Arial"/>
        <w:color w:val="000000"/>
        <w:sz w:val="20"/>
      </w:rPr>
      <w:fldChar w:fldCharType="begin"/>
    </w:r>
    <w:r>
      <w:rPr>
        <w:rFonts w:cs="Arial" w:ascii="Arial" w:hAnsi="Arial"/>
        <w:color w:val="000000"/>
        <w:sz w:val="20"/>
      </w:rPr>
      <w:instrText xml:space="preserve"> PAGE </w:instrText>
    </w:r>
    <w:r>
      <w:rPr>
        <w:rFonts w:cs="Arial" w:ascii="Arial" w:hAnsi="Arial"/>
        <w:color w:val="000000"/>
        <w:sz w:val="20"/>
      </w:rPr>
      <w:fldChar w:fldCharType="separate"/>
    </w:r>
    <w:r>
      <w:rPr>
        <w:rFonts w:cs="Arial" w:ascii="Arial" w:hAnsi="Arial"/>
        <w:color w:val="000000"/>
        <w:sz w:val="20"/>
      </w:rPr>
      <w:t>2</w:t>
    </w:r>
    <w:r>
      <w:rPr>
        <w:rFonts w:cs="Arial" w:ascii="Arial" w:hAnsi="Arial"/>
        <w:color w:val="000000"/>
        <w:sz w:val="20"/>
      </w:rPr>
      <w:fldChar w:fldCharType="end"/>
    </w:r>
    <w:r>
      <w:rPr>
        <w:rFonts w:cs="Arial" w:ascii="Arial" w:hAnsi="Arial"/>
        <w:color w:val="000000"/>
        <w:sz w:val="20"/>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numFmt w:val="bullet"/>
      <w:lvlText w:val="-"/>
      <w:lvlJc w:val="start"/>
      <w:pPr>
        <w:tabs>
          <w:tab w:val="num" w:pos="0"/>
        </w:tabs>
        <w:ind w:start="720" w:hanging="360"/>
      </w:pPr>
      <w:rPr>
        <w:rFonts w:ascii="Times New Roman" w:hAnsi="Times New Roman" w:cs="Times New Roman" w:hint="default"/>
      </w:rPr>
    </w:lvl>
  </w:abstractNum>
  <w:abstractNum w:abstractNumId="3">
    <w:lvl w:ilvl="0">
      <w:numFmt w:val="bullet"/>
      <w:lvlText w:val="–"/>
      <w:lvlJc w:val="start"/>
      <w:pPr>
        <w:tabs>
          <w:tab w:val="num" w:pos="360"/>
        </w:tabs>
        <w:ind w:start="360" w:hanging="360"/>
      </w:pPr>
      <w:rPr>
        <w:rFonts w:ascii="Arial" w:hAnsi="Arial" w:cs="Aria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567"/>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fr-FR" w:eastAsia="zh-CN" w:bidi="hi-IN"/>
      </w:rPr>
    </w:rPrDefault>
    <w:pPrDefault>
      <w:pPr>
        <w:suppressAutoHyphens w:val="true"/>
      </w:pPr>
    </w:pPrDefault>
  </w:docDefaults>
  <w:style w:type="paragraph" w:styleId="Normal">
    <w:name w:val="Normal"/>
    <w:qFormat/>
    <w:pPr>
      <w:widowControl/>
      <w:bidi w:val="0"/>
      <w:spacing w:lineRule="exact" w:line="312"/>
    </w:pPr>
    <w:rPr>
      <w:rFonts w:ascii="Times New Roman" w:hAnsi="Times New Roman" w:eastAsia="Times New Roman" w:cs="Times New Roman"/>
      <w:color w:val="00FFFF"/>
      <w:sz w:val="24"/>
      <w:szCs w:val="24"/>
      <w:lang w:val="fr-FR" w:bidi="ar-SA" w:eastAsia="zh-CN"/>
    </w:rPr>
  </w:style>
  <w:style w:type="paragraph" w:styleId="Heading1">
    <w:name w:val="heading 1"/>
    <w:basedOn w:val="Normal"/>
    <w:next w:val="Normal"/>
    <w:qFormat/>
    <w:pPr>
      <w:numPr>
        <w:ilvl w:val="0"/>
        <w:numId w:val="1"/>
      </w:numPr>
      <w:spacing w:lineRule="atLeast" w:line="300"/>
      <w:jc w:val="both"/>
      <w:outlineLvl w:val="0"/>
    </w:pPr>
    <w:rPr>
      <w:b/>
      <w:bCs/>
      <w:caps/>
      <w:color w:val="000000"/>
    </w:rPr>
  </w:style>
  <w:style w:type="paragraph" w:styleId="Heading2">
    <w:name w:val="heading 2"/>
    <w:basedOn w:val="Normal"/>
    <w:next w:val="Normal"/>
    <w:qFormat/>
    <w:pPr>
      <w:keepNext w:val="true"/>
      <w:numPr>
        <w:ilvl w:val="1"/>
        <w:numId w:val="1"/>
      </w:numPr>
      <w:jc w:val="both"/>
      <w:outlineLvl w:val="1"/>
    </w:pPr>
    <w:rPr>
      <w:b/>
      <w:bCs/>
      <w:color w:val="000000"/>
    </w:rPr>
  </w:style>
  <w:style w:type="paragraph" w:styleId="Heading3">
    <w:name w:val="heading 3"/>
    <w:basedOn w:val="Normal"/>
    <w:next w:val="Normal"/>
    <w:qFormat/>
    <w:pPr>
      <w:keepNext w:val="true"/>
      <w:numPr>
        <w:ilvl w:val="2"/>
        <w:numId w:val="1"/>
      </w:numPr>
      <w:pBdr>
        <w:top w:val="single" w:sz="12" w:space="1" w:color="000000"/>
        <w:left w:val="single" w:sz="12" w:space="4" w:color="000000"/>
        <w:bottom w:val="single" w:sz="12" w:space="1" w:color="000000"/>
        <w:right w:val="single" w:sz="12" w:space="4" w:color="000000"/>
      </w:pBdr>
      <w:jc w:val="both"/>
      <w:outlineLvl w:val="2"/>
    </w:pPr>
    <w:rPr>
      <w:b/>
      <w:bCs/>
      <w:color w:val="000000"/>
      <w:u w:val="single"/>
    </w:rPr>
  </w:style>
  <w:style w:type="paragraph" w:styleId="Heading4">
    <w:name w:val="heading 4"/>
    <w:basedOn w:val="Normal"/>
    <w:next w:val="Normal"/>
    <w:qFormat/>
    <w:pPr>
      <w:keepNext w:val="true"/>
      <w:numPr>
        <w:ilvl w:val="3"/>
        <w:numId w:val="1"/>
      </w:numPr>
      <w:outlineLvl w:val="3"/>
    </w:pPr>
    <w:rPr>
      <w:b/>
      <w:bCs/>
      <w:color w:val="000000"/>
    </w:rPr>
  </w:style>
  <w:style w:type="paragraph" w:styleId="Heading5">
    <w:name w:val="heading 5"/>
    <w:basedOn w:val="Normal"/>
    <w:next w:val="Normal"/>
    <w:qFormat/>
    <w:pPr>
      <w:keepNext w:val="true"/>
      <w:numPr>
        <w:ilvl w:val="4"/>
        <w:numId w:val="1"/>
      </w:numPr>
      <w:outlineLvl w:val="4"/>
    </w:pPr>
    <w:rPr>
      <w:i/>
      <w:iCs/>
      <w:color w:val="000000"/>
      <w:u w:val="single"/>
    </w:rPr>
  </w:style>
  <w:style w:type="paragraph" w:styleId="Heading6">
    <w:name w:val="heading 6"/>
    <w:basedOn w:val="Normal"/>
    <w:next w:val="Normal"/>
    <w:qFormat/>
    <w:pPr>
      <w:keepNext w:val="true"/>
      <w:numPr>
        <w:ilvl w:val="5"/>
        <w:numId w:val="1"/>
      </w:numPr>
      <w:jc w:val="both"/>
      <w:outlineLvl w:val="5"/>
    </w:pPr>
    <w:rPr>
      <w:i/>
      <w:iCs/>
      <w:color w:val="000000"/>
      <w:u w:val="single"/>
    </w:rPr>
  </w:style>
  <w:style w:type="paragraph" w:styleId="Heading7">
    <w:name w:val="heading 7"/>
    <w:basedOn w:val="Normal"/>
    <w:next w:val="Normal"/>
    <w:qFormat/>
    <w:pPr>
      <w:keepNext w:val="true"/>
      <w:numPr>
        <w:ilvl w:val="6"/>
        <w:numId w:val="1"/>
      </w:numPr>
      <w:jc w:val="center"/>
      <w:outlineLvl w:val="6"/>
    </w:pPr>
    <w:rPr>
      <w:b/>
      <w:bCs/>
      <w:color w:val="000000"/>
    </w:rPr>
  </w:style>
  <w:style w:type="character" w:styleId="WW8Num2z0">
    <w:name w:val="WW8Num2z0"/>
    <w:qFormat/>
    <w:rPr>
      <w:rFonts w:ascii="Symbol" w:hAnsi="Symbol" w:cs="Symbol"/>
      <w:sz w:val="16"/>
    </w:rPr>
  </w:style>
  <w:style w:type="character" w:styleId="WW8Num3z0">
    <w:name w:val="WW8Num3z0"/>
    <w:qFormat/>
    <w:rPr>
      <w:rFonts w:ascii="Arial" w:hAnsi="Arial" w:cs="Arial"/>
      <w:sz w:val="20"/>
    </w:rPr>
  </w:style>
  <w:style w:type="character" w:styleId="WW8Num4z0">
    <w:name w:val="WW8Num4z0"/>
    <w:qFormat/>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sz w:val="16"/>
    </w:rPr>
  </w:style>
  <w:style w:type="character" w:styleId="WW8Num8z0">
    <w:name w:val="WW8Num8z0"/>
    <w:qFormat/>
    <w:rPr>
      <w:rFonts w:ascii="Arial" w:hAnsi="Arial" w:cs="Arial"/>
    </w:rPr>
  </w:style>
  <w:style w:type="character" w:styleId="WW8Num9z0">
    <w:name w:val="WW8Num9z0"/>
    <w:qFormat/>
    <w:rPr>
      <w:rFonts w:ascii="Arial" w:hAnsi="Arial" w:cs="Arial"/>
      <w:sz w:val="20"/>
    </w:rPr>
  </w:style>
  <w:style w:type="character" w:styleId="WW8Num10z0">
    <w:name w:val="WW8Num10z0"/>
    <w:qFormat/>
    <w:rPr>
      <w:rFonts w:ascii="Arial" w:hAnsi="Arial" w:cs="Arial"/>
      <w:sz w:val="20"/>
    </w:rPr>
  </w:style>
  <w:style w:type="character" w:styleId="WW8Num11z0">
    <w:name w:val="WW8Num11z0"/>
    <w:qFormat/>
    <w:rPr/>
  </w:style>
  <w:style w:type="character" w:styleId="WW8Num12z0">
    <w:name w:val="WW8Num12z0"/>
    <w:qFormat/>
    <w:rPr/>
  </w:style>
  <w:style w:type="character" w:styleId="WW8Num13z0">
    <w:name w:val="WW8Num13z0"/>
    <w:qFormat/>
    <w:rPr>
      <w:rFonts w:ascii="Times New Roman" w:hAnsi="Times New Roman" w:cs="Times New Roman"/>
    </w:rPr>
  </w:style>
  <w:style w:type="character" w:styleId="WW8NumSt1z0">
    <w:name w:val="WW8NumSt1z0"/>
    <w:qFormat/>
    <w:rPr>
      <w:rFonts w:ascii="Symbol" w:hAnsi="Symbol" w:cs="Symbol"/>
    </w:rPr>
  </w:style>
  <w:style w:type="character" w:styleId="WW8NumSt7z0">
    <w:name w:val="WW8NumSt7z0"/>
    <w:qFormat/>
    <w:rPr>
      <w:rFonts w:ascii="Symbol" w:hAnsi="Symbol" w:cs="Symbol"/>
    </w:rPr>
  </w:style>
  <w:style w:type="character" w:styleId="Policepardfaut">
    <w:name w:val="Police par défaut"/>
    <w:qFormat/>
    <w:rPr/>
  </w:style>
  <w:style w:type="character" w:styleId="FootnoteCharacters">
    <w:name w:val="Footnote Characters"/>
    <w:qFormat/>
    <w:rPr>
      <w:vertAlign w:val="superscript"/>
    </w:rPr>
  </w:style>
  <w:style w:type="character" w:styleId="PageNumber">
    <w:name w:val="page number"/>
    <w:basedOn w:val="Policepardfaut"/>
    <w:rPr/>
  </w:style>
  <w:style w:type="character" w:styleId="PieddepageCar">
    <w:name w:val="Pied de page Car"/>
    <w:qFormat/>
    <w:rPr>
      <w:color w:val="00FFFF"/>
      <w:sz w:val="24"/>
      <w:szCs w:val="24"/>
      <w:lang w:val="fr-F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both"/>
    </w:pPr>
    <w:rPr>
      <w:i/>
      <w:iCs/>
      <w:color w:val="00000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next w:val="Normal"/>
    <w:pPr>
      <w:widowControl/>
      <w:bidi w:val="0"/>
      <w:spacing w:lineRule="exact" w:line="240" w:before="0" w:after="480"/>
      <w:jc w:val="center"/>
    </w:pPr>
    <w:rPr>
      <w:rFonts w:ascii="Elite;Courier New" w:hAnsi="Elite;Courier New" w:eastAsia="Times New Roman" w:cs="Elite;Courier New"/>
      <w:color w:val="auto"/>
      <w:sz w:val="24"/>
      <w:szCs w:val="24"/>
      <w:lang w:val="fr-FR" w:bidi="ar-SA" w:eastAsia="zh-CN"/>
    </w:rPr>
  </w:style>
  <w:style w:type="paragraph" w:styleId="concerne">
    <w:name w:val="concerne"/>
    <w:basedOn w:val="Normal"/>
    <w:qFormat/>
    <w:pPr>
      <w:spacing w:before="1440" w:after="0"/>
      <w:ind w:hanging="1134" w:start="1134" w:end="0"/>
    </w:pPr>
    <w:rPr>
      <w:b/>
      <w:bCs/>
    </w:rPr>
  </w:style>
  <w:style w:type="paragraph" w:styleId="texte">
    <w:name w:val="texte"/>
    <w:basedOn w:val="Normal"/>
    <w:qFormat/>
    <w:pPr>
      <w:ind w:firstLine="1134" w:start="0" w:end="0"/>
      <w:jc w:val="both"/>
    </w:pPr>
    <w:rPr/>
  </w:style>
  <w:style w:type="paragraph" w:styleId="adresse">
    <w:name w:val="adresse"/>
    <w:basedOn w:val="Normal"/>
    <w:qFormat/>
    <w:pPr>
      <w:tabs>
        <w:tab w:val="clear" w:pos="567"/>
        <w:tab w:val="left" w:pos="4820" w:leader="none"/>
      </w:tabs>
      <w:spacing w:before="1920" w:after="0"/>
      <w:ind w:hanging="0" w:start="4820" w:end="0"/>
    </w:pPr>
    <w:rPr/>
  </w:style>
  <w:style w:type="paragraph" w:styleId="Signature1">
    <w:name w:val="Signature1"/>
    <w:basedOn w:val="Normal"/>
    <w:qFormat/>
    <w:pPr>
      <w:tabs>
        <w:tab w:val="clear" w:pos="567"/>
        <w:tab w:val="left" w:pos="5670" w:leader="none"/>
      </w:tabs>
      <w:ind w:hanging="0" w:start="5670" w:end="0"/>
    </w:pPr>
    <w:rPr/>
  </w:style>
  <w:style w:type="paragraph" w:styleId="rfrence">
    <w:name w:val="référence"/>
    <w:basedOn w:val="Normal"/>
    <w:qFormat/>
    <w:pPr/>
    <w:rPr/>
  </w:style>
  <w:style w:type="paragraph" w:styleId="rapport">
    <w:name w:val="rapport"/>
    <w:basedOn w:val="Normal"/>
    <w:qFormat/>
    <w:pPr>
      <w:ind w:hanging="0" w:start="567" w:end="0"/>
    </w:pPr>
    <w:rPr/>
  </w:style>
  <w:style w:type="paragraph" w:styleId="FootnoteText">
    <w:name w:val="footnote text"/>
    <w:basedOn w:val="Normal"/>
    <w:pPr/>
    <w:rPr>
      <w:sz w:val="20"/>
      <w:szCs w:val="20"/>
    </w:rPr>
  </w:style>
  <w:style w:type="paragraph" w:styleId="Footer">
    <w:name w:val="footer"/>
    <w:basedOn w:val="Normal"/>
    <w:pPr>
      <w:tabs>
        <w:tab w:val="clear" w:pos="567"/>
        <w:tab w:val="center" w:pos="4536" w:leader="none"/>
        <w:tab w:val="right" w:pos="9072" w:leader="none"/>
      </w:tabs>
    </w:pPr>
    <w:rPr/>
  </w:style>
  <w:style w:type="paragraph" w:styleId="Corpsdetexte2">
    <w:name w:val="Corps de texte 2"/>
    <w:basedOn w:val="Normal"/>
    <w:qFormat/>
    <w:pPr>
      <w:pBdr>
        <w:top w:val="single" w:sz="12" w:space="1" w:color="000000"/>
        <w:left w:val="single" w:sz="12" w:space="1" w:color="000000"/>
        <w:bottom w:val="single" w:sz="12" w:space="1" w:color="000000"/>
        <w:right w:val="single" w:sz="12" w:space="1" w:color="000000"/>
      </w:pBdr>
      <w:jc w:val="both"/>
    </w:pPr>
    <w:rPr>
      <w:b/>
      <w:bCs/>
      <w:color w:val="000000"/>
    </w:rPr>
  </w:style>
  <w:style w:type="paragraph" w:styleId="Corpsdetexte3">
    <w:name w:val="Corps de texte 3"/>
    <w:basedOn w:val="Normal"/>
    <w:qFormat/>
    <w:pPr/>
    <w:rPr>
      <w:i/>
      <w:iCs/>
      <w:color w:val="000000"/>
    </w:rPr>
  </w:style>
  <w:style w:type="paragraph" w:styleId="Puces1">
    <w:name w:val="Puces 1"/>
    <w:basedOn w:val="Normal"/>
    <w:qFormat/>
    <w:pPr>
      <w:numPr>
        <w:ilvl w:val="0"/>
        <w:numId w:val="3"/>
      </w:numPr>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2025-01-29T14:17:00Z</dcterms:created>
  <dc:creator>MRW</dc:creator>
  <dc:description/>
  <cp:keywords/>
  <dc:language>fr-FR</dc:language>
  <cp:lastModifiedBy>MICHAUX Gauthier</cp:lastModifiedBy>
  <cp:lastPrinted>2003-11-18T10:22:00Z</cp:lastPrinted>
  <dcterms:modified xsi:type="dcterms:W3CDTF">2025-01-29T14:19:00Z</dcterms:modified>
  <cp:revision>4</cp:revision>
  <dc:subject/>
  <dc:title>03.06.97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2a09c5-6e26-4737-a926-47ef1ab198ae_ActionId">
    <vt:lpwstr>b282f780-ec61-465e-b710-f4dca2735c89</vt:lpwstr>
  </property>
  <property fmtid="{D5CDD505-2E9C-101B-9397-08002B2CF9AE}" pid="3" name="MSIP_Label_e72a09c5-6e26-4737-a926-47ef1ab198ae_Application">
    <vt:lpwstr>Microsoft Azure Information Protection</vt:lpwstr>
  </property>
  <property fmtid="{D5CDD505-2E9C-101B-9397-08002B2CF9AE}" pid="4" name="MSIP_Label_e72a09c5-6e26-4737-a926-47ef1ab198ae_Enabled">
    <vt:lpwstr>True</vt:lpwstr>
  </property>
  <property fmtid="{D5CDD505-2E9C-101B-9397-08002B2CF9AE}" pid="5" name="MSIP_Label_e72a09c5-6e26-4737-a926-47ef1ab198ae_Extended_MSFT_Method">
    <vt:lpwstr>Automatic</vt:lpwstr>
  </property>
  <property fmtid="{D5CDD505-2E9C-101B-9397-08002B2CF9AE}" pid="6" name="MSIP_Label_e72a09c5-6e26-4737-a926-47ef1ab198ae_Name">
    <vt:lpwstr>Confidentiel</vt:lpwstr>
  </property>
  <property fmtid="{D5CDD505-2E9C-101B-9397-08002B2CF9AE}" pid="7" name="MSIP_Label_e72a09c5-6e26-4737-a926-47ef1ab198ae_Owner">
    <vt:lpwstr>gauthier.michaux@spw.wallonie.be</vt:lpwstr>
  </property>
  <property fmtid="{D5CDD505-2E9C-101B-9397-08002B2CF9AE}" pid="8" name="MSIP_Label_e72a09c5-6e26-4737-a926-47ef1ab198ae_SetDate">
    <vt:lpwstr>2019-11-27T14:20:43.8170347Z</vt:lpwstr>
  </property>
  <property fmtid="{D5CDD505-2E9C-101B-9397-08002B2CF9AE}" pid="9" name="MSIP_Label_e72a09c5-6e26-4737-a926-47ef1ab198ae_SiteId">
    <vt:lpwstr>1f816a84-7aa6-4a56-b22a-7b3452fa8681</vt:lpwstr>
  </property>
  <property fmtid="{D5CDD505-2E9C-101B-9397-08002B2CF9AE}" pid="10" name="Sensitivity">
    <vt:lpwstr>Confidentiel</vt:lpwstr>
  </property>
</Properties>
</file>