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top w:val="double" w:sz="4" w:space="1" w:color="000000"/>
          <w:left w:val="double" w:sz="4" w:space="4" w:color="000000"/>
          <w:bottom w:val="double" w:sz="4" w:space="1" w:color="000000"/>
          <w:right w:val="double" w:sz="4" w:space="4" w:color="000000"/>
        </w:pBdr>
        <w:spacing w:lineRule="atLeast" w:line="300"/>
        <w:jc w:val="center"/>
        <w:rPr>
          <w:b/>
          <w:color w:val="000000"/>
          <w:sz w:val="28"/>
        </w:rPr>
      </w:pPr>
      <w:r>
        <w:rPr>
          <w:b/>
          <w:caps/>
          <w:color w:val="000000"/>
          <w:sz w:val="28"/>
        </w:rPr>
        <w:t xml:space="preserve">Précisions et commentaires relatifs àU chapitre E </w:t>
        <w:br/>
        <w:t>– Terrassements généraux et particuliers du CCT QUALIROUTES</w:t>
      </w:r>
    </w:p>
    <w:p>
      <w:pPr>
        <w:pStyle w:val="Normal"/>
        <w:spacing w:lineRule="atLeast" w:line="300"/>
        <w:jc w:val="both"/>
        <w:rPr>
          <w:b/>
          <w:color w:val="000000"/>
          <w:sz w:val="28"/>
        </w:rPr>
      </w:pPr>
      <w:r>
        <w:rPr>
          <w:b/>
          <w:color w:val="000000"/>
          <w:sz w:val="28"/>
        </w:rPr>
      </w:r>
    </w:p>
    <w:p>
      <w:pPr>
        <w:pStyle w:val="Normal"/>
        <w:spacing w:lineRule="atLeast" w:line="300"/>
        <w:jc w:val="both"/>
        <w:rPr>
          <w:color w:val="000000"/>
        </w:rPr>
      </w:pPr>
      <w:r>
        <w:rPr>
          <w:color w:val="000000"/>
        </w:rPr>
      </w:r>
    </w:p>
    <w:p>
      <w:pPr>
        <w:pStyle w:val="Heading1"/>
        <w:ind w:hanging="0" w:start="0"/>
        <w:rPr>
          <w:caps w:val="false"/>
          <w:smallCaps w:val="false"/>
        </w:rPr>
      </w:pPr>
      <w:r>
        <w:rPr>
          <w:caps w:val="false"/>
          <w:smallCaps w:val="false"/>
        </w:rPr>
        <w:t xml:space="preserve">E. 1.1.1.1. RABATTEMENT PROVISOIRE DE LA NAPPE AQUIFÈRE </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jc w:val="both"/>
        <w:rPr>
          <w:color w:val="000000"/>
        </w:rPr>
      </w:pPr>
      <w:r>
        <w:rPr>
          <w:color w:val="000000"/>
        </w:rPr>
        <w:t>Fournir les données de calcul des travaux de rabattement.</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caps w:val="false"/>
          <w:smallCaps w:val="false"/>
        </w:rPr>
      </w:pPr>
      <w:r>
        <w:rPr>
          <w:caps w:val="false"/>
          <w:smallCaps w:val="false"/>
        </w:rPr>
        <w:t>E. 1.1.2. RABATTEMENT DE LA NAPPE AQUIFÈRE – PAIEMENT</w:t>
      </w:r>
    </w:p>
    <w:p>
      <w:pPr>
        <w:pStyle w:val="Normal"/>
        <w:spacing w:lineRule="atLeast" w:line="300"/>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jc w:val="both"/>
        <w:rPr>
          <w:color w:val="000000"/>
        </w:rPr>
      </w:pPr>
      <w:r>
        <w:rPr>
          <w:color w:val="000000"/>
        </w:rPr>
        <w:t>Indiquer le mode de paiement des travaux de rabattement.</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caps w:val="false"/>
          <w:smallCaps w:val="false"/>
        </w:rPr>
      </w:pPr>
      <w:r>
        <w:rPr>
          <w:caps w:val="false"/>
          <w:smallCaps w:val="false"/>
        </w:rPr>
        <w:t>E. 1.2. TRAVAUX PRÉLIMINAIRES - TERRASSEMENTS POUR LOCALISATION D'INSTALLATIONS EXISTANTES</w:t>
      </w:r>
    </w:p>
    <w:p>
      <w:pPr>
        <w:pStyle w:val="Normal"/>
        <w:jc w:val="both"/>
        <w:rPr>
          <w:b/>
          <w:color w:val="000000"/>
        </w:rPr>
      </w:pPr>
      <w:r>
        <w:rPr>
          <w:b/>
          <w:color w:val="000000"/>
        </w:rPr>
      </w:r>
    </w:p>
    <w:p>
      <w:pPr>
        <w:pStyle w:val="Normal"/>
        <w:pBdr>
          <w:top w:val="single" w:sz="12" w:space="1" w:color="000000"/>
          <w:left w:val="single" w:sz="12" w:space="4" w:color="000000"/>
          <w:bottom w:val="single" w:sz="12" w:space="1" w:color="000000"/>
          <w:right w:val="single" w:sz="12" w:space="4" w:color="000000"/>
        </w:pBdr>
        <w:jc w:val="both"/>
        <w:rPr/>
      </w:pPr>
      <w:r>
        <w:rPr>
          <w:color w:val="000000"/>
        </w:rPr>
        <w:t>Indiquer dans les documents du marché la localisation des installations existantes conformément aux prescriptions du document de référence QUALIROUTES-A-5 cité à l’</w:t>
      </w:r>
      <w:r>
        <w:rPr>
          <w:color w:val="0000FF"/>
        </w:rPr>
        <w:t>article 30 § 2 du chapitre A</w:t>
      </w:r>
      <w:r>
        <w:rPr>
          <w:color w:val="000000"/>
        </w:rPr>
        <w:t>.</w:t>
      </w:r>
    </w:p>
    <w:p>
      <w:pPr>
        <w:pStyle w:val="Normal"/>
        <w:pBdr>
          <w:top w:val="single" w:sz="12" w:space="1" w:color="000000"/>
          <w:left w:val="single" w:sz="12" w:space="4" w:color="000000"/>
          <w:bottom w:val="single" w:sz="12" w:space="1" w:color="000000"/>
          <w:right w:val="single" w:sz="12" w:space="4" w:color="000000"/>
        </w:pBdr>
        <w:jc w:val="both"/>
        <w:rPr>
          <w:color w:val="000000"/>
        </w:rPr>
      </w:pPr>
      <w:r>
        <w:rPr>
          <w:color w:val="000000"/>
        </w:rPr>
        <w:t>Prévoir éventuellement une somme à valoir et des heures de régie pour le repérage par fouilles de reconnaissance.</w:t>
      </w:r>
    </w:p>
    <w:p>
      <w:pPr>
        <w:pStyle w:val="Normal"/>
        <w:jc w:val="both"/>
        <w:rPr>
          <w:color w:val="000000"/>
        </w:rPr>
      </w:pPr>
      <w:r>
        <w:rPr>
          <w:color w:val="000000"/>
        </w:rPr>
      </w:r>
    </w:p>
    <w:p>
      <w:pPr>
        <w:pStyle w:val="Normal"/>
        <w:jc w:val="both"/>
        <w:rPr>
          <w:b/>
          <w:color w:val="000000"/>
        </w:rPr>
      </w:pPr>
      <w:r>
        <w:rPr>
          <w:b/>
          <w:color w:val="000000"/>
        </w:rPr>
      </w:r>
    </w:p>
    <w:p>
      <w:pPr>
        <w:pStyle w:val="Heading1"/>
        <w:ind w:hanging="0" w:start="0"/>
        <w:rPr>
          <w:caps w:val="false"/>
          <w:smallCaps w:val="false"/>
        </w:rPr>
      </w:pPr>
      <w:r>
        <w:rPr>
          <w:caps w:val="false"/>
          <w:smallCaps w:val="false"/>
        </w:rPr>
        <w:t>E. 2.1.2. DÉBLAIS DE TERRE DE RETROUSSEMENT</w:t>
      </w:r>
    </w:p>
    <w:p>
      <w:pPr>
        <w:pStyle w:val="Normal"/>
        <w:jc w:val="both"/>
        <w:rPr>
          <w:b/>
          <w:color w:val="000000"/>
        </w:rPr>
      </w:pPr>
      <w:r>
        <w:rPr>
          <w:b/>
          <w:color w:val="000000"/>
        </w:rPr>
      </w:r>
    </w:p>
    <w:p>
      <w:pPr>
        <w:pStyle w:val="Puces2"/>
        <w:numPr>
          <w:ilvl w:val="0"/>
          <w:numId w:val="3"/>
        </w:numPr>
        <w:tabs>
          <w:tab w:val="clear" w:pos="284"/>
          <w:tab w:val="left" w:pos="360" w:leader="none"/>
        </w:tabs>
        <w:ind w:hanging="360" w:start="360"/>
        <w:rPr/>
      </w:pPr>
      <w:r>
        <w:rPr/>
        <w:t>Indiquer le cas échéant l'épaisseur de la terre de retroussement.</w:t>
      </w:r>
    </w:p>
    <w:p>
      <w:pPr>
        <w:pStyle w:val="Puces2"/>
        <w:numPr>
          <w:ilvl w:val="0"/>
          <w:numId w:val="3"/>
        </w:numPr>
        <w:tabs>
          <w:tab w:val="clear" w:pos="284"/>
          <w:tab w:val="left" w:pos="360" w:leader="none"/>
        </w:tabs>
        <w:ind w:hanging="360" w:start="360"/>
        <w:rPr>
          <w:b/>
        </w:rPr>
      </w:pPr>
      <w:r>
        <w:rPr/>
        <w:t xml:space="preserve">Indiquer le cas échéant les lieux de dépôt. </w:t>
      </w:r>
    </w:p>
    <w:p>
      <w:pPr>
        <w:pStyle w:val="Normal"/>
        <w:jc w:val="both"/>
        <w:rPr>
          <w:b/>
          <w:color w:val="000000"/>
        </w:rPr>
      </w:pPr>
      <w:r>
        <w:rPr>
          <w:b/>
          <w:color w:val="000000"/>
        </w:rPr>
      </w:r>
    </w:p>
    <w:p>
      <w:pPr>
        <w:pStyle w:val="Normal"/>
        <w:jc w:val="both"/>
        <w:rPr>
          <w:b/>
          <w:color w:val="000000"/>
        </w:rPr>
      </w:pPr>
      <w:r>
        <w:rPr>
          <w:b/>
          <w:color w:val="000000"/>
        </w:rPr>
      </w:r>
    </w:p>
    <w:p>
      <w:pPr>
        <w:pStyle w:val="Heading1"/>
        <w:ind w:hanging="0" w:start="0"/>
        <w:rPr>
          <w:caps w:val="false"/>
          <w:smallCaps w:val="false"/>
        </w:rPr>
      </w:pPr>
      <w:r>
        <w:rPr>
          <w:caps w:val="false"/>
          <w:smallCaps w:val="false"/>
        </w:rPr>
        <w:t>E. 2.2. DÉBLAIS GÉNÉRAUX</w:t>
      </w:r>
    </w:p>
    <w:p>
      <w:pPr>
        <w:pStyle w:val="Normal"/>
        <w:jc w:val="both"/>
        <w:rPr>
          <w:b/>
          <w:color w:val="000000"/>
        </w:rPr>
      </w:pPr>
      <w:r>
        <w:rPr>
          <w:b/>
          <w:color w:val="000000"/>
        </w:rPr>
      </w:r>
    </w:p>
    <w:p>
      <w:pPr>
        <w:pStyle w:val="Puces2"/>
        <w:numPr>
          <w:ilvl w:val="0"/>
          <w:numId w:val="3"/>
        </w:numPr>
        <w:ind w:hanging="360" w:start="360"/>
        <w:rPr/>
      </w:pPr>
      <w:r>
        <w:rPr/>
        <w:t>Préciser la nature du terrain à déblayer (meuble, rocheux ou compact).</w:t>
      </w:r>
    </w:p>
    <w:p>
      <w:pPr>
        <w:pStyle w:val="Puces2"/>
        <w:numPr>
          <w:ilvl w:val="0"/>
          <w:numId w:val="3"/>
        </w:numPr>
        <w:ind w:hanging="360" w:start="360"/>
        <w:rPr/>
      </w:pPr>
      <w:r>
        <w:rPr/>
        <w:t>Indiquer le cas échéant les lieux de dépôt.</w:t>
      </w:r>
    </w:p>
    <w:p>
      <w:pPr>
        <w:pStyle w:val="Normal"/>
        <w:jc w:val="both"/>
        <w:rPr>
          <w:b/>
          <w:color w:val="000000"/>
        </w:rPr>
      </w:pPr>
      <w:r>
        <w:rPr>
          <w:b/>
          <w:color w:val="000000"/>
        </w:rPr>
      </w:r>
    </w:p>
    <w:p>
      <w:pPr>
        <w:pStyle w:val="Normal"/>
        <w:jc w:val="both"/>
        <w:rPr>
          <w:b/>
          <w:color w:val="000000"/>
        </w:rPr>
      </w:pPr>
      <w:r>
        <w:rPr>
          <w:b/>
          <w:color w:val="000000"/>
        </w:rPr>
      </w:r>
    </w:p>
    <w:p>
      <w:pPr>
        <w:pStyle w:val="Heading1"/>
        <w:ind w:hanging="0" w:start="0"/>
        <w:rPr>
          <w:caps w:val="false"/>
          <w:smallCaps w:val="false"/>
        </w:rPr>
      </w:pPr>
      <w:r>
        <w:rPr>
          <w:caps w:val="false"/>
          <w:smallCaps w:val="false"/>
        </w:rPr>
        <w:t>E. 2.2.1. DÉBLAIS GÉNÉRAUX - DESCRIPTION</w:t>
      </w:r>
    </w:p>
    <w:p>
      <w:pPr>
        <w:pStyle w:val="Normal"/>
        <w:jc w:val="both"/>
        <w:rPr>
          <w:b/>
          <w:color w:val="000000"/>
        </w:rPr>
      </w:pPr>
      <w:r>
        <w:rPr>
          <w:b/>
          <w:color w:val="000000"/>
        </w:rPr>
      </w:r>
    </w:p>
    <w:p>
      <w:pPr>
        <w:pStyle w:val="BodyText"/>
        <w:rPr/>
      </w:pPr>
      <w:r>
        <w:rPr/>
        <w:t>Le CCT QUALIROUTES ne prévoit pas la notion de terrain réputé rocheux. L'auteur de projet doit donc évaluer sur base d'études géotechniques les quantités présumées de terrassement à effectuer en sol meuble, rocheux et/ou compact et ce, conformément au document de référence QUALIROUTES-A-8.</w:t>
      </w:r>
    </w:p>
    <w:p>
      <w:pPr>
        <w:pStyle w:val="Normal"/>
        <w:jc w:val="both"/>
        <w:rPr>
          <w:i/>
          <w:color w:val="000000"/>
        </w:rPr>
      </w:pPr>
      <w:r>
        <w:rPr>
          <w:i/>
          <w:color w:val="000000"/>
        </w:rPr>
      </w:r>
    </w:p>
    <w:p>
      <w:pPr>
        <w:pStyle w:val="Normal"/>
        <w:jc w:val="both"/>
        <w:rPr>
          <w:i/>
          <w:color w:val="000000"/>
        </w:rPr>
      </w:pPr>
      <w:r>
        <w:rPr>
          <w:i/>
          <w:color w:val="000000"/>
        </w:rPr>
      </w:r>
    </w:p>
    <w:p>
      <w:pPr>
        <w:pStyle w:val="Normal"/>
        <w:numPr>
          <w:ilvl w:val="0"/>
          <w:numId w:val="0"/>
        </w:numPr>
        <w:spacing w:lineRule="atLeast" w:line="300"/>
        <w:jc w:val="both"/>
        <w:outlineLvl w:val="0"/>
        <w:rPr>
          <w:b/>
          <w:caps/>
          <w:color w:val="000000"/>
        </w:rPr>
      </w:pPr>
      <w:r>
        <w:rPr>
          <w:b/>
          <w:caps/>
          <w:color w:val="000000"/>
        </w:rPr>
        <w:t>E. 2.2.2.3. PORTANCE DU FOND DE COFFRE</w:t>
      </w:r>
    </w:p>
    <w:p>
      <w:pPr>
        <w:pStyle w:val="Normal"/>
        <w:spacing w:before="1" w:after="0"/>
        <w:jc w:val="both"/>
        <w:rPr>
          <w:b/>
          <w:i/>
          <w:caps/>
          <w:color w:val="000000"/>
        </w:rPr>
      </w:pPr>
      <w:r>
        <w:rPr>
          <w:b/>
          <w:i/>
          <w:caps/>
          <w:color w:val="000000"/>
        </w:rPr>
      </w:r>
    </w:p>
    <w:p>
      <w:pPr>
        <w:pStyle w:val="Normal"/>
        <w:jc w:val="both"/>
        <w:rPr/>
      </w:pPr>
      <w:r>
        <w:rPr>
          <w:i/>
          <w:color w:val="000000"/>
        </w:rPr>
        <w:t xml:space="preserve">En cas de portance naturelle inférieure aux valeurs requises (E. 3.3.3.1.), si l'auteur de projet prévoit d'autres dispositions que celles prévues au F. 2., il doit les décrire. A titre d'exemple, ces dispositions peuvent être un épaississement de la sous-fondation, la mise en œuvre de pieux, etc. </w:t>
      </w:r>
    </w:p>
    <w:p>
      <w:pPr>
        <w:pStyle w:val="Normal"/>
        <w:jc w:val="both"/>
        <w:rPr>
          <w:i/>
          <w:color w:val="000000"/>
        </w:rPr>
      </w:pPr>
      <w:r>
        <w:rPr>
          <w:i/>
          <w:color w:val="000000"/>
        </w:rPr>
      </w:r>
    </w:p>
    <w:p>
      <w:pPr>
        <w:pStyle w:val="Normal"/>
        <w:pBdr>
          <w:top w:val="single" w:sz="12" w:space="1" w:color="000000"/>
          <w:left w:val="single" w:sz="12" w:space="4" w:color="000000"/>
          <w:bottom w:val="single" w:sz="12" w:space="1" w:color="000000"/>
          <w:right w:val="single" w:sz="12" w:space="4" w:color="000000"/>
        </w:pBdr>
        <w:jc w:val="both"/>
        <w:rPr/>
      </w:pPr>
      <w:r>
        <w:rPr>
          <w:color w:val="000000"/>
        </w:rPr>
        <w:t xml:space="preserve">Le  cas échéant, décrire les dispositions particulières prévues par l'auteur de projet dans le cas d'une portance naturelle inférieure aux valeurs requises (E. 3.3.3.1.).  </w:t>
      </w:r>
    </w:p>
    <w:p>
      <w:pPr>
        <w:pStyle w:val="Normal"/>
        <w:jc w:val="both"/>
        <w:rPr>
          <w:color w:val="000000"/>
        </w:rPr>
      </w:pPr>
      <w:r>
        <w:rPr>
          <w:color w:val="000000"/>
        </w:rPr>
      </w:r>
    </w:p>
    <w:p>
      <w:pPr>
        <w:pStyle w:val="Normal"/>
        <w:jc w:val="both"/>
        <w:rPr>
          <w:color w:val="000000"/>
        </w:rPr>
      </w:pPr>
      <w:r>
        <w:rPr>
          <w:color w:val="000000"/>
        </w:rPr>
      </w:r>
    </w:p>
    <w:p>
      <w:pPr>
        <w:pStyle w:val="Normal"/>
        <w:numPr>
          <w:ilvl w:val="0"/>
          <w:numId w:val="0"/>
        </w:numPr>
        <w:spacing w:lineRule="atLeast" w:line="300"/>
        <w:jc w:val="both"/>
        <w:outlineLvl w:val="0"/>
        <w:rPr>
          <w:b/>
          <w:caps/>
          <w:color w:val="000000"/>
        </w:rPr>
      </w:pPr>
      <w:r>
        <w:rPr>
          <w:b/>
          <w:caps/>
          <w:color w:val="000000"/>
        </w:rPr>
        <w:t>E. 2.2.4. VERIFICATIONS</w:t>
      </w:r>
    </w:p>
    <w:p>
      <w:pPr>
        <w:pStyle w:val="Normal"/>
        <w:jc w:val="both"/>
        <w:rPr>
          <w:b/>
          <w:caps/>
          <w:color w:val="000000"/>
        </w:rPr>
      </w:pPr>
      <w:r>
        <w:rPr>
          <w:b/>
          <w:caps/>
          <w:color w:val="000000"/>
        </w:rPr>
      </w:r>
    </w:p>
    <w:p>
      <w:pPr>
        <w:pStyle w:val="Normal"/>
        <w:pBdr>
          <w:top w:val="single" w:sz="12" w:space="1" w:color="000000"/>
          <w:left w:val="single" w:sz="12" w:space="4" w:color="000000"/>
          <w:bottom w:val="single" w:sz="12" w:space="1" w:color="000000"/>
          <w:right w:val="single" w:sz="12" w:space="4" w:color="000000"/>
        </w:pBdr>
        <w:jc w:val="both"/>
        <w:rPr/>
      </w:pPr>
      <w:r>
        <w:rPr>
          <w:color w:val="000000"/>
        </w:rPr>
        <w:t xml:space="preserve">Préciser la densité minimale d'essais de vérification. </w:t>
      </w:r>
    </w:p>
    <w:p>
      <w:pPr>
        <w:pStyle w:val="Normal"/>
        <w:jc w:val="both"/>
        <w:rPr>
          <w:i/>
          <w:color w:val="000000"/>
        </w:rPr>
      </w:pPr>
      <w:r>
        <w:rPr>
          <w:i/>
          <w:color w:val="000000"/>
        </w:rPr>
      </w:r>
    </w:p>
    <w:p>
      <w:pPr>
        <w:pStyle w:val="Normal"/>
        <w:jc w:val="both"/>
        <w:rPr>
          <w:i/>
          <w:color w:val="000000"/>
        </w:rPr>
      </w:pPr>
      <w:r>
        <w:rPr>
          <w:i/>
          <w:color w:val="000000"/>
        </w:rPr>
      </w:r>
    </w:p>
    <w:p>
      <w:pPr>
        <w:pStyle w:val="Heading1"/>
        <w:keepNext w:val="true"/>
        <w:ind w:hanging="0" w:start="0"/>
        <w:rPr>
          <w:caps w:val="false"/>
          <w:smallCaps w:val="false"/>
        </w:rPr>
      </w:pPr>
      <w:r>
        <w:rPr>
          <w:caps w:val="false"/>
          <w:smallCaps w:val="false"/>
        </w:rPr>
        <w:t>E. 3.1.2. REMBLAIS DE TERRE POUR GAZONNEMENT ET PLANTATIONS – CLAUSES TECHNIQUES</w:t>
      </w:r>
    </w:p>
    <w:p>
      <w:pPr>
        <w:pStyle w:val="Normal"/>
        <w:keepNext w:val="true"/>
        <w:jc w:val="both"/>
        <w:rPr>
          <w:b/>
          <w:color w:val="000000"/>
        </w:rPr>
      </w:pPr>
      <w:r>
        <w:rPr>
          <w:b/>
          <w:color w:val="000000"/>
        </w:rPr>
      </w:r>
    </w:p>
    <w:p>
      <w:pPr>
        <w:pStyle w:val="Puces2"/>
        <w:keepNext w:val="true"/>
        <w:numPr>
          <w:ilvl w:val="0"/>
          <w:numId w:val="3"/>
        </w:numPr>
        <w:tabs>
          <w:tab w:val="clear" w:pos="284"/>
          <w:tab w:val="left" w:pos="360" w:leader="none"/>
        </w:tabs>
        <w:ind w:hanging="360" w:start="360"/>
        <w:rPr/>
      </w:pPr>
      <w:r>
        <w:rPr/>
        <w:t>Indiquer l'origine et la nature des terres de retroussement et des terres pour gazonnements et plantations.</w:t>
      </w:r>
    </w:p>
    <w:p>
      <w:pPr>
        <w:pStyle w:val="Puces2"/>
        <w:keepNext w:val="true"/>
        <w:numPr>
          <w:ilvl w:val="0"/>
          <w:numId w:val="3"/>
        </w:numPr>
        <w:tabs>
          <w:tab w:val="clear" w:pos="284"/>
          <w:tab w:val="left" w:pos="360" w:leader="none"/>
        </w:tabs>
        <w:ind w:hanging="360" w:start="360"/>
        <w:rPr/>
      </w:pPr>
      <w:r>
        <w:rPr/>
        <w:t>Indiquer le cas échéant les lieux du dépôt.</w:t>
      </w:r>
    </w:p>
    <w:p>
      <w:pPr>
        <w:pStyle w:val="Puces2"/>
        <w:keepNext w:val="true"/>
        <w:numPr>
          <w:ilvl w:val="0"/>
          <w:numId w:val="3"/>
        </w:numPr>
        <w:tabs>
          <w:tab w:val="clear" w:pos="284"/>
          <w:tab w:val="left" w:pos="360" w:leader="none"/>
        </w:tabs>
        <w:ind w:hanging="360" w:start="360"/>
        <w:rPr/>
      </w:pPr>
      <w:r>
        <w:rPr/>
        <w:t>Indiquer le cas échéant l’épaisseur des remblais.</w:t>
      </w:r>
    </w:p>
    <w:p>
      <w:pPr>
        <w:pStyle w:val="Puces2"/>
        <w:keepNext w:val="true"/>
        <w:numPr>
          <w:ilvl w:val="0"/>
          <w:numId w:val="3"/>
        </w:numPr>
        <w:tabs>
          <w:tab w:val="clear" w:pos="284"/>
          <w:tab w:val="left" w:pos="360" w:leader="none"/>
        </w:tabs>
        <w:ind w:hanging="360" w:start="360"/>
        <w:rPr/>
      </w:pPr>
      <w:r>
        <w:rPr/>
        <w:t xml:space="preserve">Le cas échéant, indiquer au </w:t>
      </w:r>
      <w:r>
        <w:rPr>
          <w:color w:val="0000FF"/>
        </w:rPr>
        <w:t>C. 2.3.1.2</w:t>
      </w:r>
      <w:r>
        <w:rPr/>
        <w:t xml:space="preserve"> le pH admissible.</w:t>
      </w:r>
    </w:p>
    <w:p>
      <w:pPr>
        <w:pStyle w:val="Puces2"/>
        <w:keepNext w:val="true"/>
        <w:numPr>
          <w:ilvl w:val="0"/>
          <w:numId w:val="3"/>
        </w:numPr>
        <w:tabs>
          <w:tab w:val="clear" w:pos="284"/>
          <w:tab w:val="left" w:pos="360" w:leader="none"/>
        </w:tabs>
        <w:ind w:hanging="360" w:start="360"/>
        <w:rPr/>
      </w:pPr>
      <w:r>
        <w:rPr/>
        <w:t xml:space="preserve">Le cas échéant, indiquer au </w:t>
      </w:r>
      <w:r>
        <w:rPr>
          <w:color w:val="0000FF"/>
        </w:rPr>
        <w:t>C. 2.3.1.3</w:t>
      </w:r>
      <w:r>
        <w:rPr/>
        <w:t xml:space="preserve"> si des terres de substitution peuvent être utilisées.</w:t>
      </w:r>
    </w:p>
    <w:p>
      <w:pPr>
        <w:pStyle w:val="Normal"/>
        <w:jc w:val="both"/>
        <w:rPr>
          <w:b/>
          <w:color w:val="000000"/>
        </w:rPr>
      </w:pPr>
      <w:r>
        <w:rPr>
          <w:b/>
          <w:color w:val="000000"/>
        </w:rPr>
      </w:r>
    </w:p>
    <w:p>
      <w:pPr>
        <w:pStyle w:val="Normal"/>
        <w:jc w:val="both"/>
        <w:rPr>
          <w:b/>
          <w:color w:val="000000"/>
        </w:rPr>
      </w:pPr>
      <w:r>
        <w:rPr>
          <w:b/>
          <w:color w:val="000000"/>
        </w:rPr>
      </w:r>
    </w:p>
    <w:p>
      <w:pPr>
        <w:pStyle w:val="Heading1"/>
        <w:ind w:hanging="0" w:start="0"/>
        <w:rPr>
          <w:caps w:val="false"/>
          <w:smallCaps w:val="false"/>
        </w:rPr>
      </w:pPr>
      <w:r>
        <w:rPr>
          <w:caps w:val="false"/>
          <w:smallCaps w:val="false"/>
        </w:rPr>
        <w:t>E. 3.2.2. GEOGRILLE/GEOTEXTILE DE RENFORCEMENT</w:t>
      </w:r>
    </w:p>
    <w:p>
      <w:pPr>
        <w:pStyle w:val="Corpsdetexte3"/>
        <w:jc w:val="both"/>
        <w:rPr/>
      </w:pPr>
      <w:r>
        <w:rPr/>
      </w:r>
    </w:p>
    <w:p>
      <w:pPr>
        <w:pStyle w:val="Corpsdetexte3"/>
        <w:jc w:val="both"/>
        <w:rPr/>
      </w:pPr>
      <w:r>
        <w:rPr/>
        <w:t xml:space="preserve">Si le sol est compressible ou si le remblai qui vient au-dessus de la géogrille de renforcement, la note de calcul du renforcement doit donner les caractéristiques minimales de la géogrille et celles-ci doivent être précisées au </w:t>
      </w:r>
      <w:r>
        <w:rPr>
          <w:color w:val="0000FF"/>
        </w:rPr>
        <w:t>C. 27</w:t>
      </w:r>
      <w:r>
        <w:rPr/>
        <w:t>.</w:t>
      </w:r>
    </w:p>
    <w:p>
      <w:pPr>
        <w:pStyle w:val="Corpsdetexte3"/>
        <w:jc w:val="both"/>
        <w:rPr>
          <w:i w:val="false"/>
        </w:rPr>
      </w:pPr>
      <w:r>
        <w:rPr>
          <w:i w:val="false"/>
        </w:rPr>
      </w:r>
    </w:p>
    <w:p>
      <w:pPr>
        <w:pStyle w:val="Normal"/>
        <w:pBdr>
          <w:top w:val="single" w:sz="12" w:space="1" w:color="000000"/>
          <w:left w:val="single" w:sz="12" w:space="4" w:color="000000"/>
          <w:bottom w:val="single" w:sz="12" w:space="1" w:color="000000"/>
          <w:right w:val="single" w:sz="12" w:space="4" w:color="000000"/>
        </w:pBdr>
        <w:jc w:val="both"/>
        <w:rPr>
          <w:color w:val="000000"/>
        </w:rPr>
      </w:pPr>
      <w:r>
        <w:rPr>
          <w:color w:val="000000"/>
        </w:rPr>
        <w:t>Pour un géotextile de renforcement, une note de calcul doit nécessairement dimensionner ce dernier. Le cas échéant, définir la direction de pose et la valeur de recouvrement si elle diffère de la valeur par défaut.</w:t>
      </w:r>
    </w:p>
    <w:p>
      <w:pPr>
        <w:pStyle w:val="Normal"/>
        <w:jc w:val="both"/>
        <w:rPr>
          <w:b/>
          <w:color w:val="000000"/>
        </w:rPr>
      </w:pPr>
      <w:r>
        <w:rPr>
          <w:b/>
          <w:color w:val="000000"/>
        </w:rPr>
      </w:r>
    </w:p>
    <w:p>
      <w:pPr>
        <w:pStyle w:val="Normal"/>
        <w:jc w:val="both"/>
        <w:rPr>
          <w:b/>
          <w:color w:val="000000"/>
        </w:rPr>
      </w:pPr>
      <w:r>
        <w:rPr>
          <w:b/>
          <w:color w:val="000000"/>
        </w:rPr>
      </w:r>
    </w:p>
    <w:p>
      <w:pPr>
        <w:pStyle w:val="Heading1"/>
        <w:ind w:hanging="0" w:start="0"/>
        <w:rPr>
          <w:caps w:val="false"/>
          <w:smallCaps w:val="false"/>
        </w:rPr>
      </w:pPr>
      <w:r>
        <w:rPr>
          <w:caps w:val="false"/>
          <w:smallCaps w:val="false"/>
        </w:rPr>
        <w:t>E. 3.2.3. REMPLACEMENT DE SOLS IMPROPRES À CONSTITUER L’ASSISE DES REMBLAIS – CLAUSES TECHNIQUES</w:t>
      </w:r>
    </w:p>
    <w:p>
      <w:pPr>
        <w:pStyle w:val="Normal"/>
        <w:jc w:val="both"/>
        <w:rPr>
          <w:b/>
          <w:color w:val="000000"/>
        </w:rPr>
      </w:pPr>
      <w:r>
        <w:rPr>
          <w:b/>
          <w:color w:val="000000"/>
        </w:rPr>
      </w:r>
    </w:p>
    <w:p>
      <w:pPr>
        <w:pStyle w:val="Normal"/>
        <w:pBdr>
          <w:top w:val="single" w:sz="12" w:space="1" w:color="000000"/>
          <w:left w:val="single" w:sz="12" w:space="4" w:color="000000"/>
          <w:bottom w:val="single" w:sz="12" w:space="1" w:color="000000"/>
          <w:right w:val="single" w:sz="12" w:space="4" w:color="000000"/>
        </w:pBdr>
        <w:jc w:val="both"/>
        <w:rPr>
          <w:color w:val="000000"/>
        </w:rPr>
      </w:pPr>
      <w:r>
        <w:rPr>
          <w:color w:val="000000"/>
        </w:rPr>
        <w:t>Le cas échéant, indiquer l’épaisseur du terrain impropre à remplacer.</w:t>
      </w:r>
    </w:p>
    <w:p>
      <w:pPr>
        <w:pStyle w:val="Normal"/>
        <w:jc w:val="both"/>
        <w:rPr>
          <w:b/>
          <w:color w:val="000000"/>
        </w:rPr>
      </w:pPr>
      <w:r>
        <w:rPr>
          <w:b/>
          <w:color w:val="000000"/>
        </w:rPr>
      </w:r>
    </w:p>
    <w:p>
      <w:pPr>
        <w:pStyle w:val="Normal"/>
        <w:jc w:val="both"/>
        <w:rPr>
          <w:b/>
          <w:color w:val="000000"/>
        </w:rPr>
      </w:pPr>
      <w:r>
        <w:rPr>
          <w:b/>
          <w:color w:val="000000"/>
        </w:rPr>
      </w:r>
    </w:p>
    <w:p>
      <w:pPr>
        <w:pStyle w:val="Normal"/>
        <w:jc w:val="both"/>
        <w:rPr>
          <w:b/>
          <w:color w:val="000000"/>
        </w:rPr>
      </w:pPr>
      <w:r>
        <w:rPr>
          <w:b/>
          <w:color w:val="000000"/>
        </w:rPr>
      </w:r>
    </w:p>
    <w:p>
      <w:pPr>
        <w:pStyle w:val="Normal"/>
        <w:jc w:val="both"/>
        <w:rPr>
          <w:b/>
          <w:color w:val="000000"/>
        </w:rPr>
      </w:pPr>
      <w:r>
        <w:rPr>
          <w:b/>
          <w:color w:val="000000"/>
        </w:rPr>
      </w:r>
    </w:p>
    <w:p>
      <w:pPr>
        <w:pStyle w:val="Normal"/>
        <w:numPr>
          <w:ilvl w:val="0"/>
          <w:numId w:val="0"/>
        </w:numPr>
        <w:spacing w:lineRule="atLeast" w:line="300"/>
        <w:jc w:val="both"/>
        <w:outlineLvl w:val="0"/>
        <w:rPr>
          <w:b/>
          <w:caps/>
          <w:color w:val="000000"/>
        </w:rPr>
      </w:pPr>
      <w:commentRangeStart w:id="0"/>
      <w:r>
        <w:rPr>
          <w:b/>
          <w:caps/>
          <w:color w:val="000000"/>
        </w:rPr>
        <w:t>E. 3.2.3.4. VERIFICATIONS</w:t>
      </w:r>
      <w:commentRangeEnd w:id="0"/>
      <w:r>
        <w:commentReference w:id="0"/>
      </w:r>
      <w:r>
        <w:rPr>
          <w:vanish w:val="false"/>
          <w:color w:val="000000"/>
          <w:sz w:val="16"/>
          <w:szCs w:val="16"/>
        </w:rPr>
      </w:r>
    </w:p>
    <w:p>
      <w:pPr>
        <w:pStyle w:val="Normal"/>
        <w:jc w:val="both"/>
        <w:rPr>
          <w:b/>
          <w:caps/>
          <w:color w:val="000000"/>
        </w:rPr>
      </w:pPr>
      <w:r>
        <w:rPr>
          <w:b/>
          <w:caps/>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 xml:space="preserve">Préciser la densité minimale d'essais de vérification </w:t>
      </w:r>
    </w:p>
    <w:p>
      <w:pPr>
        <w:pStyle w:val="Normal"/>
        <w:jc w:val="both"/>
        <w:rPr>
          <w:b/>
          <w:color w:val="000000"/>
        </w:rPr>
      </w:pPr>
      <w:r>
        <w:rPr>
          <w:b/>
          <w:color w:val="000000"/>
        </w:rPr>
      </w:r>
    </w:p>
    <w:p>
      <w:pPr>
        <w:pStyle w:val="Normal"/>
        <w:jc w:val="both"/>
        <w:rPr>
          <w:b/>
          <w:color w:val="000000"/>
        </w:rPr>
      </w:pPr>
      <w:r>
        <w:rPr>
          <w:b/>
          <w:color w:val="000000"/>
        </w:rPr>
      </w:r>
    </w:p>
    <w:p>
      <w:pPr>
        <w:pStyle w:val="Heading1"/>
        <w:ind w:hanging="0" w:start="0"/>
        <w:rPr>
          <w:caps w:val="false"/>
          <w:smallCaps w:val="false"/>
        </w:rPr>
      </w:pPr>
      <w:r>
        <w:rPr>
          <w:caps w:val="false"/>
          <w:smallCaps w:val="false"/>
        </w:rPr>
        <w:t xml:space="preserve">E. 3.3.3.1. REMBLAIS GÉNÉRAUX </w:t>
      </w:r>
    </w:p>
    <w:p>
      <w:pPr>
        <w:pStyle w:val="Normal"/>
        <w:jc w:val="both"/>
        <w:rPr>
          <w:color w:val="000000"/>
        </w:rPr>
      </w:pPr>
      <w:r>
        <w:rPr>
          <w:color w:val="000000"/>
        </w:rPr>
      </w:r>
    </w:p>
    <w:p>
      <w:pPr>
        <w:pStyle w:val="Normal"/>
        <w:numPr>
          <w:ilvl w:val="0"/>
          <w:numId w:val="3"/>
        </w:numPr>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Indiquer le cas échéant le paramètre d’évaluation de la compacité ou de la portance à atteindre pour chaque couche de remblai et pour le fond de coffre (mètre supérieur du remblai). A défaut, le paramètre est choisi par le fonctionnaire dirigeant.</w:t>
      </w:r>
    </w:p>
    <w:p>
      <w:pPr>
        <w:pStyle w:val="Normal"/>
        <w:numPr>
          <w:ilvl w:val="0"/>
          <w:numId w:val="3"/>
        </w:numPr>
        <w:pBdr>
          <w:top w:val="single" w:sz="12" w:space="1" w:color="000000"/>
          <w:left w:val="single" w:sz="12" w:space="4" w:color="000000"/>
          <w:bottom w:val="single" w:sz="12" w:space="1" w:color="000000"/>
          <w:right w:val="single" w:sz="12" w:space="4" w:color="000000"/>
        </w:pBdr>
        <w:tabs>
          <w:tab w:val="clear" w:pos="567"/>
        </w:tabs>
        <w:spacing w:lineRule="atLeast" w:line="300"/>
        <w:jc w:val="both"/>
        <w:rPr>
          <w:b/>
          <w:color w:val="000000"/>
        </w:rPr>
      </w:pPr>
      <w:r>
        <w:rPr>
          <w:color w:val="000000"/>
        </w:rPr>
        <w:t xml:space="preserve">Si aucun critère n'est prédéfini dans le tableau E. 3.3.3.1., indiquer le critère de compacité ou de portance à atteindre par le paramètre d'évaluation. </w:t>
      </w:r>
    </w:p>
    <w:p>
      <w:pPr>
        <w:pStyle w:val="Normal"/>
        <w:jc w:val="both"/>
        <w:rPr>
          <w:b/>
          <w:color w:val="000000"/>
        </w:rPr>
      </w:pPr>
      <w:r>
        <w:rPr>
          <w:b/>
          <w:color w:val="000000"/>
        </w:rPr>
      </w:r>
    </w:p>
    <w:p>
      <w:pPr>
        <w:pStyle w:val="Normal"/>
        <w:jc w:val="both"/>
        <w:rPr/>
      </w:pPr>
      <w:r>
        <w:rPr>
          <w:i/>
          <w:color w:val="000000"/>
        </w:rPr>
        <w:t xml:space="preserve">Les critères de compacité ou de portance à atteindre pour chaque couche de remblai et pour le fond de coffre (mètre supérieur du remblai) sont mentionnés au tableau E. 3.3.3.1. </w:t>
        <w:br/>
        <w:t xml:space="preserve">Toutefois, dans certains cas particuliers (matériaux grossiers, traités ou évolutifs, domaine de validité des critères dépassé pour une configuration du chantier spécifique…), le CCT QUALIROUTES ne propose pas de critères adaptés. Le cas échéant, le critère doit être défini dans les documents du marché. </w:t>
      </w:r>
    </w:p>
    <w:p>
      <w:pPr>
        <w:pStyle w:val="Normal"/>
        <w:jc w:val="both"/>
        <w:rPr>
          <w:i/>
          <w:color w:val="000000"/>
        </w:rPr>
      </w:pPr>
      <w:r>
        <w:rPr>
          <w:i/>
          <w:color w:val="000000"/>
        </w:rPr>
      </w:r>
    </w:p>
    <w:p>
      <w:pPr>
        <w:pStyle w:val="Normal"/>
        <w:jc w:val="both"/>
        <w:rPr>
          <w:color w:val="000000"/>
        </w:rPr>
      </w:pPr>
      <w:r>
        <w:rPr>
          <w:color w:val="000000"/>
        </w:rPr>
      </w:r>
    </w:p>
    <w:p>
      <w:pPr>
        <w:pStyle w:val="Normal"/>
        <w:numPr>
          <w:ilvl w:val="0"/>
          <w:numId w:val="0"/>
        </w:numPr>
        <w:spacing w:lineRule="atLeast" w:line="300"/>
        <w:jc w:val="both"/>
        <w:outlineLvl w:val="0"/>
        <w:rPr>
          <w:b/>
          <w:caps/>
          <w:color w:val="000000"/>
        </w:rPr>
      </w:pPr>
      <w:commentRangeStart w:id="1"/>
      <w:r>
        <w:rPr>
          <w:b/>
          <w:caps/>
          <w:color w:val="000000"/>
        </w:rPr>
        <w:t>E. 3.3.4. VERIFICATIONS</w:t>
      </w:r>
      <w:commentRangeEnd w:id="1"/>
      <w:r>
        <w:commentReference w:id="1"/>
      </w:r>
      <w:r>
        <w:rPr>
          <w:vanish w:val="false"/>
          <w:color w:val="000000"/>
          <w:sz w:val="16"/>
          <w:szCs w:val="16"/>
        </w:rPr>
      </w:r>
    </w:p>
    <w:p>
      <w:pPr>
        <w:pStyle w:val="Normal"/>
        <w:jc w:val="both"/>
        <w:rPr>
          <w:b/>
          <w:i/>
          <w:caps/>
          <w:color w:val="000000"/>
        </w:rPr>
      </w:pPr>
      <w:r>
        <w:rPr>
          <w:b/>
          <w:i/>
          <w:caps/>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Préciser la fréquence minimale d'essais de vérification.</w:t>
      </w:r>
    </w:p>
    <w:p>
      <w:pPr>
        <w:pStyle w:val="Normal"/>
        <w:jc w:val="both"/>
        <w:rPr>
          <w:color w:val="000000"/>
        </w:rPr>
      </w:pPr>
      <w:r>
        <w:rPr>
          <w:color w:val="000000"/>
        </w:rPr>
      </w:r>
    </w:p>
    <w:p>
      <w:pPr>
        <w:pStyle w:val="Normal"/>
        <w:jc w:val="both"/>
        <w:rPr>
          <w:i/>
          <w:color w:val="000000"/>
        </w:rPr>
      </w:pPr>
      <w:r>
        <w:rPr>
          <w:i/>
          <w:color w:val="000000"/>
        </w:rPr>
        <w:t xml:space="preserve">Pour les essais à la plaque statique sur les remblais généraux, la réalisation du deuxième cycle de chargement est obligatoire dans les cas prévus au CCT QUALIROUTES. </w:t>
      </w:r>
    </w:p>
    <w:p>
      <w:pPr>
        <w:pStyle w:val="Normal"/>
        <w:jc w:val="both"/>
        <w:rPr>
          <w:i/>
          <w:color w:val="000000"/>
        </w:rPr>
      </w:pPr>
      <w:r>
        <w:rPr>
          <w:i/>
          <w:color w:val="000000"/>
        </w:rPr>
      </w:r>
    </w:p>
    <w:p>
      <w:pPr>
        <w:pStyle w:val="Normal"/>
        <w:jc w:val="both"/>
        <w:rPr>
          <w:color w:val="000000"/>
        </w:rPr>
      </w:pPr>
      <w:r>
        <w:rPr>
          <w:color w:val="000000"/>
        </w:rPr>
      </w:r>
    </w:p>
    <w:p>
      <w:pPr>
        <w:pStyle w:val="Heading1"/>
        <w:keepNext w:val="true"/>
        <w:ind w:hanging="0" w:start="0"/>
        <w:rPr>
          <w:caps w:val="false"/>
          <w:smallCaps w:val="false"/>
        </w:rPr>
      </w:pPr>
      <w:r>
        <w:rPr>
          <w:caps w:val="false"/>
          <w:smallCaps w:val="false"/>
        </w:rPr>
        <w:t>E. 3.4. TRAITEMENT DE CERTAINS SOLS DE REMBLAI</w:t>
      </w:r>
    </w:p>
    <w:p>
      <w:pPr>
        <w:pStyle w:val="Normal"/>
        <w:keepNext w:val="true"/>
        <w:jc w:val="both"/>
        <w:rPr>
          <w:color w:val="000000"/>
        </w:rPr>
      </w:pPr>
      <w:r>
        <w:rPr>
          <w:color w:val="000000"/>
        </w:rPr>
      </w:r>
    </w:p>
    <w:p>
      <w:pPr>
        <w:pStyle w:val="Heading1"/>
        <w:keepNext w:val="true"/>
        <w:ind w:hanging="0" w:start="0"/>
        <w:rPr>
          <w:caps w:val="false"/>
          <w:smallCaps w:val="false"/>
        </w:rPr>
      </w:pPr>
      <w:r>
        <w:rPr>
          <w:caps w:val="false"/>
          <w:smallCaps w:val="false"/>
        </w:rPr>
        <w:t>E. 3.4.1. TRAITEMENT DE CERTAINS SOLS DE REMBLAI – GENERALITES</w:t>
      </w:r>
    </w:p>
    <w:p>
      <w:pPr>
        <w:pStyle w:val="Normal"/>
        <w:rPr>
          <w:caps/>
        </w:rPr>
      </w:pPr>
      <w:r>
        <w:rPr>
          <w:caps/>
        </w:rPr>
      </w:r>
    </w:p>
    <w:p>
      <w:pPr>
        <w:pStyle w:val="Puces2"/>
        <w:numPr>
          <w:ilvl w:val="0"/>
          <w:numId w:val="3"/>
        </w:numPr>
        <w:ind w:hanging="360" w:start="360"/>
        <w:rPr/>
      </w:pPr>
      <w:commentRangeStart w:id="2"/>
      <w:r>
        <w:rPr/>
        <w:t>Fournir</w:t>
      </w:r>
      <w:r>
        <w:rPr>
          <w:vanish w:val="false"/>
        </w:rPr>
      </w:r>
      <w:commentRangeEnd w:id="2"/>
      <w:r>
        <w:commentReference w:id="2"/>
      </w:r>
      <w:r>
        <w:rPr/>
        <w:t xml:space="preserve"> dans les documents de marché une étude préalable de caractérisation des sols comme reprise au E. 3.4.2.1 et indiquer la teneur en eau de référence (cfr. E. 3.4.4. Paiement).</w:t>
      </w:r>
    </w:p>
    <w:p>
      <w:pPr>
        <w:pStyle w:val="Normal"/>
        <w:rPr>
          <w:color w:val="000000"/>
        </w:rPr>
      </w:pPr>
      <w:r>
        <w:rPr>
          <w:color w:val="000000"/>
        </w:rPr>
      </w:r>
    </w:p>
    <w:p>
      <w:pPr>
        <w:pStyle w:val="Normal"/>
        <w:rPr>
          <w:i/>
          <w:color w:val="000000"/>
        </w:rPr>
      </w:pPr>
      <w:r>
        <w:rPr>
          <w:i/>
          <w:color w:val="000000"/>
        </w:rPr>
        <w:t>Le teneur en eau de référence est une teneur en eau proche de celle des futures conditions de chantier, qui permettra au final le décompte du paiement. Un supplément (ou moins value) est payé(e) par m³ de terres traitées par pourcent de teneur en eau naturelle supérieure (ou ingérieure) à la teneur en eau de référence.</w:t>
      </w:r>
    </w:p>
    <w:p>
      <w:pPr>
        <w:pStyle w:val="Normal"/>
        <w:rPr>
          <w:i/>
          <w:color w:val="000000"/>
        </w:rPr>
      </w:pPr>
      <w:r>
        <w:rPr>
          <w:i/>
          <w:color w:val="000000"/>
        </w:rPr>
      </w:r>
      <w:bookmarkStart w:id="0" w:name="OLE_LINK1"/>
      <w:bookmarkStart w:id="1" w:name="OLE_LINK1"/>
    </w:p>
    <w:p>
      <w:pPr>
        <w:pStyle w:val="Normal"/>
        <w:rPr/>
      </w:pPr>
      <w:r>
        <w:rPr/>
      </w:r>
    </w:p>
    <w:p>
      <w:pPr>
        <w:pStyle w:val="Normal"/>
        <w:rPr/>
      </w:pPr>
      <w:r>
        <w:rPr/>
      </w:r>
    </w:p>
    <w:p>
      <w:pPr>
        <w:pStyle w:val="Normal"/>
        <w:rPr/>
      </w:pPr>
      <w:r>
        <w:rPr/>
      </w:r>
    </w:p>
    <w:p>
      <w:pPr>
        <w:pStyle w:val="Normal"/>
        <w:rPr/>
      </w:pPr>
      <w:r>
        <w:rPr/>
      </w:r>
    </w:p>
    <w:p>
      <w:pPr>
        <w:pStyle w:val="Heading1"/>
        <w:ind w:hanging="0" w:start="0"/>
        <w:rPr/>
      </w:pPr>
      <w:bookmarkStart w:id="2" w:name="OLE_LINK1"/>
      <w:r>
        <w:rPr>
          <w:caps w:val="false"/>
          <w:smallCaps w:val="false"/>
        </w:rPr>
        <w:br/>
        <w:t>E. 3.4.3.1. TRAITEMENT AU MOYEN DE CHAUX</w:t>
      </w:r>
      <w:bookmarkEnd w:id="2"/>
    </w:p>
    <w:p>
      <w:pPr>
        <w:pStyle w:val="Normal"/>
        <w:autoSpaceDE w:val="false"/>
        <w:rPr>
          <w:color w:val="000000"/>
        </w:rPr>
      </w:pPr>
      <w:r>
        <w:rPr>
          <w:color w:val="000000"/>
        </w:rPr>
      </w:r>
    </w:p>
    <w:p>
      <w:pPr>
        <w:pStyle w:val="Puces2"/>
        <w:numPr>
          <w:ilvl w:val="0"/>
          <w:numId w:val="0"/>
        </w:numPr>
        <w:tabs>
          <w:tab w:val="clear" w:pos="284"/>
          <w:tab w:val="left" w:pos="360" w:leader="none"/>
        </w:tabs>
        <w:ind w:hanging="0" w:start="0"/>
        <w:rPr/>
      </w:pPr>
      <w:r>
        <w:rPr/>
        <w:t>Indiquer:</w:t>
      </w:r>
    </w:p>
    <w:p>
      <w:pPr>
        <w:pStyle w:val="Puces2"/>
        <w:numPr>
          <w:ilvl w:val="0"/>
          <w:numId w:val="3"/>
        </w:numPr>
        <w:tabs>
          <w:tab w:val="clear" w:pos="284"/>
          <w:tab w:val="left" w:pos="360" w:leader="none"/>
        </w:tabs>
        <w:ind w:hanging="360" w:start="360"/>
        <w:rPr/>
      </w:pPr>
      <w:r>
        <w:rPr/>
        <w:t xml:space="preserve">les limites des sites sensibles </w:t>
      </w:r>
    </w:p>
    <w:p>
      <w:pPr>
        <w:pStyle w:val="Puces2"/>
        <w:numPr>
          <w:ilvl w:val="0"/>
          <w:numId w:val="3"/>
        </w:numPr>
        <w:tabs>
          <w:tab w:val="clear" w:pos="284"/>
          <w:tab w:val="left" w:pos="360" w:leader="none"/>
        </w:tabs>
        <w:ind w:hanging="360" w:start="360"/>
        <w:rPr/>
      </w:pPr>
      <w:r>
        <w:rPr>
          <w:color w:val="000000"/>
        </w:rPr>
        <w:t>si le traitement doit être effectué avec un liant à émission de poussières réduite.</w:t>
      </w:r>
    </w:p>
    <w:p>
      <w:pPr>
        <w:pStyle w:val="Normal"/>
        <w:jc w:val="both"/>
        <w:rPr>
          <w:color w:val="000000"/>
        </w:rPr>
      </w:pPr>
      <w:r>
        <w:rPr>
          <w:color w:val="000000"/>
        </w:rPr>
      </w:r>
    </w:p>
    <w:p>
      <w:pPr>
        <w:pStyle w:val="Normal"/>
        <w:jc w:val="both"/>
        <w:rPr>
          <w:color w:val="000000"/>
        </w:rPr>
      </w:pPr>
      <w:r>
        <w:rPr>
          <w:color w:val="000000"/>
        </w:rPr>
      </w:r>
    </w:p>
    <w:p>
      <w:pPr>
        <w:pStyle w:val="Normal"/>
        <w:spacing w:lineRule="atLeast" w:line="300"/>
        <w:jc w:val="both"/>
        <w:rPr>
          <w:b/>
          <w:color w:val="000000"/>
        </w:rPr>
      </w:pPr>
      <w:r>
        <w:rPr>
          <w:b/>
          <w:color w:val="000000"/>
        </w:rPr>
        <w:t>E. 3.4.4. PAIEMENT</w:t>
      </w:r>
    </w:p>
    <w:p>
      <w:pPr>
        <w:pStyle w:val="Normal"/>
        <w:spacing w:lineRule="atLeast" w:line="300"/>
        <w:jc w:val="both"/>
        <w:rPr>
          <w:b/>
          <w:i/>
          <w:color w:val="000000"/>
        </w:rPr>
      </w:pPr>
      <w:r>
        <w:rPr>
          <w:b/>
          <w:i/>
          <w:color w:val="000000"/>
        </w:rPr>
      </w:r>
    </w:p>
    <w:p>
      <w:pPr>
        <w:pStyle w:val="Normal"/>
        <w:spacing w:lineRule="atLeast" w:line="300"/>
        <w:jc w:val="both"/>
        <w:rPr>
          <w:i/>
          <w:color w:val="000000"/>
          <w:szCs w:val="24"/>
        </w:rPr>
      </w:pPr>
      <w:r>
        <w:rPr>
          <w:i/>
          <w:color w:val="000000"/>
          <w:szCs w:val="24"/>
        </w:rPr>
        <w:t>En cas de remblais traités, ne pas oublier d’ouvrir l’ensemble des postes suivants:</w:t>
      </w:r>
    </w:p>
    <w:p>
      <w:pPr>
        <w:pStyle w:val="Normal"/>
        <w:spacing w:lineRule="atLeast" w:line="300"/>
        <w:jc w:val="both"/>
        <w:rPr>
          <w:i/>
          <w:color w:val="000000"/>
          <w:szCs w:val="24"/>
        </w:rPr>
      </w:pPr>
      <w:r>
        <w:rPr>
          <w:i/>
          <w:color w:val="000000"/>
          <w:szCs w:val="24"/>
        </w:rPr>
      </w:r>
    </w:p>
    <w:p>
      <w:pPr>
        <w:pStyle w:val="Sansinterligne"/>
        <w:numPr>
          <w:ilvl w:val="0"/>
          <w:numId w:val="2"/>
        </w:numPr>
        <w:spacing w:before="120" w:after="0"/>
        <w:jc w:val="both"/>
        <w:rPr>
          <w:rFonts w:ascii="Times New Roman" w:hAnsi="Times New Roman" w:cs="Times New Roman"/>
          <w:i/>
          <w:iCs/>
          <w:sz w:val="24"/>
          <w:szCs w:val="24"/>
          <w:lang w:val="fr-BE"/>
        </w:rPr>
      </w:pPr>
      <w:r>
        <w:rPr>
          <w:rFonts w:cs="Times New Roman" w:ascii="Times New Roman" w:hAnsi="Times New Roman"/>
          <w:i/>
          <w:iCs/>
          <w:sz w:val="24"/>
          <w:szCs w:val="24"/>
          <w:lang w:val="fr-BE"/>
        </w:rPr>
        <w:t xml:space="preserve">Le déblai est payé sur le poste E9110-C "déblais excédentaires en vue d’une réutilisation sur chantier". </w:t>
      </w:r>
    </w:p>
    <w:p>
      <w:pPr>
        <w:pStyle w:val="Sansinterligne"/>
        <w:numPr>
          <w:ilvl w:val="0"/>
          <w:numId w:val="2"/>
        </w:numPr>
        <w:spacing w:before="120" w:after="0"/>
        <w:jc w:val="both"/>
        <w:rPr>
          <w:rFonts w:ascii="Times New Roman" w:hAnsi="Times New Roman" w:cs="Times New Roman"/>
          <w:i/>
          <w:iCs/>
          <w:sz w:val="24"/>
          <w:szCs w:val="24"/>
          <w:lang w:val="fr-BE"/>
        </w:rPr>
      </w:pPr>
      <w:r>
        <w:rPr>
          <w:rFonts w:cs="Times New Roman" w:ascii="Times New Roman" w:hAnsi="Times New Roman"/>
          <w:i/>
          <w:iCs/>
          <w:sz w:val="24"/>
          <w:szCs w:val="24"/>
          <w:lang w:val="fr-BE"/>
        </w:rPr>
        <w:t xml:space="preserve">Un poste séparé séparé de supplément ou de moins-value, payé par m³ de terres traitées, est porté en compte par pourcent de teneur en eau naturelle selon que celle-ci soit supérieure (quantités positives portées en compte) ou inférieure (quantités négatives portées en compte) à la teneur en eau de référence. </w:t>
      </w:r>
    </w:p>
    <w:p>
      <w:pPr>
        <w:pStyle w:val="Sansinterligne"/>
        <w:numPr>
          <w:ilvl w:val="0"/>
          <w:numId w:val="2"/>
        </w:numPr>
        <w:spacing w:before="120" w:after="0"/>
        <w:jc w:val="both"/>
        <w:rPr>
          <w:rFonts w:ascii="Times New Roman" w:hAnsi="Times New Roman" w:cs="Times New Roman"/>
          <w:sz w:val="24"/>
          <w:szCs w:val="24"/>
          <w:lang w:val="fr-BE"/>
        </w:rPr>
      </w:pPr>
      <w:r>
        <w:rPr>
          <w:rFonts w:cs="Times New Roman" w:ascii="Times New Roman" w:hAnsi="Times New Roman"/>
          <w:i/>
          <w:iCs/>
          <w:sz w:val="24"/>
          <w:szCs w:val="24"/>
          <w:lang w:val="fr-BE"/>
        </w:rPr>
        <w:t>Le remblai doit être payé au moyen du poste E9151-C "remblai de substitution conforme au C.2.2. en provenance du chantier"</w:t>
      </w:r>
      <w:r>
        <w:rPr>
          <w:rFonts w:cs="Times New Roman" w:ascii="Times New Roman" w:hAnsi="Times New Roman"/>
          <w:sz w:val="24"/>
          <w:szCs w:val="24"/>
          <w:lang w:val="fr-BE"/>
        </w:rPr>
        <w:t>.</w:t>
      </w:r>
    </w:p>
    <w:p>
      <w:pPr>
        <w:pStyle w:val="Normal"/>
        <w:rPr>
          <w:color w:val="000000"/>
          <w:szCs w:val="24"/>
          <w:lang w:val="fr-BE"/>
        </w:rPr>
      </w:pPr>
      <w:r>
        <w:rPr>
          <w:color w:val="000000"/>
          <w:szCs w:val="24"/>
          <w:lang w:val="fr-BE"/>
        </w:rPr>
        <w:t xml:space="preserve"> </w:t>
      </w:r>
    </w:p>
    <w:p>
      <w:pPr>
        <w:pStyle w:val="Normal"/>
        <w:rPr>
          <w:color w:val="000000"/>
          <w:szCs w:val="24"/>
          <w:lang w:val="fr-BE"/>
        </w:rPr>
      </w:pPr>
      <w:r>
        <w:rPr>
          <w:color w:val="000000"/>
          <w:szCs w:val="24"/>
          <w:lang w:val="fr-BE"/>
        </w:rPr>
      </w:r>
    </w:p>
    <w:p>
      <w:pPr>
        <w:pStyle w:val="Heading1"/>
        <w:ind w:hanging="0" w:start="0"/>
        <w:rPr>
          <w:caps w:val="false"/>
          <w:smallCaps w:val="false"/>
        </w:rPr>
      </w:pPr>
      <w:r>
        <w:rPr>
          <w:caps w:val="false"/>
          <w:smallCaps w:val="false"/>
        </w:rPr>
        <w:t>E. 3.5.1.2. REMBLAIS EN BLOCS LÉGERS – NOTE DE CALCUL ET PLANS</w:t>
      </w:r>
    </w:p>
    <w:p>
      <w:pPr>
        <w:pStyle w:val="Normal"/>
        <w:jc w:val="both"/>
        <w:rPr>
          <w:b/>
          <w:color w:val="000000"/>
        </w:rPr>
      </w:pPr>
      <w:r>
        <w:rPr>
          <w:b/>
          <w:color w:val="000000"/>
        </w:rPr>
      </w:r>
    </w:p>
    <w:p>
      <w:pPr>
        <w:pStyle w:val="Puces2"/>
        <w:numPr>
          <w:ilvl w:val="0"/>
          <w:numId w:val="3"/>
        </w:numPr>
        <w:tabs>
          <w:tab w:val="clear" w:pos="284"/>
          <w:tab w:val="left" w:pos="360" w:leader="none"/>
        </w:tabs>
        <w:ind w:hanging="360" w:start="360"/>
        <w:rPr/>
      </w:pPr>
      <w:r>
        <w:rPr/>
        <w:t xml:space="preserve">Le cas échéant, indiquer au </w:t>
      </w:r>
      <w:r>
        <w:rPr>
          <w:color w:val="0000FF"/>
        </w:rPr>
        <w:t>C. 6.2.2</w:t>
      </w:r>
      <w:r>
        <w:rPr/>
        <w:t xml:space="preserve"> les dimensions des blocs et les tolérances sur celles-ci.</w:t>
      </w:r>
    </w:p>
    <w:p>
      <w:pPr>
        <w:pStyle w:val="Puces2"/>
        <w:numPr>
          <w:ilvl w:val="0"/>
          <w:numId w:val="3"/>
        </w:numPr>
        <w:tabs>
          <w:tab w:val="clear" w:pos="284"/>
          <w:tab w:val="left" w:pos="360" w:leader="none"/>
        </w:tabs>
        <w:ind w:hanging="360" w:start="360"/>
        <w:rPr/>
      </w:pPr>
      <w:r>
        <w:rPr/>
        <w:t xml:space="preserve">Indiquer au </w:t>
      </w:r>
      <w:r>
        <w:rPr>
          <w:color w:val="0000FF"/>
        </w:rPr>
        <w:t>C. 6.2.2</w:t>
      </w:r>
      <w:r>
        <w:rPr/>
        <w:t xml:space="preserve"> la masse volumique apparente des blocs.</w:t>
      </w:r>
    </w:p>
    <w:p>
      <w:pPr>
        <w:pStyle w:val="Normal"/>
        <w:jc w:val="both"/>
        <w:rPr>
          <w:b/>
          <w:color w:val="000000"/>
        </w:rPr>
      </w:pPr>
      <w:r>
        <w:rPr>
          <w:b/>
          <w:color w:val="000000"/>
        </w:rPr>
      </w:r>
    </w:p>
    <w:p>
      <w:pPr>
        <w:pStyle w:val="Normal"/>
        <w:jc w:val="both"/>
        <w:rPr>
          <w:b/>
          <w:color w:val="000000"/>
        </w:rPr>
      </w:pPr>
      <w:r>
        <w:rPr>
          <w:b/>
          <w:color w:val="000000"/>
        </w:rPr>
      </w:r>
    </w:p>
    <w:p>
      <w:pPr>
        <w:pStyle w:val="Heading1"/>
        <w:ind w:hanging="0" w:start="0"/>
        <w:rPr>
          <w:caps w:val="false"/>
          <w:smallCaps w:val="false"/>
        </w:rPr>
      </w:pPr>
      <w:r>
        <w:rPr>
          <w:caps w:val="false"/>
          <w:smallCaps w:val="false"/>
        </w:rPr>
        <w:t>E. 3.5.1.3. REMBLAIS EN BLOCS LÉGERS – CLAUSES TECHNIQUES – EXÉCUTION</w:t>
      </w:r>
    </w:p>
    <w:p>
      <w:pPr>
        <w:pStyle w:val="Normal"/>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jc w:val="both"/>
        <w:rPr>
          <w:color w:val="000000"/>
        </w:rPr>
      </w:pPr>
      <w:r>
        <w:rPr>
          <w:color w:val="000000"/>
        </w:rPr>
        <w:t>Décrire la ou les technique(s) de mise en œuvre à utiliser.</w:t>
      </w:r>
    </w:p>
    <w:p>
      <w:pPr>
        <w:pStyle w:val="Normal"/>
        <w:jc w:val="both"/>
        <w:rPr>
          <w:color w:val="000000"/>
        </w:rPr>
      </w:pPr>
      <w:r>
        <w:rPr>
          <w:color w:val="000000"/>
        </w:rPr>
      </w:r>
    </w:p>
    <w:p>
      <w:pPr>
        <w:pStyle w:val="BodyText"/>
        <w:rPr/>
      </w:pPr>
      <w:r>
        <w:rPr/>
        <w:t>La disposition non jointive des blocs ou  une forme particulière de la périphérie de ceux-ci  est nécessaire dans le cas où l’on souhaite augmenter la capacité drainante du massif.</w:t>
      </w:r>
    </w:p>
    <w:p>
      <w:pPr>
        <w:pStyle w:val="BodyText"/>
        <w:rPr/>
      </w:pPr>
      <w:r>
        <w:rPr/>
        <w:t>La dalle en béton fera l’objet de postes séparés (de la série J3000).</w:t>
      </w:r>
    </w:p>
    <w:p>
      <w:pPr>
        <w:pStyle w:val="Normal"/>
        <w:jc w:val="both"/>
        <w:rPr>
          <w:color w:val="000000"/>
        </w:rPr>
      </w:pPr>
      <w:r>
        <w:rPr>
          <w:color w:val="000000"/>
        </w:rPr>
      </w:r>
    </w:p>
    <w:p>
      <w:pPr>
        <w:pStyle w:val="Normal"/>
        <w:jc w:val="both"/>
        <w:rPr>
          <w:color w:val="000000"/>
        </w:rPr>
      </w:pPr>
      <w:r>
        <w:rPr>
          <w:color w:val="000000"/>
        </w:rPr>
      </w:r>
    </w:p>
    <w:p>
      <w:pPr>
        <w:pStyle w:val="Heading1"/>
        <w:ind w:hanging="0" w:start="0"/>
        <w:rPr/>
      </w:pPr>
      <w:r>
        <w:rPr/>
        <w:t>E. 3.6. REMBLAIS EN GRANULATS D’ARGILE EXPANSEe</w:t>
      </w:r>
    </w:p>
    <w:p>
      <w:pPr>
        <w:pStyle w:val="Corpsdetexte3"/>
        <w:jc w:val="both"/>
        <w:rPr/>
      </w:pPr>
      <w:r>
        <w:rPr/>
      </w:r>
    </w:p>
    <w:p>
      <w:pPr>
        <w:pStyle w:val="Normal"/>
        <w:jc w:val="both"/>
        <w:rPr>
          <w:i/>
          <w:color w:val="000000"/>
        </w:rPr>
      </w:pPr>
      <w:r>
        <w:rPr>
          <w:i/>
          <w:color w:val="000000"/>
        </w:rPr>
        <w:t>Il y a lieu de prévoir le rabattement de la nappe aquifère.</w:t>
      </w:r>
    </w:p>
    <w:p>
      <w:pPr>
        <w:pStyle w:val="Normal"/>
        <w:jc w:val="both"/>
        <w:rPr>
          <w:i/>
          <w:color w:val="000000"/>
        </w:rPr>
      </w:pPr>
      <w:r>
        <w:rPr>
          <w:i/>
          <w:color w:val="000000"/>
        </w:rPr>
      </w:r>
    </w:p>
    <w:p>
      <w:pPr>
        <w:pStyle w:val="Normal"/>
        <w:jc w:val="both"/>
        <w:rPr/>
      </w:pPr>
      <w:r>
        <w:rPr>
          <w:i/>
          <w:color w:val="000000"/>
        </w:rPr>
        <w:t>Il y a lieu de prévoir le géotextile entre le sol support et le remblai d’argile expansée ainsi qu’entre la couche supérieure de l’argile expansée et la surface inférieure de la couverture du remblai d’argile expansée.</w:t>
      </w:r>
    </w:p>
    <w:p>
      <w:pPr>
        <w:pStyle w:val="Normal"/>
        <w:jc w:val="both"/>
        <w:rPr>
          <w:i/>
          <w:color w:val="000000"/>
        </w:rPr>
      </w:pPr>
      <w:r>
        <w:rPr>
          <w:i/>
          <w:color w:val="000000"/>
        </w:rPr>
      </w:r>
    </w:p>
    <w:p>
      <w:pPr>
        <w:pStyle w:val="Normal"/>
        <w:jc w:val="both"/>
        <w:rPr>
          <w:i/>
          <w:color w:val="000000"/>
        </w:rPr>
      </w:pPr>
      <w:r>
        <w:rPr>
          <w:i/>
          <w:color w:val="000000"/>
        </w:rPr>
        <w:t xml:space="preserve">Si une dalle en béton est nécessaire, celle-ci fera l’objet de postes séparés (de la série J3000). </w:t>
      </w:r>
    </w:p>
    <w:p>
      <w:pPr>
        <w:pStyle w:val="Normal"/>
        <w:jc w:val="both"/>
        <w:rPr>
          <w:i/>
          <w:color w:val="000000"/>
        </w:rPr>
      </w:pPr>
      <w:r>
        <w:rPr>
          <w:i/>
          <w:color w:val="000000"/>
        </w:rPr>
      </w:r>
    </w:p>
    <w:p>
      <w:pPr>
        <w:pStyle w:val="Normal"/>
        <w:jc w:val="both"/>
        <w:rPr>
          <w:color w:val="000000"/>
        </w:rPr>
      </w:pPr>
      <w:r>
        <w:rPr>
          <w:color w:val="000000"/>
        </w:rPr>
      </w:r>
    </w:p>
    <w:p>
      <w:pPr>
        <w:pStyle w:val="Heading1"/>
        <w:ind w:hanging="0" w:start="0"/>
        <w:rPr>
          <w:caps w:val="false"/>
          <w:smallCaps w:val="false"/>
        </w:rPr>
      </w:pPr>
      <w:r>
        <w:rPr>
          <w:caps w:val="false"/>
          <w:smallCaps w:val="false"/>
        </w:rPr>
        <w:t>E. 4. TERRASSEMENTS PARTICULIERS</w:t>
      </w:r>
    </w:p>
    <w:p>
      <w:pPr>
        <w:pStyle w:val="Normal"/>
        <w:jc w:val="both"/>
        <w:rPr>
          <w:color w:val="000000"/>
        </w:rPr>
      </w:pPr>
      <w:r>
        <w:rPr>
          <w:color w:val="000000"/>
        </w:rPr>
      </w:r>
    </w:p>
    <w:p>
      <w:pPr>
        <w:pStyle w:val="Heading1"/>
        <w:ind w:hanging="0" w:start="0"/>
        <w:rPr>
          <w:caps w:val="false"/>
          <w:smallCaps w:val="false"/>
        </w:rPr>
      </w:pPr>
      <w:r>
        <w:rPr>
          <w:caps w:val="false"/>
          <w:smallCaps w:val="false"/>
        </w:rPr>
        <w:t>E. 4.1. DÉBLAIS POUR RÉALISATION DE FOSSÉS</w:t>
      </w:r>
    </w:p>
    <w:p>
      <w:pPr>
        <w:pStyle w:val="Normal"/>
        <w:rPr>
          <w:b/>
          <w:color w:val="000000"/>
        </w:rPr>
      </w:pPr>
      <w:r>
        <w:rPr>
          <w:b/>
          <w:color w:val="000000"/>
        </w:rPr>
      </w:r>
    </w:p>
    <w:p>
      <w:pPr>
        <w:pStyle w:val="Normal"/>
        <w:pBdr>
          <w:top w:val="single" w:sz="12" w:space="1" w:color="000000"/>
          <w:left w:val="single" w:sz="12" w:space="4" w:color="000000"/>
          <w:bottom w:val="single" w:sz="12" w:space="1" w:color="000000"/>
          <w:right w:val="single" w:sz="12" w:space="4" w:color="000000"/>
        </w:pBdr>
        <w:rPr/>
      </w:pPr>
      <w:r>
        <w:rPr>
          <w:color w:val="000000"/>
        </w:rPr>
        <w:t>Indiquer</w:t>
      </w:r>
      <w:r>
        <w:rPr>
          <w:b/>
          <w:color w:val="000000"/>
        </w:rPr>
        <w:t xml:space="preserve"> </w:t>
      </w:r>
      <w:r>
        <w:rPr>
          <w:color w:val="000000"/>
        </w:rPr>
        <w:t>les pentes et les sections transversales des fossés.</w:t>
      </w:r>
    </w:p>
    <w:p>
      <w:pPr>
        <w:pStyle w:val="Normal"/>
        <w:rPr>
          <w:b/>
          <w:color w:val="000000"/>
        </w:rPr>
      </w:pPr>
      <w:r>
        <w:rPr>
          <w:b/>
          <w:color w:val="000000"/>
        </w:rPr>
      </w:r>
    </w:p>
    <w:p>
      <w:pPr>
        <w:pStyle w:val="Normal"/>
        <w:rPr>
          <w:b/>
          <w:color w:val="000000"/>
        </w:rPr>
      </w:pPr>
      <w:r>
        <w:rPr>
          <w:b/>
          <w:color w:val="000000"/>
        </w:rPr>
      </w:r>
    </w:p>
    <w:p>
      <w:pPr>
        <w:pStyle w:val="Heading1"/>
        <w:keepNext w:val="true"/>
        <w:ind w:hanging="0" w:start="0"/>
        <w:rPr>
          <w:caps w:val="false"/>
          <w:smallCaps w:val="false"/>
        </w:rPr>
      </w:pPr>
      <w:r>
        <w:rPr>
          <w:caps w:val="false"/>
          <w:smallCaps w:val="false"/>
        </w:rPr>
        <w:t>E. 4.1.4. DÉBLAIS POUR RÉALISATION DE FOSSÉS – PAIEMENT</w:t>
      </w:r>
    </w:p>
    <w:p>
      <w:pPr>
        <w:pStyle w:val="Normal"/>
        <w:keepNext w:val="true"/>
        <w:rPr>
          <w:b/>
          <w:color w:val="000000"/>
        </w:rPr>
      </w:pPr>
      <w:r>
        <w:rPr>
          <w:b/>
          <w:color w:val="000000"/>
        </w:rPr>
      </w:r>
    </w:p>
    <w:p>
      <w:pPr>
        <w:pStyle w:val="Normal"/>
        <w:keepNext w:val="true"/>
        <w:pBdr>
          <w:top w:val="single" w:sz="12" w:space="1" w:color="000000"/>
          <w:left w:val="single" w:sz="12" w:space="4" w:color="000000"/>
          <w:bottom w:val="single" w:sz="12" w:space="1" w:color="000000"/>
          <w:right w:val="single" w:sz="12" w:space="4" w:color="000000"/>
        </w:pBdr>
        <w:rPr/>
      </w:pPr>
      <w:r>
        <w:rPr>
          <w:color w:val="000000"/>
        </w:rPr>
        <w:t>Indiquer</w:t>
      </w:r>
      <w:r>
        <w:rPr>
          <w:b/>
          <w:color w:val="000000"/>
        </w:rPr>
        <w:t xml:space="preserve"> </w:t>
      </w:r>
      <w:r>
        <w:rPr>
          <w:color w:val="000000"/>
        </w:rPr>
        <w:t>le mode de paiement.</w:t>
      </w:r>
    </w:p>
    <w:p>
      <w:pPr>
        <w:pStyle w:val="Normal"/>
        <w:rPr>
          <w:b/>
          <w:color w:val="000000"/>
        </w:rPr>
      </w:pPr>
      <w:r>
        <w:rPr>
          <w:b/>
          <w:color w:val="000000"/>
        </w:rPr>
      </w:r>
    </w:p>
    <w:p>
      <w:pPr>
        <w:pStyle w:val="Normal"/>
        <w:rPr>
          <w:b/>
          <w:color w:val="000000"/>
        </w:rPr>
      </w:pPr>
      <w:r>
        <w:rPr>
          <w:b/>
          <w:color w:val="000000"/>
        </w:rPr>
      </w:r>
    </w:p>
    <w:p>
      <w:pPr>
        <w:pStyle w:val="Heading1"/>
        <w:ind w:hanging="0" w:start="0"/>
        <w:rPr>
          <w:caps w:val="false"/>
          <w:smallCaps w:val="false"/>
        </w:rPr>
      </w:pPr>
      <w:r>
        <w:rPr>
          <w:caps w:val="false"/>
          <w:smallCaps w:val="false"/>
        </w:rPr>
        <w:t>E. 4.2.1.1. TERRASSEMENTS POUR OUVRAGES D’ART – DESCRIPTION</w:t>
      </w:r>
    </w:p>
    <w:p>
      <w:pPr>
        <w:pStyle w:val="Normal"/>
        <w:rPr>
          <w:b/>
          <w:color w:val="000000"/>
        </w:rPr>
      </w:pPr>
      <w:r>
        <w:rPr>
          <w:b/>
          <w:color w:val="000000"/>
        </w:rPr>
      </w:r>
    </w:p>
    <w:p>
      <w:pPr>
        <w:pStyle w:val="Normal"/>
        <w:pBdr>
          <w:top w:val="single" w:sz="12" w:space="1" w:color="000000"/>
          <w:left w:val="single" w:sz="12" w:space="4" w:color="000000"/>
          <w:bottom w:val="single" w:sz="12" w:space="1" w:color="000000"/>
          <w:right w:val="single" w:sz="12" w:space="4" w:color="000000"/>
        </w:pBdr>
        <w:rPr/>
      </w:pPr>
      <w:r>
        <w:rPr>
          <w:color w:val="000000"/>
        </w:rPr>
        <w:t>Indiquer</w:t>
      </w:r>
      <w:r>
        <w:rPr>
          <w:b/>
          <w:color w:val="000000"/>
        </w:rPr>
        <w:t xml:space="preserve"> </w:t>
      </w:r>
      <w:r>
        <w:rPr>
          <w:color w:val="000000"/>
        </w:rPr>
        <w:t>si les déblais sont réalisés en terrain meuble, rocheux ou compact.</w:t>
      </w:r>
    </w:p>
    <w:p>
      <w:pPr>
        <w:pStyle w:val="Normal"/>
        <w:rPr>
          <w:b/>
          <w:color w:val="000000"/>
        </w:rPr>
      </w:pPr>
      <w:r>
        <w:rPr>
          <w:b/>
          <w:color w:val="000000"/>
        </w:rPr>
      </w:r>
    </w:p>
    <w:p>
      <w:pPr>
        <w:pStyle w:val="Normal"/>
        <w:rPr>
          <w:b/>
          <w:color w:val="000000"/>
        </w:rPr>
      </w:pPr>
      <w:r>
        <w:rPr>
          <w:b/>
          <w:color w:val="000000"/>
        </w:rPr>
      </w:r>
    </w:p>
    <w:p>
      <w:pPr>
        <w:pStyle w:val="Heading1"/>
        <w:ind w:hanging="0" w:start="0"/>
        <w:rPr>
          <w:caps w:val="false"/>
          <w:smallCaps w:val="false"/>
        </w:rPr>
      </w:pPr>
      <w:r>
        <w:rPr>
          <w:caps w:val="false"/>
          <w:smallCaps w:val="false"/>
        </w:rPr>
        <w:t>E. 4.2.1.2. CLAUSES TECHNIQUES</w:t>
      </w:r>
    </w:p>
    <w:p>
      <w:pPr>
        <w:pStyle w:val="Normal"/>
        <w:rPr>
          <w:b/>
          <w:color w:val="000000"/>
        </w:rPr>
      </w:pPr>
      <w:r>
        <w:rPr>
          <w:b/>
          <w:color w:val="000000"/>
        </w:rPr>
      </w:r>
    </w:p>
    <w:p>
      <w:pPr>
        <w:pStyle w:val="Normal"/>
        <w:pBdr>
          <w:top w:val="single" w:sz="12" w:space="1" w:color="000000"/>
          <w:left w:val="single" w:sz="12" w:space="4" w:color="000000"/>
          <w:bottom w:val="single" w:sz="12" w:space="1" w:color="000000"/>
          <w:right w:val="single" w:sz="12" w:space="4" w:color="000000"/>
        </w:pBdr>
        <w:rPr/>
      </w:pPr>
      <w:r>
        <w:rPr>
          <w:color w:val="000000"/>
        </w:rPr>
        <w:t>Indiquer</w:t>
      </w:r>
      <w:r>
        <w:rPr>
          <w:b/>
          <w:color w:val="000000"/>
        </w:rPr>
        <w:t xml:space="preserve"> </w:t>
      </w:r>
      <w:r>
        <w:rPr>
          <w:color w:val="000000"/>
        </w:rPr>
        <w:t>le niveau du fond de fouille et la portance nécessaire à l'ouvrage.</w:t>
      </w:r>
    </w:p>
    <w:p>
      <w:pPr>
        <w:pStyle w:val="Normal"/>
        <w:rPr>
          <w:b/>
          <w:color w:val="000000"/>
        </w:rPr>
      </w:pPr>
      <w:r>
        <w:rPr>
          <w:b/>
          <w:color w:val="000000"/>
        </w:rPr>
      </w:r>
    </w:p>
    <w:p>
      <w:pPr>
        <w:pStyle w:val="Normal"/>
        <w:rPr>
          <w:b/>
          <w:color w:val="000000"/>
        </w:rPr>
      </w:pPr>
      <w:r>
        <w:rPr>
          <w:b/>
          <w:color w:val="000000"/>
        </w:rPr>
      </w:r>
    </w:p>
    <w:p>
      <w:pPr>
        <w:pStyle w:val="Heading1"/>
        <w:ind w:hanging="0" w:start="0"/>
        <w:rPr>
          <w:caps w:val="false"/>
          <w:smallCaps w:val="false"/>
        </w:rPr>
      </w:pPr>
      <w:r>
        <w:rPr>
          <w:caps w:val="false"/>
          <w:smallCaps w:val="false"/>
        </w:rPr>
        <w:t>E. 4.2.1.4. PAIEMENT</w:t>
      </w:r>
    </w:p>
    <w:p>
      <w:pPr>
        <w:pStyle w:val="Normal"/>
        <w:numPr>
          <w:ilvl w:val="0"/>
          <w:numId w:val="0"/>
        </w:numPr>
        <w:ind w:hanging="0" w:start="0"/>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rPr/>
      </w:pPr>
      <w:r>
        <w:rPr>
          <w:color w:val="000000"/>
        </w:rPr>
        <w:t>Indiquer</w:t>
      </w:r>
      <w:r>
        <w:rPr>
          <w:b/>
          <w:color w:val="000000"/>
        </w:rPr>
        <w:t xml:space="preserve"> </w:t>
      </w:r>
      <w:r>
        <w:rPr>
          <w:color w:val="000000"/>
        </w:rPr>
        <w:t>le mode de paiement s’il diffère de la méthode par défaut.</w:t>
      </w:r>
    </w:p>
    <w:p>
      <w:pPr>
        <w:pStyle w:val="Normal"/>
        <w:rPr>
          <w:b/>
          <w:color w:val="000000"/>
        </w:rPr>
      </w:pPr>
      <w:r>
        <w:rPr>
          <w:b/>
          <w:color w:val="000000"/>
        </w:rPr>
      </w:r>
    </w:p>
    <w:p>
      <w:pPr>
        <w:pStyle w:val="Normal"/>
        <w:rPr>
          <w:b/>
          <w:color w:val="000000"/>
        </w:rPr>
      </w:pPr>
      <w:r>
        <w:rPr>
          <w:b/>
          <w:color w:val="000000"/>
        </w:rPr>
      </w:r>
    </w:p>
    <w:p>
      <w:pPr>
        <w:pStyle w:val="Heading1"/>
        <w:ind w:hanging="0" w:start="0"/>
        <w:rPr/>
      </w:pPr>
      <w:r>
        <w:rPr>
          <w:caps w:val="false"/>
          <w:smallCaps w:val="false"/>
        </w:rPr>
        <w:t>E. 4.2.2.2.1. TERRASSEMENTS POUR OUVRAGES D’ART – REMBLAIS – MATÉRIAUX</w:t>
      </w:r>
    </w:p>
    <w:p>
      <w:pPr>
        <w:pStyle w:val="Normal"/>
        <w:rPr>
          <w:b/>
          <w:color w:val="000000"/>
        </w:rPr>
      </w:pPr>
      <w:r>
        <w:rPr>
          <w:b/>
          <w:color w:val="000000"/>
        </w:rPr>
      </w:r>
    </w:p>
    <w:p>
      <w:pPr>
        <w:pStyle w:val="Normal"/>
        <w:pBdr>
          <w:top w:val="single" w:sz="12" w:space="1" w:color="000000"/>
          <w:left w:val="single" w:sz="12" w:space="4" w:color="000000"/>
          <w:bottom w:val="single" w:sz="12" w:space="1" w:color="000000"/>
          <w:right w:val="single" w:sz="12" w:space="4" w:color="000000"/>
        </w:pBdr>
        <w:rPr/>
      </w:pPr>
      <w:r>
        <w:rPr>
          <w:color w:val="000000"/>
        </w:rPr>
        <w:t>Indiquer</w:t>
      </w:r>
      <w:r>
        <w:rPr>
          <w:b/>
          <w:color w:val="000000"/>
        </w:rPr>
        <w:t xml:space="preserve"> </w:t>
      </w:r>
      <w:r>
        <w:rPr>
          <w:color w:val="000000"/>
        </w:rPr>
        <w:t xml:space="preserve">les prescriptions relatives aux matériaux à fournir si celles-ci diffèrent des prescriptions du </w:t>
      </w:r>
      <w:r>
        <w:rPr>
          <w:color w:val="0000FF"/>
        </w:rPr>
        <w:t>C. 3</w:t>
      </w:r>
      <w:r>
        <w:rPr>
          <w:color w:val="000000"/>
        </w:rPr>
        <w:t>.</w:t>
      </w:r>
    </w:p>
    <w:p>
      <w:pPr>
        <w:pStyle w:val="Normal"/>
        <w:rPr>
          <w:b/>
          <w:color w:val="000000"/>
        </w:rPr>
      </w:pPr>
      <w:r>
        <w:rPr>
          <w:b/>
          <w:color w:val="000000"/>
        </w:rPr>
      </w:r>
    </w:p>
    <w:p>
      <w:pPr>
        <w:pStyle w:val="Normal"/>
        <w:rPr>
          <w:b/>
          <w:color w:val="000000"/>
        </w:rPr>
      </w:pPr>
      <w:r>
        <w:rPr>
          <w:b/>
          <w:color w:val="000000"/>
        </w:rPr>
      </w:r>
    </w:p>
    <w:p>
      <w:pPr>
        <w:pStyle w:val="Heading1"/>
        <w:ind w:hanging="0" w:start="0"/>
        <w:jc w:val="start"/>
        <w:rPr>
          <w:caps w:val="false"/>
          <w:smallCaps w:val="false"/>
        </w:rPr>
      </w:pPr>
      <w:r>
        <w:rPr>
          <w:caps w:val="false"/>
          <w:smallCaps w:val="false"/>
        </w:rPr>
        <w:t>E. 4.2.2.2.2. TERRASSEMENTS POUR OUVRAGES D'ART – REMBLAIS – EXÉCUTION</w:t>
      </w:r>
    </w:p>
    <w:p>
      <w:pPr>
        <w:pStyle w:val="Normal"/>
        <w:rPr>
          <w:b/>
          <w:color w:val="000000"/>
        </w:rPr>
      </w:pPr>
      <w:r>
        <w:rPr>
          <w:b/>
          <w:color w:val="000000"/>
        </w:rPr>
      </w:r>
    </w:p>
    <w:p>
      <w:pPr>
        <w:pStyle w:val="Puces2"/>
        <w:numPr>
          <w:ilvl w:val="0"/>
          <w:numId w:val="3"/>
        </w:numPr>
        <w:tabs>
          <w:tab w:val="clear" w:pos="284"/>
          <w:tab w:val="left" w:pos="360" w:leader="none"/>
        </w:tabs>
        <w:ind w:hanging="360" w:start="360"/>
        <w:rPr/>
      </w:pPr>
      <w:r>
        <w:rPr/>
        <w:t>Indiquer les impositions d’exécution.</w:t>
      </w:r>
    </w:p>
    <w:p>
      <w:pPr>
        <w:pStyle w:val="Puces2"/>
        <w:numPr>
          <w:ilvl w:val="0"/>
          <w:numId w:val="3"/>
        </w:numPr>
        <w:tabs>
          <w:tab w:val="clear" w:pos="284"/>
          <w:tab w:val="left" w:pos="360" w:leader="none"/>
        </w:tabs>
        <w:ind w:hanging="360" w:start="360"/>
        <w:rPr/>
      </w:pPr>
      <w:r>
        <w:rPr/>
        <w:t>Indiquer sur les plans la forme et les dimensions des massifs de remblai.</w:t>
      </w:r>
    </w:p>
    <w:p>
      <w:pPr>
        <w:pStyle w:val="Normal"/>
        <w:rPr>
          <w:b/>
          <w:color w:val="000000"/>
        </w:rPr>
      </w:pPr>
      <w:r>
        <w:rPr>
          <w:b/>
          <w:color w:val="000000"/>
        </w:rPr>
      </w:r>
    </w:p>
    <w:p>
      <w:pPr>
        <w:pStyle w:val="Normal"/>
        <w:rPr>
          <w:b/>
          <w:color w:val="000000"/>
        </w:rPr>
      </w:pPr>
      <w:r>
        <w:rPr>
          <w:b/>
          <w:color w:val="000000"/>
        </w:rPr>
      </w:r>
    </w:p>
    <w:p>
      <w:pPr>
        <w:pStyle w:val="Normal"/>
        <w:numPr>
          <w:ilvl w:val="0"/>
          <w:numId w:val="0"/>
        </w:numPr>
        <w:spacing w:lineRule="atLeast" w:line="300"/>
        <w:outlineLvl w:val="0"/>
        <w:rPr>
          <w:b/>
          <w:caps/>
          <w:color w:val="000000"/>
        </w:rPr>
      </w:pPr>
      <w:commentRangeStart w:id="3"/>
      <w:r>
        <w:rPr>
          <w:b/>
          <w:caps/>
          <w:color w:val="000000"/>
        </w:rPr>
        <w:t>E. 4.2.2.4. VERIFICATIONS</w:t>
      </w:r>
      <w:commentRangeEnd w:id="3"/>
      <w:r>
        <w:commentReference w:id="3"/>
      </w:r>
      <w:r>
        <w:rPr>
          <w:vanish w:val="false"/>
          <w:color w:val="000000"/>
          <w:sz w:val="16"/>
          <w:szCs w:val="16"/>
        </w:rPr>
      </w:r>
    </w:p>
    <w:p>
      <w:pPr>
        <w:pStyle w:val="Normal"/>
        <w:rPr>
          <w:b/>
          <w:caps/>
          <w:color w:val="000000"/>
        </w:rPr>
      </w:pPr>
      <w:r>
        <w:rPr>
          <w:b/>
          <w:caps/>
          <w:color w:val="000000"/>
        </w:rPr>
      </w:r>
    </w:p>
    <w:p>
      <w:pPr>
        <w:pStyle w:val="Normal"/>
        <w:jc w:val="both"/>
        <w:rPr>
          <w:i/>
          <w:color w:val="000000"/>
        </w:rPr>
      </w:pPr>
      <w:r>
        <w:rPr>
          <w:i/>
          <w:color w:val="000000"/>
        </w:rPr>
        <w:t xml:space="preserve">Le CCT QUALIROUTES prévoit qu'au moins un essai soit réalisé pour chaque massif de remblai. Le nombre minimal d'essais peut également être spécifié dans les documents de marché. </w:t>
      </w:r>
    </w:p>
    <w:p>
      <w:pPr>
        <w:pStyle w:val="Normal"/>
        <w:jc w:val="both"/>
        <w:rPr>
          <w:i/>
          <w:color w:val="000000"/>
        </w:rPr>
      </w:pPr>
      <w:r>
        <w:rPr>
          <w:i/>
          <w:color w:val="000000"/>
        </w:rPr>
      </w:r>
    </w:p>
    <w:p>
      <w:pPr>
        <w:pStyle w:val="Normal"/>
        <w:pBdr>
          <w:top w:val="single" w:sz="12" w:space="1" w:color="000000"/>
          <w:left w:val="single" w:sz="12" w:space="4" w:color="000000"/>
          <w:bottom w:val="single" w:sz="12" w:space="1" w:color="000000"/>
          <w:right w:val="single" w:sz="12" w:space="4" w:color="000000"/>
        </w:pBdr>
        <w:rPr>
          <w:color w:val="000000"/>
        </w:rPr>
      </w:pPr>
      <w:r>
        <w:rPr>
          <w:color w:val="000000"/>
        </w:rPr>
        <w:t xml:space="preserve">Le cas échéant, préciser la densité minimale d'essais de vérification </w:t>
      </w:r>
    </w:p>
    <w:p>
      <w:pPr>
        <w:pStyle w:val="Normal"/>
        <w:rPr>
          <w:b/>
          <w:color w:val="000000"/>
        </w:rPr>
      </w:pPr>
      <w:r>
        <w:rPr>
          <w:b/>
          <w:color w:val="000000"/>
        </w:rPr>
      </w:r>
    </w:p>
    <w:p>
      <w:pPr>
        <w:pStyle w:val="Normal"/>
        <w:rPr>
          <w:b/>
          <w:color w:val="000000"/>
        </w:rPr>
      </w:pPr>
      <w:r>
        <w:rPr>
          <w:b/>
          <w:color w:val="000000"/>
        </w:rPr>
      </w:r>
    </w:p>
    <w:p>
      <w:pPr>
        <w:pStyle w:val="Heading1"/>
        <w:ind w:hanging="0" w:start="0"/>
        <w:rPr>
          <w:b w:val="false"/>
        </w:rPr>
      </w:pPr>
      <w:r>
        <w:rPr>
          <w:caps w:val="false"/>
          <w:smallCaps w:val="false"/>
        </w:rPr>
        <w:t>E. 4.2.2.5. TERRASSEMENTS POUR OUVRAGES D'ART – REMBLAIS – PAIEMENT</w:t>
      </w:r>
    </w:p>
    <w:p>
      <w:pPr>
        <w:pStyle w:val="Normal"/>
        <w:rPr>
          <w:b/>
          <w:color w:val="000000"/>
        </w:rPr>
      </w:pPr>
      <w:r>
        <w:rPr>
          <w:b/>
          <w:color w:val="000000"/>
        </w:rPr>
      </w:r>
    </w:p>
    <w:p>
      <w:pPr>
        <w:pStyle w:val="Normal"/>
        <w:pBdr>
          <w:top w:val="single" w:sz="12" w:space="1" w:color="000000"/>
          <w:left w:val="single" w:sz="12" w:space="4" w:color="000000"/>
          <w:bottom w:val="single" w:sz="12" w:space="1" w:color="000000"/>
          <w:right w:val="single" w:sz="12" w:space="4" w:color="000000"/>
        </w:pBdr>
        <w:rPr/>
      </w:pPr>
      <w:r>
        <w:rPr>
          <w:color w:val="000000"/>
        </w:rPr>
        <w:t>Indiquer</w:t>
      </w:r>
      <w:r>
        <w:rPr>
          <w:b/>
          <w:color w:val="000000"/>
        </w:rPr>
        <w:t xml:space="preserve"> </w:t>
      </w:r>
      <w:r>
        <w:rPr>
          <w:color w:val="000000"/>
        </w:rPr>
        <w:t>le mode de paiement s’il diffère de la méthode par défaut.</w:t>
      </w:r>
    </w:p>
    <w:p>
      <w:pPr>
        <w:pStyle w:val="Normal"/>
        <w:rPr>
          <w:b/>
          <w:color w:val="000000"/>
        </w:rPr>
      </w:pPr>
      <w:r>
        <w:rPr>
          <w:b/>
          <w:color w:val="000000"/>
        </w:rPr>
      </w:r>
    </w:p>
    <w:p>
      <w:pPr>
        <w:pStyle w:val="Normal"/>
        <w:rPr>
          <w:b/>
          <w:color w:val="000000"/>
        </w:rPr>
      </w:pPr>
      <w:r>
        <w:rPr>
          <w:b/>
          <w:color w:val="000000"/>
        </w:rPr>
      </w:r>
    </w:p>
    <w:p>
      <w:pPr>
        <w:pStyle w:val="Heading1"/>
        <w:ind w:hanging="0" w:start="0"/>
        <w:rPr>
          <w:b w:val="false"/>
        </w:rPr>
      </w:pPr>
      <w:r>
        <w:rPr>
          <w:caps w:val="false"/>
          <w:smallCaps w:val="false"/>
        </w:rPr>
        <w:t>E. 4.3.1.2. TERRASSEMENTS PAR ASPIRATION – CLAUSES TECHNIQUES</w:t>
      </w:r>
    </w:p>
    <w:p>
      <w:pPr>
        <w:pStyle w:val="Normal"/>
        <w:rPr>
          <w:b/>
          <w:color w:val="000000"/>
        </w:rPr>
      </w:pPr>
      <w:r>
        <w:rPr>
          <w:b/>
          <w:color w:val="000000"/>
        </w:rPr>
      </w:r>
    </w:p>
    <w:p>
      <w:pPr>
        <w:pStyle w:val="Normal"/>
        <w:pBdr>
          <w:top w:val="single" w:sz="12" w:space="1" w:color="000000"/>
          <w:left w:val="single" w:sz="12" w:space="4" w:color="000000"/>
          <w:bottom w:val="single" w:sz="12" w:space="1" w:color="000000"/>
          <w:right w:val="single" w:sz="12" w:space="4" w:color="000000"/>
        </w:pBdr>
        <w:jc w:val="both"/>
        <w:rPr>
          <w:color w:val="000000"/>
        </w:rPr>
      </w:pPr>
      <w:r>
        <w:rPr>
          <w:color w:val="000000"/>
        </w:rPr>
        <w:t>Indiquer le niveau de fond de fouille.</w:t>
      </w:r>
    </w:p>
    <w:p>
      <w:pPr>
        <w:pStyle w:val="Normal"/>
        <w:rPr>
          <w:b/>
          <w:color w:val="000000"/>
        </w:rPr>
      </w:pPr>
      <w:r>
        <w:rPr>
          <w:b/>
          <w:color w:val="000000"/>
        </w:rPr>
      </w:r>
    </w:p>
    <w:p>
      <w:pPr>
        <w:pStyle w:val="Normal"/>
        <w:rPr>
          <w:b/>
          <w:color w:val="000000"/>
        </w:rPr>
      </w:pPr>
      <w:r>
        <w:rPr>
          <w:b/>
          <w:color w:val="000000"/>
        </w:rPr>
      </w:r>
    </w:p>
    <w:p>
      <w:pPr>
        <w:pStyle w:val="Heading1"/>
        <w:ind w:hanging="0" w:start="0"/>
        <w:rPr>
          <w:caps w:val="false"/>
          <w:smallCaps w:val="false"/>
        </w:rPr>
      </w:pPr>
      <w:r>
        <w:rPr>
          <w:caps w:val="false"/>
          <w:smallCaps w:val="false"/>
        </w:rPr>
        <w:t xml:space="preserve">E. 4.3.2. REMBLAIS </w:t>
      </w:r>
    </w:p>
    <w:p>
      <w:pPr>
        <w:pStyle w:val="Normal"/>
        <w:rPr>
          <w:color w:val="000000"/>
        </w:rPr>
      </w:pPr>
      <w:r>
        <w:rPr>
          <w:color w:val="000000"/>
        </w:rPr>
      </w:r>
    </w:p>
    <w:p>
      <w:pPr>
        <w:pStyle w:val="Puces2"/>
        <w:numPr>
          <w:ilvl w:val="0"/>
          <w:numId w:val="3"/>
        </w:numPr>
        <w:tabs>
          <w:tab w:val="clear" w:pos="284"/>
          <w:tab w:val="left" w:pos="360" w:leader="none"/>
        </w:tabs>
        <w:ind w:hanging="360" w:start="360"/>
        <w:rPr/>
      </w:pPr>
      <w:r>
        <w:rPr/>
        <w:t>Indiquer</w:t>
      </w:r>
      <w:r>
        <w:rPr>
          <w:b/>
        </w:rPr>
        <w:t xml:space="preserve"> </w:t>
      </w:r>
      <w:r>
        <w:rPr/>
        <w:t xml:space="preserve">les prescriptions relatives aux matériaux à fournir si celles-ci diffèrent des prescriptions du </w:t>
      </w:r>
      <w:r>
        <w:rPr>
          <w:color w:val="0000FF"/>
        </w:rPr>
        <w:t>C. 3</w:t>
      </w:r>
      <w:r>
        <w:rPr/>
        <w:t>.</w:t>
      </w:r>
    </w:p>
    <w:p>
      <w:pPr>
        <w:pStyle w:val="Puces2"/>
        <w:numPr>
          <w:ilvl w:val="0"/>
          <w:numId w:val="3"/>
        </w:numPr>
        <w:tabs>
          <w:tab w:val="clear" w:pos="284"/>
          <w:tab w:val="left" w:pos="360" w:leader="none"/>
        </w:tabs>
        <w:ind w:hanging="360" w:start="360"/>
        <w:rPr/>
      </w:pPr>
      <w:r>
        <w:rPr/>
        <w:t xml:space="preserve">Indiquer les impositions d’exécution. </w:t>
      </w:r>
    </w:p>
    <w:p>
      <w:pPr>
        <w:pStyle w:val="Puces2"/>
        <w:numPr>
          <w:ilvl w:val="0"/>
          <w:numId w:val="3"/>
        </w:numPr>
        <w:tabs>
          <w:tab w:val="clear" w:pos="284"/>
          <w:tab w:val="left" w:pos="360" w:leader="none"/>
        </w:tabs>
        <w:ind w:hanging="360" w:start="360"/>
        <w:rPr/>
      </w:pPr>
      <w:r>
        <w:rPr/>
        <w:t>Indiquer sur les plans la forme et les dimensions des massifs de remblai.</w:t>
      </w:r>
    </w:p>
    <w:p>
      <w:pPr>
        <w:pStyle w:val="Normal"/>
        <w:rPr>
          <w:b/>
          <w:color w:val="000000"/>
        </w:rPr>
      </w:pPr>
      <w:r>
        <w:rPr>
          <w:b/>
          <w:color w:val="000000"/>
        </w:rPr>
      </w:r>
    </w:p>
    <w:p>
      <w:pPr>
        <w:pStyle w:val="Normal"/>
        <w:rPr>
          <w:b/>
          <w:color w:val="000000"/>
        </w:rPr>
      </w:pPr>
      <w:r>
        <w:rPr>
          <w:b/>
          <w:color w:val="000000"/>
        </w:rPr>
      </w:r>
    </w:p>
    <w:p>
      <w:pPr>
        <w:pStyle w:val="Normal"/>
        <w:numPr>
          <w:ilvl w:val="0"/>
          <w:numId w:val="0"/>
        </w:numPr>
        <w:spacing w:lineRule="atLeast" w:line="300"/>
        <w:outlineLvl w:val="0"/>
        <w:rPr>
          <w:b/>
          <w:caps/>
          <w:color w:val="000000"/>
        </w:rPr>
      </w:pPr>
      <w:commentRangeStart w:id="4"/>
      <w:r>
        <w:rPr>
          <w:b/>
          <w:caps/>
          <w:color w:val="000000"/>
        </w:rPr>
        <w:t>E. 4.3.2.4. VERIFICATIONS</w:t>
      </w:r>
      <w:commentRangeEnd w:id="4"/>
      <w:r>
        <w:commentReference w:id="4"/>
      </w:r>
      <w:r>
        <w:rPr>
          <w:vanish w:val="false"/>
          <w:color w:val="000000"/>
          <w:sz w:val="16"/>
          <w:szCs w:val="16"/>
        </w:rPr>
      </w:r>
    </w:p>
    <w:p>
      <w:pPr>
        <w:pStyle w:val="Normal"/>
        <w:rPr>
          <w:b/>
          <w:caps/>
          <w:color w:val="000000"/>
        </w:rPr>
      </w:pPr>
      <w:r>
        <w:rPr>
          <w:b/>
          <w:caps/>
          <w:color w:val="000000"/>
        </w:rPr>
      </w:r>
    </w:p>
    <w:p>
      <w:pPr>
        <w:pStyle w:val="Normal"/>
        <w:jc w:val="both"/>
        <w:rPr>
          <w:i/>
          <w:color w:val="000000"/>
        </w:rPr>
      </w:pPr>
      <w:r>
        <w:rPr>
          <w:i/>
          <w:color w:val="000000"/>
        </w:rPr>
        <w:t xml:space="preserve">Le CCT QUALIROUTES prévoit qu'au moins un essai soit réalisé pour chaque massif de remblai. Le nombre minimal d'essais peut également être spécifié dans les documents de marché. </w:t>
      </w:r>
    </w:p>
    <w:p>
      <w:pPr>
        <w:pStyle w:val="Normal"/>
        <w:jc w:val="both"/>
        <w:rPr>
          <w:i/>
          <w:color w:val="000000"/>
        </w:rPr>
      </w:pPr>
      <w:r>
        <w:rPr>
          <w:i/>
          <w:color w:val="000000"/>
        </w:rPr>
      </w:r>
    </w:p>
    <w:p>
      <w:pPr>
        <w:pStyle w:val="Normal"/>
        <w:pBdr>
          <w:top w:val="single" w:sz="12" w:space="1" w:color="000000"/>
          <w:left w:val="single" w:sz="12" w:space="4" w:color="000000"/>
          <w:bottom w:val="single" w:sz="12" w:space="1" w:color="000000"/>
          <w:right w:val="single" w:sz="12" w:space="4" w:color="000000"/>
        </w:pBdr>
        <w:jc w:val="both"/>
        <w:rPr>
          <w:color w:val="000000"/>
        </w:rPr>
      </w:pPr>
      <w:r>
        <w:rPr>
          <w:color w:val="000000"/>
        </w:rPr>
        <w:t xml:space="preserve">Le cas échéant, préciser la densité minimale d'essais de vérification </w:t>
      </w:r>
    </w:p>
    <w:p>
      <w:pPr>
        <w:pStyle w:val="Normal"/>
        <w:rPr>
          <w:b/>
          <w:color w:val="000000"/>
        </w:rPr>
      </w:pPr>
      <w:r>
        <w:rPr>
          <w:b/>
          <w:color w:val="000000"/>
        </w:rPr>
      </w:r>
    </w:p>
    <w:p>
      <w:pPr>
        <w:pStyle w:val="Normal"/>
        <w:rPr>
          <w:b/>
          <w:color w:val="000000"/>
        </w:rPr>
      </w:pPr>
      <w:r>
        <w:rPr>
          <w:b/>
          <w:color w:val="000000"/>
        </w:rPr>
      </w:r>
    </w:p>
    <w:p>
      <w:pPr>
        <w:pStyle w:val="Heading1"/>
        <w:ind w:hanging="0" w:start="0"/>
        <w:jc w:val="start"/>
        <w:rPr>
          <w:caps w:val="false"/>
          <w:smallCaps w:val="false"/>
        </w:rPr>
      </w:pPr>
      <w:r>
        <w:rPr>
          <w:caps w:val="false"/>
          <w:smallCaps w:val="false"/>
        </w:rPr>
        <w:t>E. 5. TERRASSEMENTS POUR CANALISATIONS, RACCORDEMENTS, CHAMBRES DE VISITE OU D'APPAREILS, DRAINS, GAINES</w:t>
      </w:r>
    </w:p>
    <w:p>
      <w:pPr>
        <w:pStyle w:val="Normal"/>
        <w:jc w:val="both"/>
        <w:rPr>
          <w:b/>
          <w:color w:val="000000"/>
        </w:rPr>
      </w:pPr>
      <w:r>
        <w:rPr>
          <w:b/>
          <w:color w:val="000000"/>
        </w:rPr>
      </w:r>
    </w:p>
    <w:p>
      <w:pPr>
        <w:pStyle w:val="Corpsdetexte3"/>
        <w:jc w:val="both"/>
        <w:rPr/>
      </w:pPr>
      <w:r>
        <w:rPr/>
        <w:t>Le terrassement pour les tranchées fait toujours l'objet d'un poste distinct car il n’est pas inclus dans les postes relatifs aux canalisations (chapitre I).</w:t>
      </w:r>
    </w:p>
    <w:p>
      <w:pPr>
        <w:pStyle w:val="Corpsdetexte3"/>
        <w:jc w:val="both"/>
        <w:rPr/>
      </w:pPr>
      <w:r>
        <w:rPr/>
        <w:t>Le chargement des terres excédentaires fait l’objet d’un poste séparé.</w:t>
      </w:r>
    </w:p>
    <w:p>
      <w:pPr>
        <w:pStyle w:val="Normal"/>
        <w:rPr>
          <w:b/>
          <w:i/>
          <w:color w:val="000000"/>
        </w:rPr>
      </w:pPr>
      <w:r>
        <w:rPr>
          <w:b/>
          <w:i/>
          <w:color w:val="000000"/>
        </w:rPr>
      </w:r>
    </w:p>
    <w:p>
      <w:pPr>
        <w:pStyle w:val="Normal"/>
        <w:rPr>
          <w:b/>
          <w:i/>
          <w:color w:val="000000"/>
        </w:rPr>
      </w:pPr>
      <w:r>
        <w:rPr>
          <w:b/>
          <w:i/>
          <w:color w:val="000000"/>
        </w:rPr>
      </w:r>
    </w:p>
    <w:p>
      <w:pPr>
        <w:pStyle w:val="Heading1"/>
        <w:ind w:hanging="0" w:start="0"/>
        <w:rPr>
          <w:caps w:val="false"/>
          <w:smallCaps w:val="false"/>
        </w:rPr>
      </w:pPr>
      <w:r>
        <w:rPr>
          <w:caps w:val="false"/>
          <w:smallCaps w:val="false"/>
        </w:rPr>
        <w:t>E. 5.1.2.1. TERRASSEMENTS POUR CANALISATIONS, RACCORDEMENTS, CHAMBRES DE VISITE OU D’APPAREILS, DRAINS, GAINES – DEBLAIS – EXÉCUTION</w:t>
      </w:r>
    </w:p>
    <w:p>
      <w:pPr>
        <w:pStyle w:val="Normal"/>
        <w:rPr>
          <w:b/>
          <w:i/>
          <w:color w:val="000000"/>
        </w:rPr>
      </w:pPr>
      <w:r>
        <w:rPr>
          <w:b/>
          <w:i/>
          <w:color w:val="000000"/>
        </w:rPr>
      </w:r>
    </w:p>
    <w:p>
      <w:pPr>
        <w:pStyle w:val="Corpsdetexte2"/>
        <w:rPr>
          <w:b w:val="false"/>
        </w:rPr>
      </w:pPr>
      <w:r>
        <w:rPr>
          <w:b w:val="false"/>
        </w:rPr>
        <w:t>Préciser la localisation et l’objet des blindages particuliers.</w:t>
      </w:r>
    </w:p>
    <w:p>
      <w:pPr>
        <w:pStyle w:val="Normal"/>
        <w:spacing w:lineRule="atLeast" w:line="300"/>
        <w:jc w:val="both"/>
        <w:rPr>
          <w:b/>
          <w:color w:val="000000"/>
        </w:rPr>
      </w:pPr>
      <w:r>
        <w:rPr>
          <w:b/>
          <w:color w:val="000000"/>
        </w:rPr>
      </w:r>
    </w:p>
    <w:p>
      <w:pPr>
        <w:pStyle w:val="Normal"/>
        <w:spacing w:lineRule="atLeast" w:line="300"/>
        <w:jc w:val="both"/>
        <w:rPr>
          <w:color w:val="000000"/>
        </w:rPr>
      </w:pPr>
      <w:r>
        <w:rPr>
          <w:color w:val="000000"/>
        </w:rPr>
      </w:r>
    </w:p>
    <w:p>
      <w:pPr>
        <w:pStyle w:val="Heading1"/>
        <w:ind w:hanging="0" w:start="0"/>
        <w:rPr>
          <w:caps w:val="false"/>
          <w:smallCaps w:val="false"/>
        </w:rPr>
      </w:pPr>
      <w:r>
        <w:rPr>
          <w:caps w:val="false"/>
          <w:smallCaps w:val="false"/>
        </w:rPr>
        <w:t>E. 5.1.2.2. TERRASSEMENTS POUR CANALISATIONS, RACCORDEMENTS, CHAMBRES DE VISITE OU D’APPAREILS, DRAINS, GAINES – DEBLAIS – SPÉCIFICATIONS</w:t>
      </w:r>
    </w:p>
    <w:p>
      <w:pPr>
        <w:pStyle w:val="Normal"/>
        <w:rPr>
          <w:b/>
          <w:i/>
          <w:color w:val="000000"/>
        </w:rPr>
      </w:pPr>
      <w:r>
        <w:rPr>
          <w:b/>
          <w:i/>
          <w:color w:val="000000"/>
        </w:rPr>
      </w:r>
    </w:p>
    <w:p>
      <w:pPr>
        <w:pStyle w:val="Normal"/>
        <w:numPr>
          <w:ilvl w:val="0"/>
          <w:numId w:val="3"/>
        </w:numPr>
        <w:pBdr>
          <w:top w:val="single" w:sz="12" w:space="1" w:color="000000"/>
          <w:left w:val="single" w:sz="12" w:space="4" w:color="000000"/>
          <w:bottom w:val="single" w:sz="12" w:space="1" w:color="000000"/>
          <w:right w:val="single" w:sz="12" w:space="4" w:color="000000"/>
        </w:pBdr>
        <w:spacing w:lineRule="atLeast" w:line="300"/>
        <w:jc w:val="both"/>
        <w:rPr>
          <w:color w:val="000000"/>
        </w:rPr>
      </w:pPr>
      <w:commentRangeStart w:id="5"/>
      <w:r>
        <w:rPr>
          <w:color w:val="000000"/>
        </w:rPr>
        <w:t>Indiquer le critère de compacité ou de portance à atteindre, si celui-ci est différent de ceux fournis par le E. 3.3.3.1 pour les couches de remblais</w:t>
      </w:r>
    </w:p>
    <w:p>
      <w:pPr>
        <w:pStyle w:val="Normal"/>
        <w:numPr>
          <w:ilvl w:val="0"/>
          <w:numId w:val="3"/>
        </w:numPr>
        <w:pBdr>
          <w:top w:val="single" w:sz="12" w:space="1" w:color="000000"/>
          <w:left w:val="single" w:sz="12" w:space="4" w:color="000000"/>
          <w:bottom w:val="single" w:sz="12" w:space="1" w:color="000000"/>
          <w:right w:val="single" w:sz="12" w:space="4" w:color="000000"/>
        </w:pBdr>
        <w:tabs>
          <w:tab w:val="clear" w:pos="567"/>
          <w:tab w:val="left" w:pos="284" w:leader="none"/>
        </w:tabs>
        <w:spacing w:lineRule="atLeast" w:line="300"/>
        <w:jc w:val="both"/>
        <w:rPr>
          <w:color w:val="000000"/>
        </w:rPr>
      </w:pPr>
      <w:r>
        <w:rPr>
          <w:color w:val="000000"/>
        </w:rPr>
        <w:t>Le cas échéant, décrire les dispositions prévues par l'auteur de projet dans le cas où les critères du  E. 3.3.3.1 pour les couches de remblais ne sont pas atteints en fond de tranchée.</w:t>
      </w:r>
      <w:commentRangeEnd w:id="5"/>
      <w:r>
        <w:commentReference w:id="5"/>
      </w:r>
      <w:r>
        <w:rPr>
          <w:vanish w:val="false"/>
          <w:color w:val="000000"/>
          <w:sz w:val="16"/>
          <w:szCs w:val="16"/>
        </w:rPr>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caps w:val="false"/>
          <w:smallCaps w:val="false"/>
        </w:rPr>
      </w:pPr>
      <w:r>
        <w:rPr>
          <w:caps w:val="false"/>
          <w:smallCaps w:val="false"/>
        </w:rPr>
        <w:t>E. 5.1.2.2.1. TERRASSEMENTS POUR CANALISATIONS, RACCORDEMENTS, CHAMBRES DE VISITE OU D’APPAREILS, DRAINS, GAINES – DEBLAIS – SPÉCIFICATIONS RELATIVES AUX TERRASSEMENTS POUR CANALISATIONS, RACCORDEMENTS, CHAMBRES DE VISITE OU D’APPAREILS</w:t>
      </w:r>
    </w:p>
    <w:p>
      <w:pPr>
        <w:pStyle w:val="Normal"/>
        <w:rPr>
          <w:b/>
          <w:i/>
          <w:color w:val="000000"/>
        </w:rPr>
      </w:pPr>
      <w:r>
        <w:rPr>
          <w:b/>
          <w:i/>
          <w:color w:val="000000"/>
        </w:rPr>
      </w:r>
    </w:p>
    <w:p>
      <w:pPr>
        <w:pStyle w:val="Puces2"/>
        <w:numPr>
          <w:ilvl w:val="0"/>
          <w:numId w:val="3"/>
        </w:numPr>
        <w:tabs>
          <w:tab w:val="clear" w:pos="284"/>
          <w:tab w:val="left" w:pos="360" w:leader="none"/>
        </w:tabs>
        <w:ind w:hanging="360" w:start="360"/>
        <w:rPr/>
      </w:pPr>
      <w:r>
        <w:rPr/>
        <w:t>Le cas échéant, indiquer une largeur maximale de tranchée.</w:t>
      </w:r>
    </w:p>
    <w:p>
      <w:pPr>
        <w:pStyle w:val="Puces2"/>
        <w:numPr>
          <w:ilvl w:val="0"/>
          <w:numId w:val="3"/>
        </w:numPr>
        <w:tabs>
          <w:tab w:val="clear" w:pos="284"/>
          <w:tab w:val="left" w:pos="360" w:leader="none"/>
        </w:tabs>
        <w:ind w:hanging="360" w:start="360"/>
        <w:rPr/>
      </w:pPr>
      <w:r>
        <w:rPr/>
        <w:t>Lorsque plusieurs tuyaux sont posés dans la même tranchée, préciser les conditions de pose ainsi que l’espace minimum entre ces tuyaux.</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caps w:val="false"/>
          <w:smallCaps w:val="false"/>
        </w:rPr>
      </w:pPr>
      <w:r>
        <w:rPr>
          <w:caps w:val="false"/>
          <w:smallCaps w:val="false"/>
        </w:rPr>
        <w:t>E. 5.1.2.2.2.3. TERRASSEMENTS POUR CANALISATIONS, RACCORDEMENTS, CHAMBRES DE VISITE OU D’APPAREILS, DRAINS, GAINES – DEBLAIS – SPÉCIFICATIONS RELATIVES AUX TERRASSEMENTS POUR LA POSE DE DRAIN – DRAINAGE TYPE 3</w:t>
      </w:r>
    </w:p>
    <w:p>
      <w:pPr>
        <w:pStyle w:val="Normal"/>
        <w:rPr>
          <w:color w:val="000000"/>
        </w:rPr>
      </w:pPr>
      <w:r>
        <w:rPr>
          <w:color w:val="000000"/>
        </w:rPr>
      </w:r>
    </w:p>
    <w:p>
      <w:pPr>
        <w:pStyle w:val="Corpsdetexte2"/>
        <w:rPr>
          <w:b w:val="false"/>
        </w:rPr>
      </w:pPr>
      <w:r>
        <w:rPr>
          <w:b w:val="false"/>
        </w:rPr>
        <w:t>Indiquer la largeur des tranchées.</w:t>
      </w:r>
    </w:p>
    <w:p>
      <w:pPr>
        <w:pStyle w:val="Normal"/>
        <w:spacing w:lineRule="atLeast" w:line="300"/>
        <w:jc w:val="both"/>
        <w:rPr>
          <w:b/>
          <w:color w:val="000000"/>
        </w:rPr>
      </w:pPr>
      <w:r>
        <w:rPr>
          <w:b/>
          <w:color w:val="000000"/>
        </w:rPr>
      </w:r>
    </w:p>
    <w:p>
      <w:pPr>
        <w:pStyle w:val="Normal"/>
        <w:spacing w:lineRule="atLeast" w:line="300"/>
        <w:jc w:val="both"/>
        <w:rPr>
          <w:color w:val="000000"/>
        </w:rPr>
      </w:pPr>
      <w:r>
        <w:rPr>
          <w:color w:val="000000"/>
        </w:rPr>
      </w:r>
    </w:p>
    <w:p>
      <w:pPr>
        <w:pStyle w:val="Heading1"/>
        <w:ind w:hanging="0" w:start="0"/>
        <w:rPr>
          <w:caps w:val="false"/>
          <w:smallCaps w:val="false"/>
        </w:rPr>
      </w:pPr>
      <w:r>
        <w:rPr>
          <w:caps w:val="false"/>
          <w:smallCaps w:val="false"/>
        </w:rPr>
        <w:t>E. 5.1.2.2.3. TERRASSEMENTS POUR CANALISATIONS, RACCORDEMENTS, CHAMBRES DE VISITE OU D’APPAREILS, DRAINS, GAINES – DEBLAIS – SPÉCIFICATIONS RELATIVES AUX TERRASSEMENTS POUR LA POSE DE GAINES</w:t>
      </w:r>
    </w:p>
    <w:p>
      <w:pPr>
        <w:pStyle w:val="Normal"/>
        <w:rPr>
          <w:b/>
          <w:i/>
          <w:color w:val="000000"/>
        </w:rPr>
      </w:pPr>
      <w:r>
        <w:rPr>
          <w:b/>
          <w:i/>
          <w:color w:val="000000"/>
        </w:rPr>
      </w:r>
    </w:p>
    <w:p>
      <w:pPr>
        <w:pStyle w:val="Corpsdetexte2"/>
        <w:rPr>
          <w:b w:val="false"/>
        </w:rPr>
      </w:pPr>
      <w:r>
        <w:rPr>
          <w:b w:val="false"/>
        </w:rPr>
        <w:t>Indiquer, le cas échéant, la largeur et la profondeur des tranchées.</w:t>
      </w:r>
    </w:p>
    <w:p>
      <w:pPr>
        <w:pStyle w:val="Normal"/>
        <w:spacing w:lineRule="atLeast" w:line="300"/>
        <w:jc w:val="both"/>
        <w:rPr>
          <w:b/>
          <w:color w:val="000000"/>
        </w:rPr>
      </w:pPr>
      <w:r>
        <w:rPr>
          <w:b/>
          <w:color w:val="000000"/>
        </w:rPr>
      </w:r>
    </w:p>
    <w:p>
      <w:pPr>
        <w:pStyle w:val="Normal"/>
        <w:spacing w:lineRule="atLeast" w:line="300"/>
        <w:jc w:val="both"/>
        <w:rPr>
          <w:color w:val="000000"/>
        </w:rPr>
      </w:pPr>
      <w:r>
        <w:rPr>
          <w:color w:val="000000"/>
        </w:rPr>
      </w:r>
    </w:p>
    <w:p>
      <w:pPr>
        <w:pStyle w:val="Heading1"/>
        <w:ind w:hanging="0" w:start="0"/>
        <w:rPr>
          <w:caps w:val="false"/>
          <w:smallCaps w:val="false"/>
        </w:rPr>
      </w:pPr>
      <w:r>
        <w:rPr>
          <w:caps w:val="false"/>
          <w:smallCaps w:val="false"/>
        </w:rPr>
        <w:t>E. 5.2.2.1. TERRASSEMENTS POUR CANALISATIONS, RACCORDEMENTS, CHAMBRES DE VISITE OU D’APPAREILS, DRAINS, GAINES – REMBLAIS – MATÉRIAUX</w:t>
      </w:r>
    </w:p>
    <w:p>
      <w:pPr>
        <w:pStyle w:val="Normal"/>
        <w:rPr>
          <w:b/>
          <w:i/>
          <w:color w:val="000000"/>
        </w:rPr>
      </w:pPr>
      <w:r>
        <w:rPr>
          <w:b/>
          <w:i/>
          <w:color w:val="000000"/>
        </w:rPr>
      </w:r>
    </w:p>
    <w:p>
      <w:pPr>
        <w:pStyle w:val="Corpsdetexte2"/>
        <w:rPr/>
      </w:pPr>
      <w:r>
        <w:rPr>
          <w:b w:val="false"/>
        </w:rPr>
        <w:t xml:space="preserve">Préciser la nature des matériaux de remblai si ceux-ci diffèrent du </w:t>
      </w:r>
      <w:r>
        <w:rPr>
          <w:b w:val="false"/>
          <w:color w:val="0000FF"/>
        </w:rPr>
        <w:t>C. 2.2</w:t>
      </w:r>
      <w:r>
        <w:rPr>
          <w:b w:val="false"/>
        </w:rPr>
        <w:t>.</w:t>
      </w:r>
    </w:p>
    <w:p>
      <w:pPr>
        <w:pStyle w:val="Normal"/>
        <w:spacing w:lineRule="atLeast" w:line="300"/>
        <w:jc w:val="both"/>
        <w:rPr>
          <w:b/>
          <w:color w:val="000000"/>
        </w:rPr>
      </w:pPr>
      <w:r>
        <w:rPr>
          <w:b/>
          <w:color w:val="000000"/>
        </w:rPr>
      </w:r>
    </w:p>
    <w:p>
      <w:pPr>
        <w:pStyle w:val="Normal"/>
        <w:spacing w:lineRule="atLeast" w:line="300"/>
        <w:jc w:val="both"/>
        <w:rPr>
          <w:color w:val="000000"/>
        </w:rPr>
      </w:pPr>
      <w:r>
        <w:rPr>
          <w:color w:val="000000"/>
        </w:rPr>
      </w:r>
    </w:p>
    <w:p>
      <w:pPr>
        <w:pStyle w:val="Normal"/>
        <w:numPr>
          <w:ilvl w:val="0"/>
          <w:numId w:val="0"/>
        </w:numPr>
        <w:spacing w:lineRule="atLeast" w:line="300"/>
        <w:outlineLvl w:val="0"/>
        <w:rPr>
          <w:b/>
          <w:caps/>
          <w:color w:val="000000"/>
        </w:rPr>
      </w:pPr>
      <w:r>
        <w:rPr>
          <w:b/>
          <w:color w:val="000000"/>
        </w:rPr>
        <w:t>E. 5.2.4. VERIFICATIONS</w:t>
      </w:r>
      <w:r>
        <w:rPr>
          <w:vanish w:val="false"/>
          <w:color w:val="000000"/>
          <w:sz w:val="16"/>
          <w:szCs w:val="16"/>
        </w:rPr>
        <w:commentReference w:id="6"/>
      </w:r>
    </w:p>
    <w:p>
      <w:pPr>
        <w:pStyle w:val="Normal"/>
        <w:jc w:val="both"/>
        <w:rPr>
          <w:b/>
          <w:caps/>
          <w:color w:val="000000"/>
        </w:rPr>
      </w:pPr>
      <w:r>
        <w:rPr>
          <w:b/>
          <w:caps/>
          <w:color w:val="000000"/>
        </w:rPr>
      </w:r>
    </w:p>
    <w:p>
      <w:pPr>
        <w:pStyle w:val="Normal"/>
        <w:pBdr>
          <w:top w:val="single" w:sz="12" w:space="1" w:color="000000"/>
          <w:left w:val="single" w:sz="12" w:space="4" w:color="000000"/>
          <w:bottom w:val="single" w:sz="12" w:space="1" w:color="000000"/>
          <w:right w:val="single" w:sz="12" w:space="4" w:color="000000"/>
        </w:pBdr>
        <w:jc w:val="both"/>
        <w:rPr>
          <w:color w:val="000000"/>
        </w:rPr>
      </w:pPr>
      <w:r>
        <w:rPr>
          <w:color w:val="000000"/>
        </w:rPr>
        <w:t xml:space="preserve">Préciser la densité minimale d'essais de vérification </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caps w:val="false"/>
          <w:smallCaps w:val="false"/>
        </w:rPr>
      </w:pPr>
      <w:r>
        <w:rPr>
          <w:caps w:val="false"/>
          <w:smallCaps w:val="false"/>
        </w:rPr>
        <w:t>E. 5.3.2.2. TERRASSEMENT AVEC FOURNITURE DE REMBLAIS</w:t>
      </w:r>
    </w:p>
    <w:p>
      <w:pPr>
        <w:pStyle w:val="Normal"/>
        <w:spacing w:lineRule="atLeast" w:line="300"/>
        <w:jc w:val="both"/>
        <w:rPr>
          <w:color w:val="000000"/>
        </w:rPr>
      </w:pPr>
      <w:r>
        <w:rPr>
          <w:color w:val="000000"/>
        </w:rPr>
      </w:r>
    </w:p>
    <w:p>
      <w:pPr>
        <w:pStyle w:val="Corpsdetexte2"/>
        <w:rPr/>
      </w:pPr>
      <w:r>
        <w:rPr>
          <w:b w:val="false"/>
        </w:rPr>
        <w:t xml:space="preserve">Préciser la nature des matériaux de remblai si ceux-ci diffèrent du </w:t>
      </w:r>
      <w:r>
        <w:rPr>
          <w:b w:val="false"/>
          <w:color w:val="0000FF"/>
        </w:rPr>
        <w:t>C. 2.2</w:t>
      </w:r>
      <w:r>
        <w:rPr>
          <w:b w:val="false"/>
        </w:rPr>
        <w:t>.</w:t>
      </w:r>
    </w:p>
    <w:p>
      <w:pPr>
        <w:pStyle w:val="Normal"/>
        <w:spacing w:lineRule="atLeast" w:line="300"/>
        <w:jc w:val="both"/>
        <w:rPr>
          <w:b/>
          <w:color w:val="000000"/>
        </w:rPr>
      </w:pPr>
      <w:r>
        <w:rPr>
          <w:b/>
          <w:color w:val="000000"/>
        </w:rPr>
      </w:r>
    </w:p>
    <w:p>
      <w:pPr>
        <w:pStyle w:val="Normal"/>
        <w:spacing w:lineRule="atLeast" w:line="300"/>
        <w:jc w:val="both"/>
        <w:rPr>
          <w:color w:val="000000"/>
        </w:rPr>
      </w:pPr>
      <w:r>
        <w:rPr>
          <w:color w:val="000000"/>
        </w:rPr>
      </w:r>
    </w:p>
    <w:p>
      <w:pPr>
        <w:pStyle w:val="Normal"/>
        <w:spacing w:lineRule="atLeast" w:line="300"/>
        <w:jc w:val="both"/>
        <w:rPr>
          <w:b/>
          <w:color w:val="000000"/>
        </w:rPr>
      </w:pPr>
      <w:commentRangeStart w:id="7"/>
      <w:r>
        <w:rPr>
          <w:b/>
          <w:color w:val="000000"/>
        </w:rPr>
        <w:t>E. 5.3.2.4. TERRASSEMENT AVEC TRAITEMENT DES REMBLAIS</w:t>
      </w:r>
      <w:commentRangeEnd w:id="7"/>
      <w:r>
        <w:commentReference w:id="7"/>
      </w:r>
      <w:r>
        <w:rPr>
          <w:vanish w:val="false"/>
          <w:color w:val="000000"/>
          <w:sz w:val="16"/>
          <w:szCs w:val="16"/>
        </w:rPr>
      </w:r>
    </w:p>
    <w:p>
      <w:pPr>
        <w:pStyle w:val="Normal"/>
        <w:spacing w:lineRule="atLeast" w:line="300"/>
        <w:jc w:val="both"/>
        <w:rPr>
          <w:b/>
          <w:i/>
          <w:color w:val="000000"/>
        </w:rPr>
      </w:pPr>
      <w:r>
        <w:rPr>
          <w:b/>
          <w:i/>
          <w:color w:val="000000"/>
        </w:rPr>
      </w:r>
    </w:p>
    <w:p>
      <w:pPr>
        <w:pStyle w:val="Normal"/>
        <w:spacing w:lineRule="atLeast" w:line="300"/>
        <w:jc w:val="both"/>
        <w:rPr>
          <w:i/>
          <w:color w:val="000000"/>
          <w:szCs w:val="24"/>
        </w:rPr>
      </w:pPr>
      <w:r>
        <w:rPr>
          <w:i/>
          <w:color w:val="000000"/>
          <w:szCs w:val="24"/>
        </w:rPr>
        <w:t>En cas de remblais traités, ne pas oublier d’ouvrir l’ensemble des postes suivants :</w:t>
      </w:r>
    </w:p>
    <w:p>
      <w:pPr>
        <w:pStyle w:val="Normal"/>
        <w:spacing w:lineRule="atLeast" w:line="300"/>
        <w:jc w:val="both"/>
        <w:rPr>
          <w:i/>
          <w:color w:val="000000"/>
          <w:szCs w:val="24"/>
        </w:rPr>
      </w:pPr>
      <w:r>
        <w:rPr>
          <w:i/>
          <w:color w:val="000000"/>
          <w:szCs w:val="24"/>
        </w:rPr>
      </w:r>
    </w:p>
    <w:p>
      <w:pPr>
        <w:pStyle w:val="Sansinterligne"/>
        <w:spacing w:before="120" w:after="0"/>
        <w:rPr>
          <w:rFonts w:ascii="Times New Roman" w:hAnsi="Times New Roman" w:cs="Times New Roman"/>
          <w:i/>
          <w:iCs/>
          <w:sz w:val="24"/>
          <w:szCs w:val="24"/>
          <w:lang w:val="fr-BE"/>
        </w:rPr>
      </w:pPr>
      <w:r>
        <w:rPr>
          <w:rFonts w:cs="Times New Roman" w:ascii="Times New Roman" w:hAnsi="Times New Roman"/>
          <w:i/>
          <w:iCs/>
          <w:sz w:val="24"/>
          <w:szCs w:val="24"/>
          <w:lang w:val="fr-BE"/>
        </w:rPr>
        <w:t xml:space="preserve">Le déblai est payé sur le poste E9110-C "déblais excédentaires en vue d’une réutilisation sur chantier". </w:t>
      </w:r>
    </w:p>
    <w:p>
      <w:pPr>
        <w:pStyle w:val="Sansinterligne"/>
        <w:spacing w:before="120" w:after="0"/>
        <w:rPr/>
      </w:pPr>
      <w:r>
        <w:rPr>
          <w:rFonts w:cs="Times New Roman" w:ascii="Times New Roman" w:hAnsi="Times New Roman"/>
          <w:i/>
          <w:iCs/>
          <w:sz w:val="24"/>
          <w:szCs w:val="24"/>
          <w:lang w:val="fr-BE"/>
        </w:rPr>
        <w:t>Le remblai doit être payé au moyen du poste E9151-C "remblai de substitution conforme au C.2.2. en provenance du chantier"</w:t>
      </w:r>
      <w:r>
        <w:rPr>
          <w:rFonts w:cs="Times New Roman" w:ascii="Times New Roman" w:hAnsi="Times New Roman"/>
          <w:sz w:val="24"/>
          <w:szCs w:val="24"/>
          <w:lang w:val="fr-BE"/>
        </w:rPr>
        <w:t>.</w:t>
      </w:r>
    </w:p>
    <w:p>
      <w:pPr>
        <w:pStyle w:val="Normal"/>
        <w:spacing w:lineRule="atLeast" w:line="300"/>
        <w:jc w:val="both"/>
        <w:rPr>
          <w:rFonts w:ascii="Times New Roman" w:hAnsi="Times New Roman" w:cs="Times New Roman"/>
          <w:i/>
          <w:color w:val="000000"/>
          <w:sz w:val="24"/>
          <w:szCs w:val="24"/>
          <w:lang w:val="fr-BE"/>
        </w:rPr>
      </w:pPr>
      <w:r>
        <w:rPr>
          <w:rFonts w:cs="Times New Roman"/>
          <w:i/>
          <w:color w:val="000000"/>
          <w:sz w:val="24"/>
          <w:szCs w:val="24"/>
          <w:lang w:val="fr-BE"/>
        </w:rPr>
      </w:r>
    </w:p>
    <w:sectPr>
      <w:headerReference w:type="default" r:id="rId2"/>
      <w:footerReference w:type="default" r:id="rId3"/>
      <w:type w:val="nextPage"/>
      <w:pgSz w:w="11906" w:h="16838"/>
      <w:pgMar w:left="1304" w:right="1304" w:gutter="0" w:header="720" w:top="1134" w:footer="720" w:bottom="1134"/>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ecile Havron" w:date="2025-05-26T16:15:00Z" w:initials="CH">
    <w:p>
      <w:pPr>
        <w:overflowPunct w:val="false"/>
        <w:bidi w:val="0"/>
        <w:spacing w:lineRule="exact" w:line="312"/>
        <w:rPr/>
      </w:pPr>
      <w:r>
        <w:annotationRef/>
      </w:r>
      <w:r>
        <w:rPr>
          <w:rFonts w:ascii="Times New Roman" w:hAnsi="Times New Roman" w:eastAsia="Times New Roman" w:cs="Times New Roman"/>
          <w:color w:val="000000"/>
          <w:sz w:val="20"/>
          <w:szCs w:val="20"/>
          <w:lang w:eastAsia="en-US" w:bidi="ar-SA" w:val="fr-BE"/>
        </w:rPr>
        <w:t>Idem Commentaire 1</w:t>
      </w:r>
    </w:p>
  </w:comment>
  <w:comment w:id="1" w:author="Cecile Havron" w:date="2025-05-26T16:16:00Z" w:initials="CH">
    <w:p>
      <w:pPr>
        <w:overflowPunct w:val="false"/>
        <w:bidi w:val="0"/>
        <w:spacing w:lineRule="exact" w:line="312"/>
        <w:rPr/>
      </w:pPr>
      <w:r>
        <w:annotationRef/>
      </w:r>
      <w:r>
        <w:rPr>
          <w:rFonts w:ascii="Times New Roman" w:hAnsi="Times New Roman" w:eastAsia="Times New Roman" w:cs="Times New Roman"/>
          <w:color w:val="000000"/>
          <w:sz w:val="20"/>
          <w:szCs w:val="20"/>
          <w:lang w:eastAsia="en-US" w:bidi="ar-SA" w:val="fr-BE"/>
        </w:rPr>
        <w:t>Idem Commentaire 1</w:t>
      </w:r>
    </w:p>
  </w:comment>
  <w:comment w:id="2" w:author="LOPPE Thierry" w:date="2025-07-23T10:39:00Z" w:initials="TL">
    <w:p>
      <w:pPr>
        <w:overflowPunct w:val="false"/>
        <w:bidi w:val="0"/>
        <w:spacing w:lineRule="exact" w:line="312"/>
        <w:rPr/>
      </w:pPr>
      <w:r>
        <w:annotationRef/>
      </w:r>
      <w:r>
        <w:rPr>
          <w:rFonts w:ascii="Times New Roman" w:hAnsi="Times New Roman" w:eastAsia="Times New Roman" w:cs="Times New Roman"/>
          <w:color w:val="000000"/>
          <w:sz w:val="20"/>
          <w:szCs w:val="20"/>
          <w:lang w:eastAsia="en-US" w:val="fr-FR" w:bidi="ar-SA"/>
        </w:rPr>
        <w:t>Modification</w:t>
      </w:r>
    </w:p>
  </w:comment>
  <w:comment w:id="3" w:author="Cecile Havron" w:date="2025-05-26T16:35:00Z" w:initials="CH">
    <w:p>
      <w:pPr>
        <w:overflowPunct w:val="false"/>
        <w:bidi w:val="0"/>
        <w:spacing w:lineRule="exact" w:line="312"/>
        <w:rPr/>
      </w:pPr>
      <w:r>
        <w:annotationRef/>
      </w:r>
      <w:r>
        <w:rPr>
          <w:rFonts w:ascii="Times New Roman" w:hAnsi="Times New Roman" w:eastAsia="Times New Roman" w:cs="Times New Roman"/>
          <w:color w:val="000000"/>
          <w:sz w:val="20"/>
          <w:szCs w:val="20"/>
          <w:lang w:eastAsia="en-US" w:bidi="ar-SA" w:val="fr-BE"/>
        </w:rPr>
        <w:t>Idem Commentaire 1</w:t>
      </w:r>
    </w:p>
  </w:comment>
  <w:comment w:id="4" w:author="Cecile Havron" w:date="2025-05-26T16:36:00Z" w:initials="CH">
    <w:p>
      <w:pPr>
        <w:overflowPunct w:val="false"/>
        <w:bidi w:val="0"/>
        <w:spacing w:lineRule="exact" w:line="312"/>
        <w:rPr/>
      </w:pPr>
      <w:r>
        <w:annotationRef/>
      </w:r>
      <w:r>
        <w:rPr>
          <w:rFonts w:ascii="Times New Roman" w:hAnsi="Times New Roman" w:eastAsia="Times New Roman" w:cs="Times New Roman"/>
          <w:color w:val="000000"/>
          <w:sz w:val="20"/>
          <w:szCs w:val="20"/>
          <w:lang w:eastAsia="en-US" w:bidi="ar-SA" w:val="fr-BE"/>
        </w:rPr>
        <w:t>Idem Commentaire 1</w:t>
      </w:r>
    </w:p>
  </w:comment>
  <w:comment w:id="5" w:author="Cecile Havron" w:date="2025-05-26T16:36:00Z" w:initials="CH">
    <w:p>
      <w:pPr>
        <w:overflowPunct w:val="false"/>
        <w:bidi w:val="0"/>
        <w:spacing w:lineRule="exact" w:line="312"/>
        <w:rPr/>
      </w:pPr>
      <w:r>
        <w:annotationRef/>
      </w:r>
      <w:r>
        <w:rPr>
          <w:rFonts w:ascii="Times New Roman" w:hAnsi="Times New Roman" w:eastAsia="Times New Roman" w:cs="Times New Roman"/>
          <w:color w:val="000000"/>
          <w:sz w:val="20"/>
          <w:szCs w:val="20"/>
          <w:lang w:eastAsia="en-US" w:bidi="ar-SA" w:val="fr-BE"/>
        </w:rPr>
        <w:t>Idem Commentaire 1</w:t>
      </w:r>
    </w:p>
  </w:comment>
  <w:comment w:id="6" w:author="Cecile Havron" w:date="2025-05-26T16:37:00Z" w:initials="CH">
    <w:p>
      <w:pPr>
        <w:overflowPunct w:val="false"/>
        <w:bidi w:val="0"/>
        <w:spacing w:lineRule="exact" w:line="312"/>
        <w:rPr/>
      </w:pPr>
      <w:r>
        <w:annotationRef/>
      </w:r>
      <w:r>
        <w:rPr>
          <w:rFonts w:ascii="Times New Roman" w:hAnsi="Times New Roman" w:eastAsia="Times New Roman" w:cs="Times New Roman"/>
          <w:color w:val="000000"/>
          <w:sz w:val="20"/>
          <w:szCs w:val="20"/>
          <w:lang w:eastAsia="en-US" w:bidi="ar-SA" w:val="fr-BE"/>
        </w:rPr>
        <w:t>Idem Commentaire 1</w:t>
      </w:r>
    </w:p>
  </w:comment>
  <w:comment w:id="7" w:author="Cecile Havron" w:date="2025-05-26T16:39:00Z" w:initials="CH">
    <w:p>
      <w:pPr>
        <w:overflowPunct w:val="false"/>
        <w:bidi w:val="0"/>
        <w:spacing w:lineRule="exact" w:line="312"/>
        <w:rPr/>
      </w:pPr>
      <w:r>
        <w:annotationRef/>
      </w:r>
      <w:r>
        <w:rPr>
          <w:rFonts w:ascii="Times New Roman" w:hAnsi="Times New Roman" w:eastAsia="Times New Roman" w:cs="Times New Roman"/>
          <w:color w:val="000000"/>
          <w:sz w:val="20"/>
          <w:szCs w:val="20"/>
          <w:lang w:eastAsia="en-US" w:bidi="ar-SA" w:val="fr-BE"/>
        </w:rPr>
        <w:t>Coquille</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 w:name="Elite">
    <w:altName w:val="Courier New"/>
    <w:charset w:val="00" w:characterSet="windows-1252"/>
    <w:family w:val="auto"/>
    <w:pitch w:val="default"/>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Arial" w:ascii="Arial" w:hAnsi="Arial"/>
        <w:color w:val="000000"/>
        <w:sz w:val="20"/>
      </w:rPr>
      <w:t xml:space="preserve">Modèle de CSC du Chapitre E – Version du 01/01/2026 – </w:t>
    </w:r>
    <w:r>
      <w:rPr>
        <w:rFonts w:cs="Arial" w:ascii="Arial" w:hAnsi="Arial"/>
        <w:color w:val="000000"/>
        <w:sz w:val="20"/>
      </w:rPr>
      <w:fldChar w:fldCharType="begin"/>
    </w:r>
    <w:r>
      <w:rPr>
        <w:rFonts w:cs="Arial" w:ascii="Arial" w:hAnsi="Arial"/>
        <w:color w:val="000000"/>
        <w:sz w:val="20"/>
      </w:rPr>
      <w:instrText xml:space="preserve"> PAGE </w:instrText>
    </w:r>
    <w:r>
      <w:rPr>
        <w:rFonts w:cs="Arial" w:ascii="Arial" w:hAnsi="Arial"/>
        <w:color w:val="000000"/>
        <w:sz w:val="20"/>
      </w:rPr>
      <w:fldChar w:fldCharType="separate"/>
    </w:r>
    <w:r>
      <w:rPr>
        <w:rFonts w:cs="Arial" w:ascii="Arial" w:hAnsi="Arial"/>
        <w:color w:val="000000"/>
        <w:sz w:val="20"/>
      </w:rPr>
      <w:t>8</w:t>
    </w:r>
    <w:r>
      <w:rPr>
        <w:rFonts w:cs="Arial" w:ascii="Arial" w:hAnsi="Arial"/>
        <w:color w:val="000000"/>
        <w:sz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0" w:after="0"/>
      <w:jc w:val="both"/>
      <w:rPr>
        <w:rFonts w:ascii="Times New Roman" w:hAnsi="Times New Roman" w:cs="Times New Roman"/>
      </w:rPr>
    </w:pPr>
    <w:r>
      <w:rPr>
        <w:rFonts w:cs="Times New Roman" w:ascii="Times New Roman" w:hAnsi="Times New Roman"/>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numFmt w:val="bullet"/>
      <w:lvlText w:val="-"/>
      <w:lvlJc w:val="start"/>
      <w:pPr>
        <w:tabs>
          <w:tab w:val="num" w:pos="0"/>
        </w:tabs>
        <w:ind w:start="720" w:hanging="360"/>
      </w:pPr>
      <w:rPr>
        <w:rFonts w:ascii="Arial" w:hAnsi="Arial" w:cs="Arial" w:hint="default"/>
      </w:rPr>
    </w:lvl>
  </w:abstractNum>
  <w:abstractNum w:abstractNumId="3">
    <w:lvl w:ilvl="0">
      <w:start w:val="1"/>
      <w:numFmt w:val="bullet"/>
      <w:lvlText w:val="–"/>
      <w:lvlJc w:val="start"/>
      <w:pPr>
        <w:tabs>
          <w:tab w:val="num" w:pos="360"/>
        </w:tabs>
        <w:ind w:start="360" w:hanging="360"/>
      </w:pPr>
      <w:rPr>
        <w:rFonts w:ascii="Arial" w:hAnsi="Arial" w:cs="Aria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val="bestFit" w:percent="20"/>
  <w:revisionView w:insDel="0" w:formatting="0"/>
  <w:defaultTabStop w:val="567"/>
  <w:autoHyphenation w:val="true"/>
  <w:hyphenationZone w:val="0"/>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fr-FR" w:eastAsia="zh-CN" w:bidi="hi-IN"/>
      </w:rPr>
    </w:rPrDefault>
    <w:pPrDefault>
      <w:pPr>
        <w:suppressAutoHyphens w:val="true"/>
      </w:pPr>
    </w:pPrDefault>
  </w:docDefaults>
  <w:style w:type="paragraph" w:styleId="Normal">
    <w:name w:val="Normal"/>
    <w:qFormat/>
    <w:pPr>
      <w:widowControl/>
      <w:bidi w:val="0"/>
      <w:spacing w:lineRule="exact" w:line="312"/>
    </w:pPr>
    <w:rPr>
      <w:rFonts w:ascii="Times New Roman" w:hAnsi="Times New Roman" w:eastAsia="Times New Roman" w:cs="Times New Roman"/>
      <w:color w:val="00FFFF"/>
      <w:sz w:val="24"/>
      <w:szCs w:val="20"/>
      <w:lang w:val="fr-FR" w:bidi="ar-SA" w:eastAsia="zh-CN"/>
    </w:rPr>
  </w:style>
  <w:style w:type="paragraph" w:styleId="Heading1">
    <w:name w:val="heading 1"/>
    <w:basedOn w:val="Normal"/>
    <w:next w:val="Normal"/>
    <w:qFormat/>
    <w:pPr>
      <w:numPr>
        <w:ilvl w:val="0"/>
        <w:numId w:val="1"/>
      </w:numPr>
      <w:spacing w:lineRule="atLeast" w:line="300"/>
      <w:jc w:val="both"/>
      <w:outlineLvl w:val="0"/>
    </w:pPr>
    <w:rPr>
      <w:b/>
      <w:caps/>
      <w:color w:val="auto"/>
    </w:rPr>
  </w:style>
  <w:style w:type="paragraph" w:styleId="Heading2">
    <w:name w:val="heading 2"/>
    <w:basedOn w:val="Normal"/>
    <w:next w:val="Normal"/>
    <w:qFormat/>
    <w:pPr>
      <w:keepNext w:val="true"/>
      <w:numPr>
        <w:ilvl w:val="1"/>
        <w:numId w:val="1"/>
      </w:numPr>
      <w:jc w:val="both"/>
      <w:outlineLvl w:val="1"/>
    </w:pPr>
    <w:rPr>
      <w:b/>
      <w:color w:val="auto"/>
    </w:rPr>
  </w:style>
  <w:style w:type="paragraph" w:styleId="Heading3">
    <w:name w:val="heading 3"/>
    <w:basedOn w:val="Normal"/>
    <w:next w:val="Normal"/>
    <w:qFormat/>
    <w:pPr>
      <w:keepNext w:val="true"/>
      <w:numPr>
        <w:ilvl w:val="2"/>
        <w:numId w:val="1"/>
      </w:numPr>
      <w:pBdr>
        <w:top w:val="single" w:sz="12" w:space="1" w:color="000000"/>
        <w:left w:val="single" w:sz="12" w:space="4" w:color="000000"/>
        <w:bottom w:val="single" w:sz="12" w:space="1" w:color="000000"/>
        <w:right w:val="single" w:sz="12" w:space="4" w:color="000000"/>
      </w:pBdr>
      <w:jc w:val="both"/>
      <w:outlineLvl w:val="2"/>
    </w:pPr>
    <w:rPr>
      <w:b/>
      <w:color w:val="auto"/>
      <w:u w:val="single"/>
    </w:rPr>
  </w:style>
  <w:style w:type="paragraph" w:styleId="Heading4">
    <w:name w:val="heading 4"/>
    <w:basedOn w:val="Normal"/>
    <w:next w:val="Normal"/>
    <w:qFormat/>
    <w:pPr>
      <w:keepNext w:val="true"/>
      <w:numPr>
        <w:ilvl w:val="3"/>
        <w:numId w:val="1"/>
      </w:numPr>
      <w:outlineLvl w:val="3"/>
    </w:pPr>
    <w:rPr>
      <w:b/>
      <w:color w:val="auto"/>
    </w:rPr>
  </w:style>
  <w:style w:type="paragraph" w:styleId="Heading5">
    <w:name w:val="heading 5"/>
    <w:basedOn w:val="Normal"/>
    <w:next w:val="Normal"/>
    <w:qFormat/>
    <w:pPr>
      <w:keepNext w:val="true"/>
      <w:numPr>
        <w:ilvl w:val="4"/>
        <w:numId w:val="1"/>
      </w:numPr>
      <w:outlineLvl w:val="4"/>
    </w:pPr>
    <w:rPr>
      <w:i/>
      <w:color w:val="auto"/>
      <w:u w:val="single"/>
    </w:rPr>
  </w:style>
  <w:style w:type="paragraph" w:styleId="Heading6">
    <w:name w:val="heading 6"/>
    <w:basedOn w:val="Normal"/>
    <w:next w:val="Normal"/>
    <w:qFormat/>
    <w:pPr>
      <w:keepNext w:val="true"/>
      <w:numPr>
        <w:ilvl w:val="5"/>
        <w:numId w:val="1"/>
      </w:numPr>
      <w:jc w:val="both"/>
      <w:outlineLvl w:val="5"/>
    </w:pPr>
    <w:rPr>
      <w:i/>
      <w:color w:val="auto"/>
      <w:u w:val="single"/>
    </w:rPr>
  </w:style>
  <w:style w:type="paragraph" w:styleId="Heading7">
    <w:name w:val="heading 7"/>
    <w:basedOn w:val="Normal"/>
    <w:next w:val="Normal"/>
    <w:qFormat/>
    <w:pPr>
      <w:keepNext w:val="true"/>
      <w:numPr>
        <w:ilvl w:val="6"/>
        <w:numId w:val="1"/>
      </w:numPr>
      <w:jc w:val="center"/>
      <w:outlineLvl w:val="6"/>
    </w:pPr>
    <w:rPr>
      <w:b/>
      <w:color w:val="auto"/>
    </w:rPr>
  </w:style>
  <w:style w:type="paragraph" w:styleId="Heading8">
    <w:name w:val="heading 8"/>
    <w:basedOn w:val="Normal"/>
    <w:next w:val="Normal"/>
    <w:qFormat/>
    <w:pPr>
      <w:keepNext w:val="true"/>
      <w:numPr>
        <w:ilvl w:val="7"/>
        <w:numId w:val="1"/>
      </w:numPr>
      <w:tabs>
        <w:tab w:val="clear" w:pos="567"/>
        <w:tab w:val="left" w:pos="1843" w:leader="none"/>
        <w:tab w:val="left" w:pos="6521" w:leader="none"/>
      </w:tabs>
      <w:spacing w:lineRule="atLeast" w:line="300"/>
      <w:outlineLvl w:val="7"/>
    </w:pPr>
    <w:rPr>
      <w:i/>
      <w:color w:val="auto"/>
    </w:rPr>
  </w:style>
  <w:style w:type="character" w:styleId="WW8Num1z0">
    <w:name w:val="WW8Num1z0"/>
    <w:qFormat/>
    <w:rPr>
      <w:rFonts w:ascii="Arial" w:hAnsi="Arial" w:eastAsia="Times New Roman" w:cs="Aria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Arial" w:hAnsi="Arial" w:cs="Arial"/>
    </w:rPr>
  </w:style>
  <w:style w:type="character" w:styleId="Policepardfaut">
    <w:name w:val="Police par défaut"/>
    <w:qFormat/>
    <w:rPr/>
  </w:style>
  <w:style w:type="character" w:styleId="FootnoteCharacters">
    <w:name w:val="Footnote Characters"/>
    <w:qFormat/>
    <w:rPr>
      <w:vertAlign w:val="superscript"/>
    </w:rPr>
  </w:style>
  <w:style w:type="character" w:styleId="PageNumber">
    <w:name w:val="page number"/>
    <w:basedOn w:val="Policepardfaut"/>
    <w:rPr/>
  </w:style>
  <w:style w:type="character" w:styleId="PieddepageCar">
    <w:name w:val="Pied de page Car"/>
    <w:qFormat/>
    <w:rPr>
      <w:color w:val="00FFFF"/>
      <w:sz w:val="24"/>
      <w:lang w:val="fr-FR"/>
    </w:rPr>
  </w:style>
  <w:style w:type="character" w:styleId="Marquedecommentaire">
    <w:name w:val="Marque de commentaire"/>
    <w:qFormat/>
    <w:rPr>
      <w:sz w:val="16"/>
      <w:szCs w:val="16"/>
    </w:rPr>
  </w:style>
  <w:style w:type="character" w:styleId="CommentaireCar">
    <w:name w:val="Commentaire Car"/>
    <w:qFormat/>
    <w:rPr>
      <w:lang w:val="fr-F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jc w:val="both"/>
    </w:pPr>
    <w:rPr>
      <w:i/>
      <w:color w:val="auto"/>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Header">
    <w:name w:val="header"/>
    <w:next w:val="Normal"/>
    <w:pPr>
      <w:widowControl/>
      <w:bidi w:val="0"/>
      <w:spacing w:lineRule="exact" w:line="240" w:before="0" w:after="480"/>
      <w:jc w:val="center"/>
    </w:pPr>
    <w:rPr>
      <w:rFonts w:ascii="Elite;Courier New" w:hAnsi="Elite;Courier New" w:eastAsia="Times New Roman" w:cs="Elite;Courier New"/>
      <w:color w:val="auto"/>
      <w:sz w:val="24"/>
      <w:szCs w:val="20"/>
      <w:lang w:val="fr-FR" w:bidi="ar-SA" w:eastAsia="zh-CN"/>
    </w:rPr>
  </w:style>
  <w:style w:type="paragraph" w:styleId="concerne">
    <w:name w:val="concerne"/>
    <w:basedOn w:val="Normal"/>
    <w:qFormat/>
    <w:pPr>
      <w:spacing w:before="1440" w:after="0"/>
      <w:ind w:hanging="1134" w:start="1134" w:end="0"/>
    </w:pPr>
    <w:rPr>
      <w:b/>
    </w:rPr>
  </w:style>
  <w:style w:type="paragraph" w:styleId="texte">
    <w:name w:val="texte"/>
    <w:basedOn w:val="Normal"/>
    <w:qFormat/>
    <w:pPr>
      <w:ind w:firstLine="1134" w:start="0" w:end="0"/>
      <w:jc w:val="both"/>
    </w:pPr>
    <w:rPr/>
  </w:style>
  <w:style w:type="paragraph" w:styleId="adresse">
    <w:name w:val="adresse"/>
    <w:basedOn w:val="Normal"/>
    <w:qFormat/>
    <w:pPr>
      <w:tabs>
        <w:tab w:val="clear" w:pos="567"/>
        <w:tab w:val="left" w:pos="4820" w:leader="none"/>
      </w:tabs>
      <w:spacing w:before="1920" w:after="0"/>
      <w:ind w:hanging="0" w:start="4820" w:end="0"/>
    </w:pPr>
    <w:rPr/>
  </w:style>
  <w:style w:type="paragraph" w:styleId="signature">
    <w:name w:val="signature"/>
    <w:basedOn w:val="Normal"/>
    <w:qFormat/>
    <w:pPr>
      <w:tabs>
        <w:tab w:val="clear" w:pos="567"/>
        <w:tab w:val="left" w:pos="5670" w:leader="none"/>
      </w:tabs>
      <w:ind w:hanging="0" w:start="5670" w:end="0"/>
    </w:pPr>
    <w:rPr/>
  </w:style>
  <w:style w:type="paragraph" w:styleId="rfrence">
    <w:name w:val="référence"/>
    <w:basedOn w:val="Normal"/>
    <w:qFormat/>
    <w:pPr/>
    <w:rPr/>
  </w:style>
  <w:style w:type="paragraph" w:styleId="rapport">
    <w:name w:val="rapport"/>
    <w:basedOn w:val="Normal"/>
    <w:qFormat/>
    <w:pPr>
      <w:ind w:hanging="0" w:start="567" w:end="0"/>
    </w:pPr>
    <w:rPr/>
  </w:style>
  <w:style w:type="paragraph" w:styleId="FootnoteText">
    <w:name w:val="footnote text"/>
    <w:basedOn w:val="Normal"/>
    <w:pPr/>
    <w:rPr>
      <w:sz w:val="20"/>
    </w:rPr>
  </w:style>
  <w:style w:type="paragraph" w:styleId="Footer">
    <w:name w:val="footer"/>
    <w:basedOn w:val="Normal"/>
    <w:pPr>
      <w:tabs>
        <w:tab w:val="clear" w:pos="567"/>
        <w:tab w:val="center" w:pos="4536" w:leader="none"/>
        <w:tab w:val="right" w:pos="9072" w:leader="none"/>
      </w:tabs>
    </w:pPr>
    <w:rPr/>
  </w:style>
  <w:style w:type="paragraph" w:styleId="Corpsdetexte2">
    <w:name w:val="Corps de texte 2"/>
    <w:basedOn w:val="Normal"/>
    <w:qFormat/>
    <w:pPr>
      <w:pBdr>
        <w:top w:val="single" w:sz="12" w:space="1" w:color="000000"/>
        <w:left w:val="single" w:sz="12" w:space="1" w:color="000000"/>
        <w:bottom w:val="single" w:sz="12" w:space="1" w:color="000000"/>
        <w:right w:val="single" w:sz="12" w:space="1" w:color="000000"/>
      </w:pBdr>
      <w:jc w:val="both"/>
    </w:pPr>
    <w:rPr>
      <w:b/>
      <w:color w:val="auto"/>
    </w:rPr>
  </w:style>
  <w:style w:type="paragraph" w:styleId="Corpsdetexte3">
    <w:name w:val="Corps de texte 3"/>
    <w:basedOn w:val="Normal"/>
    <w:qFormat/>
    <w:pPr/>
    <w:rPr>
      <w:i/>
      <w:color w:val="auto"/>
    </w:rPr>
  </w:style>
  <w:style w:type="paragraph" w:styleId="BodyTextIndent">
    <w:name w:val="Body Text Indent"/>
    <w:basedOn w:val="Normal"/>
    <w:pPr>
      <w:tabs>
        <w:tab w:val="clear" w:pos="567"/>
        <w:tab w:val="left" w:pos="142" w:leader="none"/>
      </w:tabs>
      <w:spacing w:lineRule="atLeast" w:line="300"/>
      <w:ind w:hanging="0" w:start="360" w:end="0"/>
      <w:jc w:val="both"/>
    </w:pPr>
    <w:rPr>
      <w:i/>
      <w:color w:val="auto"/>
    </w:rPr>
  </w:style>
  <w:style w:type="paragraph" w:styleId="Puces1">
    <w:name w:val="Puces 1"/>
    <w:basedOn w:val="Normal"/>
    <w:qFormat/>
    <w:pPr>
      <w:tabs>
        <w:tab w:val="clear" w:pos="567"/>
        <w:tab w:val="left" w:pos="284" w:leader="none"/>
        <w:tab w:val="left" w:pos="360" w:leader="none"/>
      </w:tabs>
      <w:spacing w:lineRule="atLeast" w:line="300"/>
      <w:ind w:hanging="360" w:start="360" w:end="0"/>
      <w:jc w:val="both"/>
    </w:pPr>
    <w:rPr>
      <w:i/>
      <w:color w:val="auto"/>
    </w:rPr>
  </w:style>
  <w:style w:type="paragraph" w:styleId="Retraitcorpsdetexte2">
    <w:name w:val="Retrait corps de texte 2"/>
    <w:basedOn w:val="Normal"/>
    <w:qFormat/>
    <w:pPr>
      <w:tabs>
        <w:tab w:val="clear" w:pos="567"/>
        <w:tab w:val="left" w:pos="142" w:leader="none"/>
        <w:tab w:val="left" w:pos="284" w:leader="none"/>
      </w:tabs>
      <w:spacing w:lineRule="atLeast" w:line="300"/>
      <w:ind w:hanging="0" w:start="284" w:end="0"/>
      <w:jc w:val="both"/>
    </w:pPr>
    <w:rPr>
      <w:i/>
      <w:color w:val="auto"/>
    </w:rPr>
  </w:style>
  <w:style w:type="paragraph" w:styleId="Retraitcorpsdetexte3">
    <w:name w:val="Retrait corps de texte 3"/>
    <w:basedOn w:val="Normal"/>
    <w:qFormat/>
    <w:pPr>
      <w:tabs>
        <w:tab w:val="clear" w:pos="567"/>
        <w:tab w:val="left" w:pos="180" w:leader="none"/>
      </w:tabs>
      <w:spacing w:lineRule="atLeast" w:line="300"/>
      <w:ind w:hanging="0" w:start="357" w:end="0"/>
      <w:jc w:val="both"/>
    </w:pPr>
    <w:rPr>
      <w:i/>
      <w:color w:val="auto"/>
    </w:rPr>
  </w:style>
  <w:style w:type="paragraph" w:styleId="Puces2">
    <w:name w:val="Puces 2"/>
    <w:basedOn w:val="Puces1"/>
    <w:qFormat/>
    <w:pPr>
      <w:numPr>
        <w:ilvl w:val="0"/>
        <w:numId w:val="3"/>
      </w:numPr>
      <w:pBdr>
        <w:top w:val="single" w:sz="12" w:space="1" w:color="000000"/>
        <w:left w:val="single" w:sz="12" w:space="4" w:color="000000"/>
        <w:bottom w:val="single" w:sz="12" w:space="1" w:color="000000"/>
        <w:right w:val="single" w:sz="12" w:space="4" w:color="000000"/>
      </w:pBdr>
    </w:pPr>
    <w:rPr>
      <w:i w:val="false"/>
    </w:rPr>
  </w:style>
  <w:style w:type="paragraph" w:styleId="Sansinterligne">
    <w:name w:val="Sans interligne"/>
    <w:basedOn w:val="Normal"/>
    <w:qFormat/>
    <w:pPr>
      <w:spacing w:lineRule="auto" w:line="240"/>
    </w:pPr>
    <w:rPr>
      <w:rFonts w:ascii="Calibri" w:hAnsi="Calibri" w:eastAsia="Calibri" w:cs="Calibri"/>
      <w:color w:val="000000"/>
      <w:sz w:val="22"/>
      <w:szCs w:val="22"/>
      <w:lang w:val="de-DE"/>
    </w:rPr>
  </w:style>
  <w:style w:type="paragraph" w:styleId="Commentaire">
    <w:name w:val="Commentaire"/>
    <w:basedOn w:val="Normal"/>
    <w:qFormat/>
    <w:pPr/>
    <w:rPr>
      <w:color w:val="000000"/>
      <w:sz w:val="20"/>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comments" Target="comment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2025-11-19T15:16:00Z</dcterms:created>
  <dc:creator>MRW</dc:creator>
  <dc:description/>
  <cp:keywords/>
  <dc:language>fr-FR</dc:language>
  <cp:lastModifiedBy>MICHAUX Gauthier</cp:lastModifiedBy>
  <cp:lastPrinted>2011-06-03T15:36:00Z</cp:lastPrinted>
  <dcterms:modified xsi:type="dcterms:W3CDTF">2025-12-10T11:34:00Z</dcterms:modified>
  <cp:revision>15</cp:revision>
  <dc:subject/>
  <dc:title>03.06.97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72a09c5-6e26-4737-a926-47ef1ab198ae_ActionId">
    <vt:lpwstr>f33fb9b2-fa80-4830-af47-f11bfa2e9853</vt:lpwstr>
  </property>
  <property fmtid="{D5CDD505-2E9C-101B-9397-08002B2CF9AE}" pid="3" name="MSIP_Label_e72a09c5-6e26-4737-a926-47ef1ab198ae_Application">
    <vt:lpwstr>Microsoft Azure Information Protection</vt:lpwstr>
  </property>
  <property fmtid="{D5CDD505-2E9C-101B-9397-08002B2CF9AE}" pid="4" name="MSIP_Label_e72a09c5-6e26-4737-a926-47ef1ab198ae_Enabled">
    <vt:lpwstr>True</vt:lpwstr>
  </property>
  <property fmtid="{D5CDD505-2E9C-101B-9397-08002B2CF9AE}" pid="5" name="MSIP_Label_e72a09c5-6e26-4737-a926-47ef1ab198ae_Extended_MSFT_Method">
    <vt:lpwstr>Automatic</vt:lpwstr>
  </property>
  <property fmtid="{D5CDD505-2E9C-101B-9397-08002B2CF9AE}" pid="6" name="MSIP_Label_e72a09c5-6e26-4737-a926-47ef1ab198ae_Name">
    <vt:lpwstr>Confidentiel</vt:lpwstr>
  </property>
  <property fmtid="{D5CDD505-2E9C-101B-9397-08002B2CF9AE}" pid="7" name="MSIP_Label_e72a09c5-6e26-4737-a926-47ef1ab198ae_Owner">
    <vt:lpwstr>gauthier.michaux@spw.wallonie.be</vt:lpwstr>
  </property>
  <property fmtid="{D5CDD505-2E9C-101B-9397-08002B2CF9AE}" pid="8" name="MSIP_Label_e72a09c5-6e26-4737-a926-47ef1ab198ae_SetDate">
    <vt:lpwstr>2019-11-27T14:21:31.4824572Z</vt:lpwstr>
  </property>
  <property fmtid="{D5CDD505-2E9C-101B-9397-08002B2CF9AE}" pid="9" name="MSIP_Label_e72a09c5-6e26-4737-a926-47ef1ab198ae_SiteId">
    <vt:lpwstr>1f816a84-7aa6-4a56-b22a-7b3452fa8681</vt:lpwstr>
  </property>
  <property fmtid="{D5CDD505-2E9C-101B-9397-08002B2CF9AE}" pid="10" name="Sensitivity">
    <vt:lpwstr>Confidentiel</vt:lpwstr>
  </property>
</Properties>
</file>