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top w:val="double" w:sz="4" w:space="1" w:color="000000"/>
          <w:left w:val="double" w:sz="4" w:space="4" w:color="000000"/>
          <w:bottom w:val="double" w:sz="4" w:space="1" w:color="000000"/>
          <w:right w:val="double" w:sz="4" w:space="4" w:color="000000"/>
        </w:pBdr>
        <w:spacing w:lineRule="atLeast" w:line="300"/>
        <w:jc w:val="center"/>
        <w:rPr>
          <w:b/>
          <w:color w:val="000000"/>
          <w:sz w:val="28"/>
        </w:rPr>
      </w:pPr>
      <w:r>
        <w:rPr>
          <w:b/>
          <w:caps/>
          <w:color w:val="000000"/>
          <w:sz w:val="28"/>
        </w:rPr>
        <w:t>Précisions et commentaires relatifs àU chapitre F – sous-fondations et fondations du CCT QUALIROUTES</w:t>
      </w:r>
    </w:p>
    <w:p>
      <w:pPr>
        <w:pStyle w:val="Normal"/>
        <w:spacing w:lineRule="atLeast" w:line="300"/>
        <w:rPr>
          <w:b/>
          <w:color w:val="000000"/>
          <w:sz w:val="28"/>
        </w:rPr>
      </w:pPr>
      <w:r>
        <w:rPr>
          <w:b/>
          <w:color w:val="000000"/>
          <w:sz w:val="28"/>
        </w:rPr>
      </w:r>
    </w:p>
    <w:p>
      <w:pPr>
        <w:pStyle w:val="Normal"/>
        <w:spacing w:lineRule="atLeast" w:line="300"/>
        <w:jc w:val="both"/>
        <w:rPr>
          <w:color w:val="000000"/>
        </w:rPr>
      </w:pPr>
      <w:r>
        <w:rPr>
          <w:color w:val="000000"/>
        </w:rPr>
      </w:r>
    </w:p>
    <w:p>
      <w:pPr>
        <w:pStyle w:val="Heading1"/>
        <w:ind w:hanging="0" w:start="0"/>
        <w:rPr/>
      </w:pPr>
      <w:r>
        <w:rPr/>
        <w:t>F. 2. TRAVAUX PREALABLES</w:t>
      </w:r>
    </w:p>
    <w:p>
      <w:pPr>
        <w:pStyle w:val="Normal"/>
        <w:jc w:val="both"/>
        <w:rPr>
          <w:b/>
          <w:color w:val="000000"/>
        </w:rPr>
      </w:pPr>
      <w:r>
        <w:rPr>
          <w:b/>
          <w:color w:val="000000"/>
        </w:rPr>
      </w:r>
    </w:p>
    <w:p>
      <w:pPr>
        <w:pStyle w:val="Normal"/>
        <w:jc w:val="both"/>
        <w:rPr>
          <w:b/>
          <w:color w:val="000000"/>
        </w:rPr>
      </w:pPr>
      <w:r>
        <w:rPr>
          <w:i/>
          <w:color w:val="000000"/>
        </w:rPr>
        <w:t>L'ensemble des travaux préalables consitute une charge d'entreprise si la portance naturelle du fond de coffre a été détériorée par la faute de l’entrepreneur.</w:t>
      </w:r>
    </w:p>
    <w:p>
      <w:pPr>
        <w:pStyle w:val="Normal"/>
        <w:jc w:val="both"/>
        <w:rPr>
          <w:b/>
          <w:color w:val="000000"/>
        </w:rPr>
      </w:pPr>
      <w:r>
        <w:rPr>
          <w:b/>
          <w:color w:val="000000"/>
        </w:rPr>
      </w:r>
    </w:p>
    <w:p>
      <w:pPr>
        <w:pStyle w:val="Normal"/>
        <w:jc w:val="both"/>
        <w:rPr>
          <w:b/>
          <w:color w:val="000000"/>
        </w:rPr>
      </w:pPr>
      <w:r>
        <w:rPr>
          <w:b/>
          <w:color w:val="000000"/>
        </w:rPr>
      </w:r>
    </w:p>
    <w:p>
      <w:pPr>
        <w:pStyle w:val="Heading1"/>
        <w:ind w:hanging="0" w:start="0"/>
        <w:rPr/>
      </w:pPr>
      <w:r>
        <w:rPr/>
        <w:t>F. 2.1.1. POSE D’UN GEOTEXTILE ANTI-CONTAMINANT</w:t>
      </w:r>
    </w:p>
    <w:p>
      <w:pPr>
        <w:pStyle w:val="Normal"/>
        <w:rPr>
          <w:b/>
          <w:i/>
          <w:color w:val="000000"/>
        </w:rPr>
      </w:pPr>
      <w:r>
        <w:rPr>
          <w:b/>
          <w:i/>
          <w:color w:val="000000"/>
        </w:rPr>
      </w:r>
    </w:p>
    <w:p>
      <w:pPr>
        <w:pStyle w:val="Corpsdetexte2"/>
        <w:pBdr>
          <w:top w:val="single" w:sz="12" w:space="1" w:color="000000"/>
          <w:left w:val="single" w:sz="12" w:space="0" w:color="000000"/>
          <w:bottom w:val="single" w:sz="12" w:space="1" w:color="000000"/>
          <w:right w:val="single" w:sz="12" w:space="1" w:color="000000"/>
        </w:pBdr>
        <w:rPr>
          <w:b w:val="false"/>
        </w:rPr>
      </w:pPr>
      <w:r>
        <w:rPr>
          <w:b w:val="false"/>
        </w:rPr>
        <w:t>Préciser le cas échéant les caractéristiques minimales des géotextiles.</w:t>
      </w:r>
    </w:p>
    <w:p>
      <w:pPr>
        <w:pStyle w:val="Normal"/>
        <w:rPr>
          <w:b/>
          <w:color w:val="000000"/>
        </w:rPr>
      </w:pPr>
      <w:r>
        <w:rPr>
          <w:b/>
          <w:color w:val="000000"/>
        </w:rPr>
      </w:r>
    </w:p>
    <w:p>
      <w:pPr>
        <w:pStyle w:val="Normal"/>
        <w:rPr>
          <w:color w:val="000000"/>
        </w:rPr>
      </w:pPr>
      <w:r>
        <w:rPr>
          <w:color w:val="000000"/>
        </w:rPr>
      </w:r>
    </w:p>
    <w:p>
      <w:pPr>
        <w:pStyle w:val="Heading1"/>
        <w:ind w:hanging="0" w:start="0"/>
        <w:rPr/>
      </w:pPr>
      <w:r>
        <w:rPr/>
        <w:t>F. 2.1.2. POSE D’UNE GEOGRILLE DE RENFORCEMENT</w:t>
      </w:r>
    </w:p>
    <w:p>
      <w:pPr>
        <w:pStyle w:val="Normal"/>
        <w:rPr>
          <w:b/>
          <w:i/>
          <w:color w:val="000000"/>
        </w:rPr>
      </w:pPr>
      <w:r>
        <w:rPr>
          <w:b/>
          <w:i/>
          <w:color w:val="000000"/>
        </w:rPr>
      </w:r>
    </w:p>
    <w:p>
      <w:pPr>
        <w:pStyle w:val="Corpsdetexte2"/>
        <w:pBdr>
          <w:top w:val="single" w:sz="12" w:space="1" w:color="000000"/>
          <w:left w:val="single" w:sz="12" w:space="0" w:color="000000"/>
          <w:bottom w:val="single" w:sz="12" w:space="1" w:color="000000"/>
          <w:right w:val="single" w:sz="12" w:space="1" w:color="000000"/>
        </w:pBdr>
        <w:rPr/>
      </w:pPr>
      <w:r>
        <w:rPr>
          <w:b w:val="false"/>
        </w:rPr>
        <w:t>Préciser le cas échéant un autre type de pose et un autre recouvrement s'ils diffèrent de ceux de référence.</w:t>
      </w:r>
    </w:p>
    <w:p>
      <w:pPr>
        <w:pStyle w:val="Normal"/>
        <w:rPr>
          <w:b/>
          <w:color w:val="000000"/>
        </w:rPr>
      </w:pPr>
      <w:r>
        <w:rPr>
          <w:b/>
          <w:color w:val="000000"/>
        </w:rPr>
      </w:r>
    </w:p>
    <w:p>
      <w:pPr>
        <w:pStyle w:val="Normal"/>
        <w:rPr>
          <w:color w:val="000000"/>
        </w:rPr>
      </w:pPr>
      <w:r>
        <w:rPr>
          <w:color w:val="000000"/>
        </w:rPr>
      </w:r>
    </w:p>
    <w:p>
      <w:pPr>
        <w:pStyle w:val="Heading1"/>
        <w:ind w:hanging="0" w:start="0"/>
        <w:rPr>
          <w:caps w:val="false"/>
          <w:smallCaps w:val="false"/>
        </w:rPr>
      </w:pPr>
      <w:r>
        <w:rPr>
          <w:caps w:val="false"/>
          <w:smallCaps w:val="false"/>
        </w:rPr>
        <w:t>F. 2.3. TRAITEMENT DU FOND DE COFFRE AU MOYEN D'UN ADDITIF</w:t>
      </w:r>
    </w:p>
    <w:p>
      <w:pPr>
        <w:pStyle w:val="Normal"/>
        <w:rPr>
          <w:color w:val="000000"/>
        </w:rPr>
      </w:pPr>
      <w:r>
        <w:rPr>
          <w:color w:val="000000"/>
        </w:rPr>
      </w:r>
    </w:p>
    <w:p>
      <w:pPr>
        <w:pStyle w:val="Normal"/>
        <w:keepNext w:val="true"/>
        <w:numPr>
          <w:ilvl w:val="0"/>
          <w:numId w:val="3"/>
        </w:numPr>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Fournir dans les documents du marché une étude préalable de caractérisation des sols comme reprise au E. 3.4.2.1 et indiquer la teneur en eau de référence (cfr. F. 2.3.5. Paiement).</w:t>
      </w:r>
    </w:p>
    <w:p>
      <w:pPr>
        <w:pStyle w:val="Normal"/>
        <w:rPr>
          <w:color w:val="000000"/>
        </w:rPr>
      </w:pPr>
      <w:r>
        <w:rPr>
          <w:color w:val="000000"/>
        </w:rPr>
      </w:r>
    </w:p>
    <w:p>
      <w:pPr>
        <w:pStyle w:val="Normal"/>
        <w:jc w:val="both"/>
        <w:rPr/>
      </w:pPr>
      <w:r>
        <w:rPr>
          <w:i/>
          <w:iCs/>
          <w:color w:val="000000"/>
        </w:rPr>
        <w:t>La teneur en eau de référence est une teneur en eau proche de celle des futures conditions de chantier, qui permettra au final le décompte du paiement. Un supplément ou une moins-value est payé par m³ de terres traitées par pourcent de teneur en eau naturelle supérieur ou inférieur à la teneur en eau de référence.</w:t>
      </w:r>
    </w:p>
    <w:p>
      <w:pPr>
        <w:pStyle w:val="Normal"/>
        <w:rPr>
          <w:i/>
          <w:iCs/>
          <w:color w:val="000000"/>
        </w:rPr>
      </w:pPr>
      <w:r>
        <w:rPr>
          <w:i/>
          <w:iCs/>
          <w:color w:val="000000"/>
        </w:rPr>
      </w:r>
    </w:p>
    <w:p>
      <w:pPr>
        <w:pStyle w:val="Heading1"/>
        <w:ind w:hanging="0" w:start="0"/>
        <w:jc w:val="start"/>
        <w:rPr>
          <w:caps w:val="false"/>
          <w:smallCaps w:val="false"/>
        </w:rPr>
      </w:pPr>
      <w:r>
        <w:rPr>
          <w:caps w:val="false"/>
          <w:smallCaps w:val="false"/>
        </w:rPr>
        <w:t>F. 2.3.2.5. PRESCRIPTIONS COMPLÉMENTAIRES POUR TRAVAUX EN SITE SENSIBLE</w:t>
      </w:r>
    </w:p>
    <w:p>
      <w:pPr>
        <w:pStyle w:val="Normal"/>
        <w:rPr/>
      </w:pPr>
      <w:r>
        <w:rPr/>
      </w:r>
    </w:p>
    <w:p>
      <w:pPr>
        <w:pStyle w:val="Puces2"/>
        <w:numPr>
          <w:ilvl w:val="0"/>
          <w:numId w:val="0"/>
        </w:numPr>
        <w:tabs>
          <w:tab w:val="clear" w:pos="284"/>
        </w:tabs>
        <w:ind w:hanging="0" w:start="0"/>
        <w:rPr/>
      </w:pPr>
      <w:r>
        <w:rPr/>
        <w:t>Indiquer:</w:t>
      </w:r>
    </w:p>
    <w:p>
      <w:pPr>
        <w:pStyle w:val="Puces2"/>
        <w:numPr>
          <w:ilvl w:val="0"/>
          <w:numId w:val="2"/>
        </w:numPr>
        <w:tabs>
          <w:tab w:val="clear" w:pos="284"/>
        </w:tabs>
        <w:rPr/>
      </w:pPr>
      <w:r>
        <w:rPr/>
        <w:t>les limites des sites sensibles</w:t>
      </w:r>
    </w:p>
    <w:p>
      <w:pPr>
        <w:pStyle w:val="Puces2"/>
        <w:numPr>
          <w:ilvl w:val="0"/>
          <w:numId w:val="2"/>
        </w:numPr>
        <w:tabs>
          <w:tab w:val="clear" w:pos="284"/>
        </w:tabs>
        <w:rPr/>
      </w:pPr>
      <w:r>
        <w:rPr/>
        <w:t>si le traitement est exécuté hors site sensible</w:t>
      </w:r>
    </w:p>
    <w:p>
      <w:pPr>
        <w:pStyle w:val="Puces2"/>
        <w:numPr>
          <w:ilvl w:val="0"/>
          <w:numId w:val="2"/>
        </w:numPr>
        <w:tabs>
          <w:tab w:val="clear" w:pos="284"/>
        </w:tabs>
        <w:rPr/>
      </w:pPr>
      <w:r>
        <w:rPr/>
        <w:t>les moyens de précaution particuliers.</w:t>
      </w:r>
    </w:p>
    <w:p>
      <w:pPr>
        <w:pStyle w:val="Normal"/>
        <w:rPr/>
      </w:pPr>
      <w:r>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Heading1"/>
        <w:ind w:hanging="0" w:start="0"/>
        <w:rPr/>
      </w:pPr>
      <w:r>
        <w:rPr/>
        <w:t>F. 3. SOUS-FONDATIONS</w:t>
      </w:r>
    </w:p>
    <w:p>
      <w:pPr>
        <w:pStyle w:val="Normal"/>
        <w:rPr/>
      </w:pPr>
      <w:r>
        <w:rPr/>
      </w:r>
    </w:p>
    <w:p>
      <w:pPr>
        <w:pStyle w:val="Normal"/>
        <w:rPr>
          <w:i/>
        </w:rPr>
      </w:pPr>
      <w:r>
        <w:rPr>
          <w:i/>
        </w:rPr>
        <w:t xml:space="preserve">Pour rappel, les rôles principaux de la sous-fondation sont le drainage et la mise hors gel du corps de chaussée. Le choix de l’épaisseur de la sous-fondation se fait de façon à atteindre la portance exigée sur la sous-fondation tout en respectant son caractère de mise hors gel du corps de chaussée. </w:t>
      </w:r>
    </w:p>
    <w:p>
      <w:pPr>
        <w:pStyle w:val="Normal"/>
        <w:rPr>
          <w:b/>
          <w:i/>
          <w:color w:val="000000"/>
        </w:rPr>
      </w:pPr>
      <w:r>
        <w:rPr>
          <w:b/>
          <w:i/>
          <w:color w:val="000000"/>
        </w:rPr>
      </w:r>
    </w:p>
    <w:p>
      <w:pPr>
        <w:pStyle w:val="Normal"/>
        <w:numPr>
          <w:ilvl w:val="0"/>
          <w:numId w:val="0"/>
        </w:numPr>
        <w:spacing w:lineRule="atLeast" w:line="300"/>
        <w:jc w:val="both"/>
        <w:outlineLvl w:val="0"/>
        <w:rPr>
          <w:b/>
          <w:bCs/>
          <w:caps/>
          <w:color w:val="000000"/>
        </w:rPr>
      </w:pPr>
      <w:r>
        <w:rPr>
          <w:b/>
          <w:bCs/>
          <w:color w:val="000000"/>
        </w:rPr>
        <w:t>F. 3.2.2. SOUS-FONDATIONS OBTENUES PAR TRAITEMENT DU SOL EN PLACE</w:t>
      </w:r>
    </w:p>
    <w:p>
      <w:pPr>
        <w:pStyle w:val="Normal"/>
        <w:rPr>
          <w:b/>
          <w:bCs/>
          <w:caps/>
          <w:color w:val="000000"/>
        </w:rPr>
      </w:pPr>
      <w:r>
        <w:rPr>
          <w:b/>
          <w:bCs/>
          <w:caps/>
          <w:color w:val="000000"/>
        </w:rPr>
      </w:r>
    </w:p>
    <w:p>
      <w:pPr>
        <w:pStyle w:val="Normal"/>
        <w:keepNext w:val="true"/>
        <w:numPr>
          <w:ilvl w:val="0"/>
          <w:numId w:val="3"/>
        </w:numPr>
        <w:pBdr>
          <w:top w:val="single" w:sz="12" w:space="1" w:color="000000"/>
          <w:left w:val="single" w:sz="12" w:space="4" w:color="000000"/>
          <w:bottom w:val="single" w:sz="12" w:space="1" w:color="000000"/>
          <w:right w:val="single" w:sz="12" w:space="4" w:color="000000"/>
        </w:pBdr>
        <w:spacing w:lineRule="atLeast" w:line="300"/>
        <w:jc w:val="both"/>
        <w:rPr>
          <w:color w:val="000000"/>
        </w:rPr>
      </w:pPr>
      <w:commentRangeStart w:id="0"/>
      <w:r>
        <w:rPr>
          <w:color w:val="000000"/>
        </w:rPr>
        <w:t>Fournir dans les documents du marché une étude préalable de caractérisation des sols comme reprise au E. 3.4.2.1 et indiquer la teneur en eau de référence (cfr. F. 3.5.2. Paiement).</w:t>
      </w:r>
      <w:commentRangeEnd w:id="0"/>
      <w:r>
        <w:commentReference w:id="0"/>
      </w:r>
      <w:r>
        <w:rPr>
          <w:vanish w:val="false"/>
          <w:color w:val="000000"/>
          <w:sz w:val="16"/>
          <w:szCs w:val="16"/>
        </w:rPr>
      </w:r>
    </w:p>
    <w:p>
      <w:pPr>
        <w:pStyle w:val="Normal"/>
        <w:rPr>
          <w:color w:val="000000"/>
        </w:rPr>
      </w:pPr>
      <w:r>
        <w:rPr>
          <w:color w:val="000000"/>
        </w:rPr>
      </w:r>
    </w:p>
    <w:p>
      <w:pPr>
        <w:pStyle w:val="Normal"/>
        <w:jc w:val="both"/>
        <w:rPr/>
      </w:pPr>
      <w:r>
        <w:rPr>
          <w:i/>
          <w:iCs/>
          <w:color w:val="000000"/>
        </w:rPr>
        <w:t>Le teneur en eau de référence est une teneur en eau proche de celle des futures conditions de chantier, qui permettra au final le décompte du paiement. Un supplément ou une moins-value est payé par m³ de terres traitées par pourcent de teneur en eau naturelle supérieur ou inférieur  à la teneur en eau de référence.</w:t>
      </w:r>
    </w:p>
    <w:p>
      <w:pPr>
        <w:pStyle w:val="Normal"/>
        <w:rPr>
          <w:b/>
          <w:i/>
          <w:iCs/>
          <w:color w:val="000000"/>
        </w:rPr>
      </w:pPr>
      <w:r>
        <w:rPr>
          <w:b/>
          <w:i/>
          <w:iCs/>
          <w:color w:val="000000"/>
        </w:rPr>
      </w:r>
    </w:p>
    <w:p>
      <w:pPr>
        <w:pStyle w:val="Heading1"/>
        <w:ind w:hanging="0" w:start="0"/>
        <w:rPr>
          <w:caps w:val="false"/>
          <w:smallCaps w:val="false"/>
        </w:rPr>
      </w:pPr>
      <w:r>
        <w:rPr>
          <w:caps w:val="false"/>
          <w:smallCaps w:val="false"/>
        </w:rPr>
        <w:t>F. 4.1. TRAVAUX PREALABLES – REPROFILAGE D’UNE SOUS-FONDATION OU FONDATION PREEXISTANTE</w:t>
      </w:r>
    </w:p>
    <w:p>
      <w:pPr>
        <w:pStyle w:val="Normal"/>
        <w:rPr>
          <w:b/>
          <w:i/>
          <w:caps/>
          <w:color w:val="000000"/>
        </w:rPr>
      </w:pPr>
      <w:r>
        <w:rPr>
          <w:b/>
          <w:i/>
          <w:caps/>
          <w:color w:val="000000"/>
        </w:rPr>
      </w:r>
    </w:p>
    <w:p>
      <w:pPr>
        <w:pStyle w:val="Normal"/>
        <w:jc w:val="both"/>
        <w:rPr>
          <w:i/>
          <w:color w:val="000000"/>
        </w:rPr>
      </w:pPr>
      <w:r>
        <w:rPr>
          <w:i/>
          <w:color w:val="000000"/>
        </w:rPr>
        <w:t>L'attention de l'auteur de projet est attirée sur le fait que les travaux préalables sont à effectuer chaque fois qu'une sous-fondation ou fondation est préexistante ou est maintenue (après démolition des couches supérieures d'une chaussée ou de toute autre partie revêtue existante).</w:t>
      </w:r>
    </w:p>
    <w:p>
      <w:pPr>
        <w:pStyle w:val="Normal"/>
        <w:rPr>
          <w:b/>
          <w:i/>
          <w:caps/>
          <w:color w:val="000000"/>
        </w:rPr>
      </w:pPr>
      <w:r>
        <w:rPr>
          <w:b/>
          <w:i/>
          <w:caps/>
          <w:color w:val="000000"/>
        </w:rPr>
      </w:r>
    </w:p>
    <w:p>
      <w:pPr>
        <w:pStyle w:val="Corpsdetexte2"/>
        <w:pBdr>
          <w:top w:val="single" w:sz="12" w:space="1" w:color="000000"/>
          <w:left w:val="single" w:sz="12" w:space="0" w:color="000000"/>
          <w:bottom w:val="single" w:sz="12" w:space="1" w:color="000000"/>
          <w:right w:val="single" w:sz="12" w:space="1" w:color="000000"/>
        </w:pBdr>
        <w:rPr>
          <w:b w:val="false"/>
        </w:rPr>
      </w:pPr>
      <w:r>
        <w:rPr>
          <w:b w:val="false"/>
        </w:rPr>
        <w:t>En application du document de référence QUALIROUTES-A-8, préciser la nature de la sous-fondation ou de la fondation préexistante ainsi que les matériaux à utiliser.</w:t>
      </w:r>
    </w:p>
    <w:p>
      <w:pPr>
        <w:pStyle w:val="Normal"/>
        <w:jc w:val="both"/>
        <w:rPr>
          <w:b/>
          <w:color w:val="000000"/>
        </w:rPr>
      </w:pPr>
      <w:r>
        <w:rPr>
          <w:b/>
          <w:color w:val="000000"/>
        </w:rPr>
      </w:r>
    </w:p>
    <w:p>
      <w:pPr>
        <w:pStyle w:val="Normal"/>
        <w:jc w:val="both"/>
        <w:rPr>
          <w:b/>
          <w:color w:val="000000"/>
        </w:rPr>
      </w:pPr>
      <w:r>
        <w:rPr>
          <w:b/>
          <w:color w:val="000000"/>
        </w:rPr>
      </w:r>
    </w:p>
    <w:p>
      <w:pPr>
        <w:pStyle w:val="Heading1"/>
        <w:ind w:hanging="0" w:start="0"/>
        <w:rPr/>
      </w:pPr>
      <w:r>
        <w:rPr/>
        <w:t>F. 4.1.2.1. MATERIAUX</w:t>
      </w:r>
    </w:p>
    <w:p>
      <w:pPr>
        <w:pStyle w:val="Normal"/>
        <w:rPr/>
      </w:pPr>
      <w:r>
        <w:rPr/>
      </w:r>
    </w:p>
    <w:p>
      <w:pPr>
        <w:pStyle w:val="Corpsdetexte2"/>
        <w:rPr/>
      </w:pPr>
      <w:r>
        <w:rPr>
          <w:b w:val="false"/>
        </w:rPr>
        <w:t>Préciser le cas échéant la nature des matériaux à utiliser.</w:t>
      </w:r>
    </w:p>
    <w:p>
      <w:pPr>
        <w:pStyle w:val="Normal"/>
        <w:jc w:val="both"/>
        <w:rPr>
          <w:b/>
          <w:color w:val="000000"/>
        </w:rPr>
      </w:pPr>
      <w:r>
        <w:rPr>
          <w:b/>
          <w:color w:val="000000"/>
        </w:rPr>
      </w:r>
    </w:p>
    <w:p>
      <w:pPr>
        <w:pStyle w:val="Normal"/>
        <w:jc w:val="both"/>
        <w:rPr>
          <w:b/>
          <w:color w:val="000000"/>
        </w:rPr>
      </w:pPr>
      <w:r>
        <w:rPr>
          <w:b/>
          <w:color w:val="000000"/>
        </w:rPr>
      </w:r>
    </w:p>
    <w:p>
      <w:pPr>
        <w:pStyle w:val="Heading1"/>
        <w:ind w:hanging="0" w:start="0"/>
        <w:rPr/>
      </w:pPr>
      <w:r>
        <w:rPr/>
        <w:t>F. 4.2.1.3. FONDATIONS – Empierrement à granularité discontinue de type iii</w:t>
      </w:r>
    </w:p>
    <w:p>
      <w:pPr>
        <w:pStyle w:val="Normal"/>
        <w:jc w:val="both"/>
        <w:rPr>
          <w:b/>
          <w:color w:val="000000"/>
        </w:rPr>
      </w:pPr>
      <w:r>
        <w:rPr>
          <w:b/>
          <w:color w:val="000000"/>
        </w:rPr>
      </w:r>
    </w:p>
    <w:p>
      <w:pPr>
        <w:pStyle w:val="Normal"/>
        <w:pBdr>
          <w:top w:val="single" w:sz="12" w:space="1" w:color="000000"/>
          <w:left w:val="single" w:sz="12" w:space="4" w:color="000000"/>
          <w:bottom w:val="single" w:sz="12" w:space="1" w:color="000000"/>
          <w:right w:val="single" w:sz="12" w:space="4" w:color="000000"/>
        </w:pBdr>
        <w:jc w:val="both"/>
        <w:rPr>
          <w:color w:val="000000"/>
        </w:rPr>
      </w:pPr>
      <w:r>
        <w:rPr>
          <w:color w:val="000000"/>
        </w:rPr>
        <w:t>Indiquer le calibre de la couche inférieure (31,5/63 ou 20/63) s’il n’est pas laissé au choix de l’entrepreneur.</w:t>
      </w:r>
    </w:p>
    <w:p>
      <w:pPr>
        <w:pStyle w:val="Normal"/>
        <w:jc w:val="both"/>
        <w:rPr>
          <w:b/>
          <w:color w:val="000000"/>
        </w:rPr>
      </w:pPr>
      <w:r>
        <w:rPr>
          <w:b/>
          <w:color w:val="000000"/>
        </w:rPr>
      </w:r>
    </w:p>
    <w:p>
      <w:pPr>
        <w:pStyle w:val="Corpsdetexte3"/>
        <w:jc w:val="both"/>
        <w:rPr/>
      </w:pPr>
      <w:r>
        <w:rPr/>
        <w:t>Il est déconseillé d’autoriser les mélanges de la matière d’agrégation en carrière lorsque celle-ci est éloignée du chantier</w:t>
      </w:r>
    </w:p>
    <w:p>
      <w:pPr>
        <w:pStyle w:val="Corpsdetexte3"/>
        <w:jc w:val="both"/>
        <w:rPr/>
      </w:pPr>
      <w:r>
        <w:rPr/>
      </w:r>
    </w:p>
    <w:p>
      <w:pPr>
        <w:pStyle w:val="Corpsdetexte2"/>
        <w:rPr>
          <w:b w:val="false"/>
        </w:rPr>
      </w:pPr>
      <w:r>
        <w:rPr>
          <w:b w:val="false"/>
        </w:rPr>
        <w:t>Indiquer l’additif pour la couche supérieure du type IIIF.</w:t>
      </w:r>
    </w:p>
    <w:p>
      <w:pPr>
        <w:pStyle w:val="Corpsdetexte3"/>
        <w:jc w:val="both"/>
        <w:rPr/>
      </w:pPr>
      <w:r>
        <w:rPr/>
        <w:t>Dans le cas ou la fondation de type III est susceptible d’être réalisée en deux phases (interruption hivernale), il y a lieu de d’utiliser des postes au m³.</w:t>
      </w:r>
    </w:p>
    <w:p>
      <w:pPr>
        <w:pStyle w:val="Normal"/>
        <w:jc w:val="both"/>
        <w:rPr>
          <w:b/>
          <w:color w:val="000000"/>
        </w:rPr>
      </w:pPr>
      <w:r>
        <w:rPr>
          <w:b/>
          <w:color w:val="000000"/>
        </w:rPr>
      </w:r>
    </w:p>
    <w:p>
      <w:pPr>
        <w:pStyle w:val="Normal"/>
        <w:jc w:val="both"/>
        <w:rPr>
          <w:b/>
          <w:color w:val="000000"/>
        </w:rPr>
      </w:pPr>
      <w:r>
        <w:rPr>
          <w:b/>
          <w:color w:val="000000"/>
        </w:rPr>
      </w:r>
    </w:p>
    <w:p>
      <w:pPr>
        <w:pStyle w:val="Heading1"/>
        <w:ind w:hanging="0" w:start="0"/>
        <w:rPr/>
      </w:pPr>
      <w:r>
        <w:rPr/>
        <w:t>F. 4.2.4.3. CONTROLES APRES EXECUTION</w:t>
      </w:r>
    </w:p>
    <w:p>
      <w:pPr>
        <w:pStyle w:val="Normal"/>
        <w:jc w:val="both"/>
        <w:rPr>
          <w:b/>
          <w:color w:val="000000"/>
        </w:rPr>
      </w:pPr>
      <w:r>
        <w:rPr>
          <w:b/>
          <w:color w:val="000000"/>
        </w:rPr>
      </w:r>
    </w:p>
    <w:p>
      <w:pPr>
        <w:pStyle w:val="Normal"/>
        <w:pBdr>
          <w:top w:val="single" w:sz="12" w:space="1" w:color="000000"/>
          <w:left w:val="single" w:sz="12" w:space="4" w:color="000000"/>
          <w:bottom w:val="single" w:sz="12" w:space="1" w:color="000000"/>
          <w:right w:val="single" w:sz="12" w:space="4" w:color="000000"/>
        </w:pBdr>
        <w:jc w:val="both"/>
        <w:rPr>
          <w:color w:val="000000"/>
        </w:rPr>
      </w:pPr>
      <w:r>
        <w:rPr>
          <w:color w:val="000000"/>
        </w:rPr>
        <w:t>Indiquer le cas échéant s'il est prévu de regrouper plusieurs lots.</w:t>
      </w:r>
    </w:p>
    <w:p>
      <w:pPr>
        <w:pStyle w:val="Normal"/>
        <w:jc w:val="both"/>
        <w:rPr>
          <w:b/>
          <w:color w:val="000000"/>
        </w:rPr>
      </w:pPr>
      <w:r>
        <w:rPr>
          <w:b/>
          <w:color w:val="000000"/>
        </w:rPr>
      </w:r>
    </w:p>
    <w:p>
      <w:pPr>
        <w:pStyle w:val="Normal"/>
        <w:spacing w:lineRule="atLeast" w:line="300"/>
        <w:jc w:val="both"/>
        <w:rPr>
          <w:b/>
          <w:color w:val="000000"/>
        </w:rPr>
      </w:pPr>
      <w:r>
        <w:rPr>
          <w:b/>
          <w:color w:val="000000"/>
        </w:rPr>
      </w:r>
    </w:p>
    <w:p>
      <w:pPr>
        <w:pStyle w:val="Heading1"/>
        <w:ind w:hanging="0" w:start="0"/>
        <w:rPr>
          <w:caps w:val="false"/>
          <w:smallCaps w:val="false"/>
        </w:rPr>
      </w:pPr>
      <w:r>
        <w:rPr>
          <w:caps w:val="false"/>
          <w:smallCaps w:val="false"/>
        </w:rPr>
        <w:t>F. 4.3.2.5. FONDATION EN SABLE-CIMENT – JOINTS POUR FONDATIONS DE TYPE II</w:t>
      </w:r>
    </w:p>
    <w:p>
      <w:pPr>
        <w:pStyle w:val="Normal"/>
        <w:spacing w:lineRule="atLeast" w:line="300"/>
        <w:jc w:val="both"/>
        <w:rPr>
          <w:color w:val="000000"/>
        </w:rPr>
      </w:pPr>
      <w:r>
        <w:rPr>
          <w:color w:val="000000"/>
        </w:rPr>
      </w:r>
    </w:p>
    <w:p>
      <w:pPr>
        <w:pStyle w:val="Corpsdetexte2"/>
        <w:rPr>
          <w:b w:val="false"/>
        </w:rPr>
      </w:pPr>
      <w:r>
        <w:rPr>
          <w:b w:val="false"/>
        </w:rPr>
        <w:t>Préciser si une préfissuration est requise et en fixer le pas.</w:t>
      </w:r>
    </w:p>
    <w:p>
      <w:pPr>
        <w:pStyle w:val="Normal"/>
        <w:spacing w:lineRule="atLeast" w:line="300"/>
        <w:jc w:val="both"/>
        <w:rPr>
          <w:b/>
          <w:color w:val="000000"/>
        </w:rPr>
      </w:pPr>
      <w:r>
        <w:rPr>
          <w:b/>
          <w:color w:val="000000"/>
        </w:rPr>
      </w:r>
    </w:p>
    <w:p>
      <w:pPr>
        <w:pStyle w:val="Normal"/>
        <w:spacing w:lineRule="atLeast" w:line="300"/>
        <w:jc w:val="both"/>
        <w:rPr>
          <w:color w:val="000000"/>
        </w:rPr>
      </w:pPr>
      <w:r>
        <w:rPr>
          <w:color w:val="000000"/>
        </w:rPr>
      </w:r>
    </w:p>
    <w:p>
      <w:pPr>
        <w:pStyle w:val="Heading1"/>
        <w:ind w:hanging="0" w:start="0"/>
        <w:rPr/>
      </w:pPr>
      <w:r>
        <w:rPr/>
        <w:t>F. 4.3.3.5. EPAISSEUR</w:t>
      </w:r>
    </w:p>
    <w:p>
      <w:pPr>
        <w:pStyle w:val="Normal"/>
        <w:spacing w:lineRule="atLeast" w:line="300"/>
        <w:jc w:val="both"/>
        <w:rPr>
          <w:color w:val="000000"/>
        </w:rPr>
      </w:pPr>
      <w:r>
        <w:rPr>
          <w:color w:val="000000"/>
        </w:rPr>
      </w:r>
    </w:p>
    <w:p>
      <w:pPr>
        <w:pStyle w:val="Corpsdetexte2"/>
        <w:rPr>
          <w:b w:val="false"/>
        </w:rPr>
      </w:pPr>
      <w:r>
        <w:rPr>
          <w:b w:val="false"/>
        </w:rPr>
        <w:t>Fixer l'épaisseur nominale (en mm).</w:t>
      </w:r>
    </w:p>
    <w:p>
      <w:pPr>
        <w:pStyle w:val="Normal"/>
        <w:spacing w:lineRule="atLeast" w:line="300"/>
        <w:jc w:val="both"/>
        <w:rPr>
          <w:b/>
          <w:color w:val="000000"/>
        </w:rPr>
      </w:pPr>
      <w:r>
        <w:rPr>
          <w:b/>
          <w:color w:val="000000"/>
        </w:rPr>
      </w:r>
    </w:p>
    <w:p>
      <w:pPr>
        <w:pStyle w:val="Normal"/>
        <w:spacing w:lineRule="atLeast" w:line="300"/>
        <w:jc w:val="both"/>
        <w:rPr>
          <w:color w:val="000000"/>
        </w:rPr>
      </w:pPr>
      <w:r>
        <w:rPr>
          <w:color w:val="000000"/>
        </w:rPr>
      </w:r>
    </w:p>
    <w:p>
      <w:pPr>
        <w:pStyle w:val="Heading1"/>
        <w:keepNext w:val="true"/>
        <w:ind w:hanging="0" w:start="0"/>
        <w:rPr>
          <w:caps w:val="false"/>
          <w:smallCaps w:val="false"/>
        </w:rPr>
      </w:pPr>
      <w:r>
        <w:rPr>
          <w:caps w:val="false"/>
          <w:smallCaps w:val="false"/>
        </w:rPr>
        <w:t>F. 4.5. FONDATION EN BETON MAIGRE - MISE EN ŒUVRE</w:t>
      </w:r>
    </w:p>
    <w:p>
      <w:pPr>
        <w:pStyle w:val="Normal"/>
        <w:keepNext w:val="true"/>
        <w:rPr>
          <w:b/>
          <w:i/>
          <w:color w:val="000000"/>
        </w:rPr>
      </w:pPr>
      <w:r>
        <w:rPr>
          <w:b/>
          <w:i/>
          <w:color w:val="000000"/>
        </w:rPr>
      </w:r>
    </w:p>
    <w:p>
      <w:pPr>
        <w:pStyle w:val="Corpsdetexte2"/>
        <w:keepNext w:val="true"/>
        <w:rPr>
          <w:b w:val="false"/>
        </w:rPr>
      </w:pPr>
      <w:r>
        <w:rPr>
          <w:b w:val="false"/>
        </w:rPr>
        <w:t>Préciser si une préfissuration est requise et en fixer le pas.</w:t>
      </w:r>
    </w:p>
    <w:p>
      <w:pPr>
        <w:pStyle w:val="BodyText"/>
        <w:rPr>
          <w:b/>
          <w:i w:val="false"/>
        </w:rPr>
      </w:pPr>
      <w:r>
        <w:rPr>
          <w:b/>
          <w:i w:val="false"/>
        </w:rPr>
      </w:r>
    </w:p>
    <w:p>
      <w:pPr>
        <w:pStyle w:val="Corpsdetexte3"/>
        <w:jc w:val="both"/>
        <w:rPr/>
      </w:pPr>
      <w:r>
        <w:rPr/>
        <w:t>Afin d’éviter l’apparition de fissures thermiques et de retrait remontant en surface des revêtements souples, il est conseillé de suivre les règles suivantes:</w:t>
      </w:r>
    </w:p>
    <w:p>
      <w:pPr>
        <w:pStyle w:val="Corpsdetexte3"/>
        <w:numPr>
          <w:ilvl w:val="0"/>
          <w:numId w:val="5"/>
        </w:numPr>
        <w:jc w:val="both"/>
        <w:rPr>
          <w:lang w:val="fr-BE"/>
        </w:rPr>
      </w:pPr>
      <w:r>
        <w:rPr>
          <w:lang w:val="fr-BE"/>
        </w:rPr>
        <w:t>la réalisation d’une fondation d’au moins 20 cm d’épaisseur;</w:t>
      </w:r>
    </w:p>
    <w:p>
      <w:pPr>
        <w:pStyle w:val="Corpsdetexte3"/>
        <w:numPr>
          <w:ilvl w:val="0"/>
          <w:numId w:val="5"/>
        </w:numPr>
        <w:jc w:val="both"/>
        <w:rPr>
          <w:lang w:val="fr-BE"/>
        </w:rPr>
      </w:pPr>
      <w:r>
        <w:rPr>
          <w:lang w:val="fr-BE"/>
        </w:rPr>
        <w:t>la protection de la fondation contre la dessiccation le plus rapidement possible;</w:t>
      </w:r>
    </w:p>
    <w:p>
      <w:pPr>
        <w:pStyle w:val="Corpsdetexte3"/>
        <w:numPr>
          <w:ilvl w:val="0"/>
          <w:numId w:val="5"/>
        </w:numPr>
        <w:jc w:val="both"/>
        <w:rPr>
          <w:lang w:val="fr-BE"/>
        </w:rPr>
      </w:pPr>
      <w:r>
        <w:rPr>
          <w:lang w:val="fr-BE"/>
        </w:rPr>
        <w:t>l’apport d’une couche de revêtement de forte épaisseur (au moins 10 cm d’enrobé bitumineux).</w:t>
      </w:r>
    </w:p>
    <w:p>
      <w:pPr>
        <w:pStyle w:val="Normal"/>
        <w:tabs>
          <w:tab w:val="clear" w:pos="567"/>
          <w:tab w:val="left" w:pos="0" w:leader="none"/>
          <w:tab w:val="left" w:pos="432" w:leader="none"/>
          <w:tab w:val="left" w:pos="864" w:leader="none"/>
          <w:tab w:val="left" w:pos="3600" w:leader="none"/>
          <w:tab w:val="left" w:pos="5760" w:leader="none"/>
          <w:tab w:val="left" w:pos="10080" w:leader="none"/>
        </w:tabs>
        <w:ind w:start="360" w:end="0"/>
        <w:jc w:val="both"/>
        <w:rPr>
          <w:b/>
          <w:color w:val="000000"/>
          <w:lang w:val="fr-BE"/>
        </w:rPr>
      </w:pPr>
      <w:r>
        <w:rPr>
          <w:b/>
          <w:color w:val="000000"/>
          <w:lang w:val="fr-BE"/>
        </w:rPr>
      </w:r>
    </w:p>
    <w:p>
      <w:pPr>
        <w:pStyle w:val="Corpsdetexte3"/>
        <w:jc w:val="both"/>
        <w:rPr/>
      </w:pPr>
      <w:r>
        <w:rPr/>
        <w:t>Toutefois, un seul hiver particulièrement rigoureux peut faire remonter une fissure à travers la couche bitumineuse, même épaisse. Dès lors, une autre méthode consiste à réduire les sollicitations appliquées par l’assise traitée à l’enrobé par la maîtrise du pas de fissuration. C’est la technique de préfissuration. Cette technique consiste à provoquer et à localiser les fissures de retrait par la réalisation de joints. Plusieurs techniques existent:</w:t>
      </w:r>
    </w:p>
    <w:p>
      <w:pPr>
        <w:pStyle w:val="Corpsdetexte3"/>
        <w:numPr>
          <w:ilvl w:val="0"/>
          <w:numId w:val="4"/>
        </w:numPr>
        <w:jc w:val="both"/>
        <w:rPr>
          <w:lang w:val="fr-BE"/>
        </w:rPr>
      </w:pPr>
      <w:r>
        <w:rPr>
          <w:lang w:val="fr-BE"/>
        </w:rPr>
        <w:t>le procédé du joint actif; il s’applique au moment de la mise en œuvre des matériaux , avant compactage et consiste à créer une discontinuité transversale dans la couche par insertion d’un joint sinusoïdal suivant un pas donné; l’élément de joint est placé transversalement dans l’axe de la voie, sa hauteur est d’environ les deux tiers de l’épaisseur de la couche, et il est placé au fond de celle-ci; l’espacement des joints actifs ne doit pas dépasser 3 mètres;</w:t>
      </w:r>
    </w:p>
    <w:p>
      <w:pPr>
        <w:pStyle w:val="Corpsdetexte3"/>
        <w:numPr>
          <w:ilvl w:val="0"/>
          <w:numId w:val="4"/>
        </w:numPr>
        <w:jc w:val="both"/>
        <w:rPr>
          <w:lang w:val="fr-BE"/>
        </w:rPr>
      </w:pPr>
      <w:r>
        <w:rPr>
          <w:lang w:val="fr-BE"/>
        </w:rPr>
        <w:t>le procédé "Viafrance" qui consiste à créer à intervalles réguliers (tous les 2 à 3 mètres) une amorce de fissuration exécutée transversalement dans la partie supérieure de la couche traitée et compactée et simultanément d’introduire dans cette amorce une feuille de plastique assurant le maintien de la discontinuité;</w:t>
      </w:r>
    </w:p>
    <w:p>
      <w:pPr>
        <w:pStyle w:val="Corpsdetexte3"/>
        <w:numPr>
          <w:ilvl w:val="0"/>
          <w:numId w:val="4"/>
        </w:numPr>
        <w:jc w:val="both"/>
        <w:rPr>
          <w:lang w:val="fr-BE"/>
        </w:rPr>
      </w:pPr>
      <w:r>
        <w:rPr>
          <w:lang w:val="fr-BE"/>
        </w:rPr>
        <w:t>le procédé Craft (Création automatique de fissures transversales) qui consiste à créer à intervalles réguliers (tous les 2 à 3 mètres), et avant compactage final, un sillon transversal dans la couche traitée, d’y projeter ensuite une émulsion cationique de bitume(s) et de le refermer alors au moment du compactage final;</w:t>
      </w:r>
    </w:p>
    <w:p>
      <w:pPr>
        <w:pStyle w:val="Corpsdetexte3"/>
        <w:numPr>
          <w:ilvl w:val="0"/>
          <w:numId w:val="4"/>
        </w:numPr>
        <w:jc w:val="both"/>
        <w:rPr>
          <w:lang w:val="fr-BE"/>
        </w:rPr>
      </w:pPr>
      <w:r>
        <w:rPr>
          <w:lang w:val="fr-BE"/>
        </w:rPr>
        <w:t>un autre procédé consiste au sciage de joints sur une profondeur d’un tiers de la fondation compactée et ce au plus tard après 24 heures; il s’agit ici de la technique habituellement utilisée pour la réalisation des joints de retrait dans un revêtement en béton.</w:t>
      </w:r>
    </w:p>
    <w:p>
      <w:pPr>
        <w:pStyle w:val="Corpsdetexte3"/>
        <w:jc w:val="both"/>
        <w:rPr>
          <w:lang w:val="fr-BE"/>
        </w:rPr>
      </w:pPr>
      <w:r>
        <w:rPr>
          <w:lang w:val="fr-BE"/>
        </w:rPr>
      </w:r>
    </w:p>
    <w:p>
      <w:pPr>
        <w:pStyle w:val="Corpsdetexte3"/>
        <w:jc w:val="both"/>
        <w:rPr>
          <w:lang w:val="fr-BE"/>
        </w:rPr>
      </w:pPr>
      <w:r>
        <w:rPr>
          <w:lang w:val="fr-BE"/>
        </w:rPr>
      </w:r>
    </w:p>
    <w:p>
      <w:pPr>
        <w:pStyle w:val="Heading1"/>
        <w:ind w:hanging="0" w:start="0"/>
        <w:rPr/>
      </w:pPr>
      <w:r>
        <w:rPr/>
        <w:t>F. 4.5.3.2. EPAISSEUR</w:t>
      </w:r>
    </w:p>
    <w:p>
      <w:pPr>
        <w:pStyle w:val="Normal"/>
        <w:spacing w:lineRule="atLeast" w:line="300"/>
        <w:jc w:val="both"/>
        <w:rPr>
          <w:color w:val="000000"/>
        </w:rPr>
      </w:pPr>
      <w:r>
        <w:rPr>
          <w:color w:val="000000"/>
        </w:rPr>
      </w:r>
    </w:p>
    <w:p>
      <w:pPr>
        <w:pStyle w:val="Corpsdetexte2"/>
        <w:rPr>
          <w:b w:val="false"/>
        </w:rPr>
      </w:pPr>
      <w:r>
        <w:rPr>
          <w:b w:val="false"/>
        </w:rPr>
        <w:t>Fixer l'épaisseur nominale (en mm).</w:t>
      </w:r>
    </w:p>
    <w:p>
      <w:pPr>
        <w:pStyle w:val="Corpsdetexte3"/>
        <w:jc w:val="both"/>
        <w:rPr>
          <w:b/>
        </w:rPr>
      </w:pPr>
      <w:r>
        <w:rPr>
          <w:b/>
        </w:rPr>
      </w:r>
    </w:p>
    <w:p>
      <w:pPr>
        <w:pStyle w:val="Corpsdetexte3"/>
        <w:jc w:val="both"/>
        <w:rPr>
          <w:lang w:val="fr-BE"/>
        </w:rPr>
      </w:pPr>
      <w:r>
        <w:rPr>
          <w:lang w:val="fr-BE"/>
        </w:rPr>
      </w:r>
    </w:p>
    <w:p>
      <w:pPr>
        <w:pStyle w:val="Heading1"/>
        <w:ind w:hanging="0" w:start="0"/>
        <w:rPr>
          <w:caps w:val="false"/>
          <w:smallCaps w:val="false"/>
        </w:rPr>
      </w:pPr>
      <w:r>
        <w:rPr>
          <w:caps w:val="false"/>
          <w:smallCaps w:val="false"/>
        </w:rPr>
        <w:t>F. 4.9. FONDATIONS EN PRODUITS DE SCALPAGE TRAITÉS</w:t>
      </w:r>
    </w:p>
    <w:p>
      <w:pPr>
        <w:pStyle w:val="Normal"/>
        <w:spacing w:lineRule="atLeast" w:line="300"/>
        <w:jc w:val="both"/>
        <w:rPr>
          <w:color w:val="000000"/>
        </w:rPr>
      </w:pPr>
      <w:r>
        <w:rPr>
          <w:color w:val="000000"/>
        </w:rPr>
      </w:r>
    </w:p>
    <w:p>
      <w:pPr>
        <w:pStyle w:val="Normal"/>
        <w:spacing w:lineRule="atLeast" w:line="300"/>
        <w:jc w:val="both"/>
        <w:rPr>
          <w:i/>
          <w:color w:val="000000"/>
        </w:rPr>
      </w:pPr>
      <w:r>
        <w:rPr>
          <w:i/>
          <w:color w:val="000000"/>
        </w:rPr>
        <w:t>Ces produits peuvent aussi être utilisés pour la réalisation d’accotements (poste G 8870 du CPN).</w:t>
      </w:r>
    </w:p>
    <w:p>
      <w:pPr>
        <w:pStyle w:val="Normal"/>
        <w:spacing w:lineRule="atLeast" w:line="300"/>
        <w:jc w:val="both"/>
        <w:rPr>
          <w:i/>
          <w:color w:val="000000"/>
        </w:rPr>
      </w:pPr>
      <w:r>
        <w:rPr>
          <w:i/>
          <w:color w:val="000000"/>
        </w:rPr>
      </w:r>
    </w:p>
    <w:p>
      <w:pPr>
        <w:pStyle w:val="Normal"/>
        <w:spacing w:lineRule="atLeast" w:line="300"/>
        <w:jc w:val="both"/>
        <w:rPr>
          <w:i/>
          <w:color w:val="000000"/>
        </w:rPr>
      </w:pPr>
      <w:r>
        <w:rPr>
          <w:i/>
          <w:color w:val="000000"/>
        </w:rPr>
      </w:r>
    </w:p>
    <w:p>
      <w:pPr>
        <w:pStyle w:val="Heading1"/>
        <w:ind w:hanging="0" w:start="0"/>
        <w:rPr>
          <w:caps w:val="false"/>
          <w:smallCaps w:val="false"/>
        </w:rPr>
      </w:pPr>
      <w:r>
        <w:rPr>
          <w:caps w:val="false"/>
          <w:smallCaps w:val="false"/>
        </w:rPr>
        <w:t>F. 4.9.3. FONDATIONS EN PRODUITS DE SCALPAGE TRAITÉS – SPÉCIFICATIONS</w:t>
      </w:r>
    </w:p>
    <w:p>
      <w:pPr>
        <w:pStyle w:val="Normal"/>
        <w:spacing w:lineRule="atLeast" w:line="300"/>
        <w:jc w:val="both"/>
        <w:rPr>
          <w:i/>
          <w:color w:val="000000"/>
        </w:rPr>
      </w:pPr>
      <w:r>
        <w:rPr>
          <w:i/>
          <w:color w:val="000000"/>
        </w:rPr>
      </w:r>
    </w:p>
    <w:p>
      <w:pPr>
        <w:pStyle w:val="Corpsdetexte2"/>
        <w:rPr/>
      </w:pPr>
      <w:r>
        <w:rPr>
          <w:b w:val="false"/>
        </w:rPr>
        <w:t xml:space="preserve">Indiquer la portance de la fondation si celle-ci est différente de la prescription donnée par défaut au </w:t>
      </w:r>
      <w:r>
        <w:rPr>
          <w:b w:val="false"/>
          <w:color w:val="0000FF"/>
        </w:rPr>
        <w:t>F. 4.9.3</w:t>
      </w:r>
      <w:r>
        <w:rPr>
          <w:b w:val="false"/>
        </w:rPr>
        <w:t>.</w:t>
      </w:r>
    </w:p>
    <w:p>
      <w:pPr>
        <w:pStyle w:val="Normal"/>
        <w:spacing w:lineRule="atLeast" w:line="300"/>
        <w:jc w:val="both"/>
        <w:rPr>
          <w:b/>
          <w:i/>
          <w:color w:val="000000"/>
        </w:rPr>
      </w:pPr>
      <w:r>
        <w:rPr>
          <w:b/>
          <w:i/>
          <w:color w:val="000000"/>
        </w:rPr>
      </w:r>
    </w:p>
    <w:p>
      <w:pPr>
        <w:pStyle w:val="Normal"/>
        <w:spacing w:lineRule="atLeast" w:line="300"/>
        <w:jc w:val="both"/>
        <w:rPr>
          <w:i/>
          <w:color w:val="000000"/>
        </w:rPr>
      </w:pPr>
      <w:r>
        <w:rPr>
          <w:i/>
          <w:color w:val="000000"/>
        </w:rPr>
      </w:r>
    </w:p>
    <w:sectPr>
      <w:footerReference w:type="default" r:id="rId2"/>
      <w:type w:val="nextPage"/>
      <w:pgSz w:w="11906" w:h="16838"/>
      <w:pgMar w:left="1304" w:right="1304" w:gutter="0" w:header="0" w:top="1134" w:footer="720" w:bottom="1134"/>
      <w:pgNumType w:start="1"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Cecile Havron" w:date="2025-05-26T16:48:00Z" w:initials="CH">
    <w:p>
      <w:pPr>
        <w:overflowPunct w:val="false"/>
        <w:bidi w:val="0"/>
        <w:spacing w:lineRule="exact" w:line="312"/>
        <w:rPr/>
      </w:pPr>
      <w:r>
        <w:annotationRef/>
      </w:r>
      <w:r>
        <w:rPr>
          <w:rFonts w:ascii="Times New Roman" w:hAnsi="Times New Roman" w:eastAsia="Times New Roman" w:cs="Times New Roman"/>
          <w:color w:val="000000"/>
          <w:sz w:val="20"/>
          <w:szCs w:val="20"/>
          <w:lang w:eastAsia="en-US" w:bidi="ar-SA" w:val="fr-BE"/>
        </w:rPr>
        <w:t>Ajout et modification suite à la modification du chapitre F, qui concerne les Etude de sols E. 3.4.2. et traitement de sol.</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1" w:characterSet="utf-8"/>
    <w:family w:val="swiss"/>
    <w:pitch w:val="variable"/>
  </w:font>
  <w:font w:name="Elite">
    <w:altName w:val="Courier New"/>
    <w:charset w:val="00" w:characterSet="windows-1252"/>
    <w:family w:val="auto"/>
    <w:pitch w:val="default"/>
  </w:font>
  <w:font w:name="TimesNewRomanPS-ItalicMT">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Arial" w:ascii="Arial" w:hAnsi="Arial"/>
        <w:sz w:val="20"/>
      </w:rPr>
      <w:t xml:space="preserve">Modèle de CSC du </w:t>
    </w:r>
    <w:r>
      <w:rPr>
        <w:rStyle w:val="PageNumber"/>
        <w:rFonts w:cs="Arial" w:ascii="Arial" w:hAnsi="Arial"/>
        <w:color w:val="000000"/>
        <w:sz w:val="20"/>
      </w:rPr>
      <w:t xml:space="preserve">Chapitre F </w:t>
    </w:r>
    <w:r>
      <w:rPr>
        <w:rFonts w:cs="Arial" w:ascii="Arial" w:hAnsi="Arial"/>
        <w:color w:val="000000"/>
        <w:sz w:val="20"/>
      </w:rPr>
      <w:t xml:space="preserve">– Version du 01/01/2026 – </w:t>
    </w:r>
    <w:r>
      <w:rPr>
        <w:rFonts w:cs="Arial" w:ascii="Arial" w:hAnsi="Arial"/>
        <w:color w:val="000000"/>
        <w:sz w:val="20"/>
      </w:rPr>
      <w:fldChar w:fldCharType="begin"/>
    </w:r>
    <w:r>
      <w:rPr>
        <w:rFonts w:cs="Arial" w:ascii="Arial" w:hAnsi="Arial"/>
        <w:color w:val="000000"/>
        <w:sz w:val="20"/>
      </w:rPr>
      <w:instrText xml:space="preserve"> PAGE </w:instrText>
    </w:r>
    <w:r>
      <w:rPr>
        <w:rFonts w:cs="Arial" w:ascii="Arial" w:hAnsi="Arial"/>
        <w:color w:val="000000"/>
        <w:sz w:val="20"/>
      </w:rPr>
      <w:fldChar w:fldCharType="separate"/>
    </w:r>
    <w:r>
      <w:rPr>
        <w:rFonts w:cs="Arial" w:ascii="Arial" w:hAnsi="Arial"/>
        <w:color w:val="000000"/>
        <w:sz w:val="20"/>
      </w:rPr>
      <w:t>4</w:t>
    </w:r>
    <w:r>
      <w:rPr>
        <w:rFonts w:cs="Arial" w:ascii="Arial" w:hAnsi="Arial"/>
        <w:color w:val="000000"/>
        <w:sz w:val="20"/>
      </w:rPr>
      <w:fldChar w:fldCharType="end"/>
    </w:r>
    <w:r>
      <w:rPr>
        <w:rFonts w:cs="Arial" w:ascii="Arial" w:hAnsi="Arial"/>
        <w:color w:val="000000"/>
        <w:sz w:val="20"/>
      </w:rPr>
      <w:t xml:space="preserve"> </w:t>
    </w:r>
  </w:p>
  <w:p>
    <w:pPr>
      <w:pStyle w:val="Footer"/>
      <w:rPr>
        <w:rFonts w:ascii="Arial" w:hAnsi="Arial" w:cs="Arial"/>
        <w:color w:val="000000"/>
        <w:sz w:val="20"/>
      </w:rPr>
    </w:pPr>
    <w:r>
      <w:rPr>
        <w:rFonts w:cs="Arial" w:ascii="Arial" w:hAnsi="Arial"/>
        <w:color w:val="000000"/>
        <w:sz w:val="20"/>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abstractNum>
  <w:abstractNum w:abstractNumId="3">
    <w:lvl w:ilvl="0">
      <w:numFmt w:val="bullet"/>
      <w:lvlText w:val="–"/>
      <w:lvlJc w:val="start"/>
      <w:pPr>
        <w:tabs>
          <w:tab w:val="num" w:pos="360"/>
        </w:tabs>
        <w:ind w:start="360" w:hanging="360"/>
      </w:pPr>
      <w:rPr>
        <w:rFonts w:ascii="Arial" w:hAnsi="Arial" w:cs="Arial" w:hint="default"/>
      </w:rPr>
    </w:lvl>
  </w:abstractNum>
  <w:abstractNum w:abstractNumId="4">
    <w:lvl w:ilvl="0">
      <w:start w:val="1"/>
      <w:numFmt w:val="bullet"/>
      <w:lvlText w:val=""/>
      <w:lvlJc w:val="start"/>
      <w:pPr>
        <w:tabs>
          <w:tab w:val="num" w:pos="283"/>
        </w:tabs>
        <w:ind w:start="283" w:hanging="283"/>
      </w:pPr>
      <w:rPr>
        <w:rFonts w:ascii="Symbol" w:hAnsi="Symbol" w:cs="Symbol" w:hint="default"/>
      </w:rPr>
    </w:lvl>
  </w:abstractNum>
  <w:abstractNum w:abstractNumId="5">
    <w:lvl w:ilvl="0">
      <w:start w:val="1"/>
      <w:numFmt w:val="bullet"/>
      <w:lvlText w:val=""/>
      <w:lvlJc w:val="start"/>
      <w:pPr>
        <w:tabs>
          <w:tab w:val="num" w:pos="283"/>
        </w:tabs>
        <w:ind w:start="283"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val="bestFit" w:percent="20"/>
  <w:revisionView w:insDel="0" w:formatting="0"/>
  <w:defaultTabStop w:val="567"/>
  <w:autoHyphenation w:val="true"/>
  <w:hyphenationZone w:val="0"/>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fr-FR" w:eastAsia="zh-CN" w:bidi="hi-IN"/>
      </w:rPr>
    </w:rPrDefault>
    <w:pPrDefault>
      <w:pPr>
        <w:suppressAutoHyphens w:val="true"/>
      </w:pPr>
    </w:pPrDefault>
  </w:docDefaults>
  <w:style w:type="paragraph" w:styleId="Normal">
    <w:name w:val="Normal"/>
    <w:qFormat/>
    <w:pPr>
      <w:widowControl/>
      <w:bidi w:val="0"/>
      <w:spacing w:lineRule="exact" w:line="312"/>
    </w:pPr>
    <w:rPr>
      <w:rFonts w:ascii="Times New Roman" w:hAnsi="Times New Roman" w:eastAsia="Times New Roman" w:cs="Times New Roman"/>
      <w:color w:val="000000"/>
      <w:sz w:val="24"/>
      <w:szCs w:val="24"/>
      <w:lang w:val="fr-FR" w:bidi="ar-SA" w:eastAsia="zh-CN"/>
    </w:rPr>
  </w:style>
  <w:style w:type="paragraph" w:styleId="Heading1">
    <w:name w:val="heading 1"/>
    <w:basedOn w:val="Normal"/>
    <w:next w:val="Normal"/>
    <w:qFormat/>
    <w:pPr>
      <w:numPr>
        <w:ilvl w:val="0"/>
        <w:numId w:val="1"/>
      </w:numPr>
      <w:spacing w:lineRule="atLeast" w:line="300"/>
      <w:jc w:val="both"/>
      <w:outlineLvl w:val="0"/>
    </w:pPr>
    <w:rPr>
      <w:b/>
      <w:bCs/>
      <w:caps/>
      <w:color w:val="000000"/>
    </w:rPr>
  </w:style>
  <w:style w:type="paragraph" w:styleId="Heading2">
    <w:name w:val="heading 2"/>
    <w:basedOn w:val="Normal"/>
    <w:next w:val="Normal"/>
    <w:qFormat/>
    <w:pPr>
      <w:keepNext w:val="true"/>
      <w:numPr>
        <w:ilvl w:val="1"/>
        <w:numId w:val="1"/>
      </w:numPr>
      <w:jc w:val="both"/>
      <w:outlineLvl w:val="1"/>
    </w:pPr>
    <w:rPr>
      <w:b/>
      <w:bCs/>
      <w:color w:val="000000"/>
    </w:rPr>
  </w:style>
  <w:style w:type="paragraph" w:styleId="Heading3">
    <w:name w:val="heading 3"/>
    <w:basedOn w:val="Normal"/>
    <w:next w:val="Normal"/>
    <w:qFormat/>
    <w:pPr>
      <w:keepNext w:val="true"/>
      <w:numPr>
        <w:ilvl w:val="2"/>
        <w:numId w:val="1"/>
      </w:numPr>
      <w:pBdr>
        <w:top w:val="single" w:sz="12" w:space="1" w:color="000000"/>
        <w:left w:val="single" w:sz="12" w:space="4" w:color="000000"/>
        <w:bottom w:val="single" w:sz="12" w:space="1" w:color="000000"/>
        <w:right w:val="single" w:sz="12" w:space="4" w:color="000000"/>
      </w:pBdr>
      <w:jc w:val="both"/>
      <w:outlineLvl w:val="2"/>
    </w:pPr>
    <w:rPr>
      <w:b/>
      <w:bCs/>
      <w:color w:val="000000"/>
      <w:u w:val="single"/>
    </w:rPr>
  </w:style>
  <w:style w:type="paragraph" w:styleId="Heading4">
    <w:name w:val="heading 4"/>
    <w:basedOn w:val="Normal"/>
    <w:next w:val="Normal"/>
    <w:qFormat/>
    <w:pPr>
      <w:keepNext w:val="true"/>
      <w:numPr>
        <w:ilvl w:val="3"/>
        <w:numId w:val="1"/>
      </w:numPr>
      <w:outlineLvl w:val="3"/>
    </w:pPr>
    <w:rPr>
      <w:b/>
      <w:bCs/>
      <w:color w:val="000000"/>
    </w:rPr>
  </w:style>
  <w:style w:type="paragraph" w:styleId="Heading5">
    <w:name w:val="heading 5"/>
    <w:basedOn w:val="Normal"/>
    <w:next w:val="Normal"/>
    <w:qFormat/>
    <w:pPr>
      <w:keepNext w:val="true"/>
      <w:numPr>
        <w:ilvl w:val="4"/>
        <w:numId w:val="1"/>
      </w:numPr>
      <w:outlineLvl w:val="4"/>
    </w:pPr>
    <w:rPr>
      <w:i/>
      <w:iCs/>
      <w:color w:val="000000"/>
      <w:u w:val="single"/>
    </w:rPr>
  </w:style>
  <w:style w:type="paragraph" w:styleId="Heading6">
    <w:name w:val="heading 6"/>
    <w:basedOn w:val="Normal"/>
    <w:next w:val="Normal"/>
    <w:qFormat/>
    <w:pPr>
      <w:keepNext w:val="true"/>
      <w:numPr>
        <w:ilvl w:val="5"/>
        <w:numId w:val="1"/>
      </w:numPr>
      <w:jc w:val="both"/>
      <w:outlineLvl w:val="5"/>
    </w:pPr>
    <w:rPr>
      <w:i/>
      <w:iCs/>
      <w:color w:val="000000"/>
      <w:u w:val="single"/>
    </w:rPr>
  </w:style>
  <w:style w:type="paragraph" w:styleId="Heading7">
    <w:name w:val="heading 7"/>
    <w:basedOn w:val="Normal"/>
    <w:next w:val="Normal"/>
    <w:qFormat/>
    <w:pPr>
      <w:keepNext w:val="true"/>
      <w:numPr>
        <w:ilvl w:val="6"/>
        <w:numId w:val="1"/>
      </w:numPr>
      <w:jc w:val="center"/>
      <w:outlineLvl w:val="6"/>
    </w:pPr>
    <w:rPr>
      <w:b/>
      <w:bCs/>
      <w:color w:val="000000"/>
    </w:rPr>
  </w:style>
  <w:style w:type="paragraph" w:styleId="Heading8">
    <w:name w:val="heading 8"/>
    <w:basedOn w:val="Normal"/>
    <w:next w:val="Normal"/>
    <w:qFormat/>
    <w:pPr>
      <w:keepNext w:val="true"/>
      <w:numPr>
        <w:ilvl w:val="7"/>
        <w:numId w:val="1"/>
      </w:numPr>
      <w:pBdr>
        <w:top w:val="single" w:sz="6" w:space="1" w:color="000000"/>
        <w:left w:val="single" w:sz="6" w:space="1" w:color="000000"/>
        <w:bottom w:val="single" w:sz="6" w:space="1" w:color="000000"/>
        <w:right w:val="single" w:sz="6" w:space="1" w:color="000000"/>
      </w:pBdr>
      <w:jc w:val="both"/>
      <w:outlineLvl w:val="7"/>
    </w:pPr>
    <w:rPr>
      <w:b/>
      <w:bCs/>
      <w:color w:val="000000"/>
    </w:rPr>
  </w:style>
  <w:style w:type="character" w:styleId="WW8Num2z0">
    <w:name w:val="WW8Num2z0"/>
    <w:qFormat/>
    <w:rPr>
      <w:rFonts w:ascii="Arial" w:hAnsi="Arial" w:cs="Arial"/>
      <w:sz w:val="20"/>
    </w:rPr>
  </w:style>
  <w:style w:type="character" w:styleId="WW8Num3z0">
    <w:name w:val="WW8Num3z0"/>
    <w:qFormat/>
    <w:rPr>
      <w:rFonts w:ascii="Symbol" w:hAnsi="Symbol" w:cs="Symbol"/>
    </w:rPr>
  </w:style>
  <w:style w:type="character" w:styleId="WW8Num5z0">
    <w:name w:val="WW8Num5z0"/>
    <w:qFormat/>
    <w:rPr>
      <w:rFonts w:ascii="Arial" w:hAnsi="Arial" w:cs="Arial"/>
    </w:rPr>
  </w:style>
  <w:style w:type="character" w:styleId="WW8Num6z0">
    <w:name w:val="WW8Num6z0"/>
    <w:qFormat/>
    <w:rPr>
      <w:rFonts w:ascii="Arial" w:hAnsi="Arial" w:cs="Arial"/>
      <w:sz w:val="20"/>
    </w:rPr>
  </w:style>
  <w:style w:type="character" w:styleId="WW8Num7z0">
    <w:name w:val="WW8Num7z0"/>
    <w:qFormat/>
    <w:rPr>
      <w:rFonts w:ascii="Symbol" w:hAnsi="Symbol" w:cs="Symbol"/>
      <w:sz w:val="16"/>
    </w:rPr>
  </w:style>
  <w:style w:type="character" w:styleId="WW8Num8z0">
    <w:name w:val="WW8Num8z0"/>
    <w:qFormat/>
    <w:rPr>
      <w:rFonts w:ascii="Symbol" w:hAnsi="Symbol" w:cs="Symbol"/>
      <w:sz w:val="16"/>
    </w:rPr>
  </w:style>
  <w:style w:type="character" w:styleId="WW8Num9z0">
    <w:name w:val="WW8Num9z0"/>
    <w:qFormat/>
    <w:rPr>
      <w:rFonts w:ascii="Arial" w:hAnsi="Arial" w:cs="Arial"/>
      <w:sz w:val="20"/>
    </w:rPr>
  </w:style>
  <w:style w:type="character" w:styleId="WW8Num10z0">
    <w:name w:val="WW8Num10z0"/>
    <w:qFormat/>
    <w:rPr>
      <w:rFonts w:ascii="Symbol" w:hAnsi="Symbol" w:cs="Symbol"/>
    </w:rPr>
  </w:style>
  <w:style w:type="character" w:styleId="WW8Num11z0">
    <w:name w:val="WW8Num11z0"/>
    <w:qFormat/>
    <w:rPr>
      <w:rFonts w:ascii="Times New Roman" w:hAnsi="Times New Roman" w:eastAsia="Times New Roman" w:cs="Times New Roman"/>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Symbol" w:hAnsi="Symbol" w:cs="Symbol"/>
    </w:rPr>
  </w:style>
  <w:style w:type="character" w:styleId="WW8Num14z0">
    <w:name w:val="WW8Num14z0"/>
    <w:qFormat/>
    <w:rPr>
      <w:rFonts w:ascii="Symbol" w:hAnsi="Symbol" w:cs="Symbol"/>
      <w:sz w:val="16"/>
    </w:rPr>
  </w:style>
  <w:style w:type="character" w:styleId="WW8NumSt1z0">
    <w:name w:val="WW8NumSt1z0"/>
    <w:qFormat/>
    <w:rPr>
      <w:rFonts w:ascii="Symbol" w:hAnsi="Symbol" w:cs="Symbol"/>
    </w:rPr>
  </w:style>
  <w:style w:type="character" w:styleId="WW8NumSt7z0">
    <w:name w:val="WW8NumSt7z0"/>
    <w:qFormat/>
    <w:rPr>
      <w:rFonts w:ascii="Symbol" w:hAnsi="Symbol" w:cs="Symbol"/>
    </w:rPr>
  </w:style>
  <w:style w:type="character" w:styleId="Policepardfaut">
    <w:name w:val="Police par défaut"/>
    <w:qFormat/>
    <w:rPr/>
  </w:style>
  <w:style w:type="character" w:styleId="FootnoteCharacters">
    <w:name w:val="Footnote Characters"/>
    <w:qFormat/>
    <w:rPr>
      <w:vertAlign w:val="superscript"/>
    </w:rPr>
  </w:style>
  <w:style w:type="character" w:styleId="PageNumber">
    <w:name w:val="page number"/>
    <w:basedOn w:val="Policepardfaut"/>
    <w:rPr/>
  </w:style>
  <w:style w:type="character" w:styleId="PieddepageCar">
    <w:name w:val="Pied de page Car"/>
    <w:qFormat/>
    <w:rPr>
      <w:color w:val="000000"/>
      <w:sz w:val="24"/>
      <w:szCs w:val="24"/>
      <w:lang w:val="fr-FR"/>
    </w:rPr>
  </w:style>
  <w:style w:type="character" w:styleId="Marquedecommentaire">
    <w:name w:val="Marque de commentaire"/>
    <w:qFormat/>
    <w:rPr>
      <w:sz w:val="16"/>
      <w:szCs w:val="16"/>
    </w:rPr>
  </w:style>
  <w:style w:type="character" w:styleId="CommentaireCar">
    <w:name w:val="Commentaire Car"/>
    <w:qFormat/>
    <w:rPr>
      <w:color w:val="000000"/>
      <w:lang w:val="fr-F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jc w:val="both"/>
    </w:pPr>
    <w:rPr>
      <w:i/>
      <w:iCs/>
      <w:color w:val="00000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Header">
    <w:name w:val="header"/>
    <w:next w:val="Normal"/>
    <w:pPr>
      <w:widowControl/>
      <w:bidi w:val="0"/>
      <w:spacing w:lineRule="exact" w:line="240" w:before="0" w:after="480"/>
      <w:jc w:val="center"/>
    </w:pPr>
    <w:rPr>
      <w:rFonts w:ascii="Elite;Courier New" w:hAnsi="Elite;Courier New" w:eastAsia="Times New Roman" w:cs="Elite;Courier New"/>
      <w:color w:val="auto"/>
      <w:sz w:val="24"/>
      <w:szCs w:val="24"/>
      <w:lang w:val="fr-FR" w:bidi="ar-SA" w:eastAsia="zh-CN"/>
    </w:rPr>
  </w:style>
  <w:style w:type="paragraph" w:styleId="concerne">
    <w:name w:val="concerne"/>
    <w:basedOn w:val="Normal"/>
    <w:qFormat/>
    <w:pPr>
      <w:spacing w:before="1440" w:after="0"/>
      <w:ind w:hanging="1134" w:start="1134" w:end="0"/>
    </w:pPr>
    <w:rPr>
      <w:b/>
      <w:bCs/>
    </w:rPr>
  </w:style>
  <w:style w:type="paragraph" w:styleId="texte">
    <w:name w:val="texte"/>
    <w:basedOn w:val="Normal"/>
    <w:qFormat/>
    <w:pPr>
      <w:ind w:firstLine="1134" w:start="0" w:end="0"/>
      <w:jc w:val="both"/>
    </w:pPr>
    <w:rPr/>
  </w:style>
  <w:style w:type="paragraph" w:styleId="adresse">
    <w:name w:val="adresse"/>
    <w:basedOn w:val="Normal"/>
    <w:qFormat/>
    <w:pPr>
      <w:tabs>
        <w:tab w:val="clear" w:pos="567"/>
        <w:tab w:val="left" w:pos="4820" w:leader="none"/>
      </w:tabs>
      <w:spacing w:before="1920" w:after="0"/>
      <w:ind w:hanging="0" w:start="4820" w:end="0"/>
    </w:pPr>
    <w:rPr/>
  </w:style>
  <w:style w:type="paragraph" w:styleId="signature">
    <w:name w:val="signature"/>
    <w:basedOn w:val="Normal"/>
    <w:qFormat/>
    <w:pPr>
      <w:tabs>
        <w:tab w:val="clear" w:pos="567"/>
        <w:tab w:val="left" w:pos="5670" w:leader="none"/>
      </w:tabs>
      <w:ind w:hanging="0" w:start="5670" w:end="0"/>
    </w:pPr>
    <w:rPr/>
  </w:style>
  <w:style w:type="paragraph" w:styleId="rfrence">
    <w:name w:val="référence"/>
    <w:basedOn w:val="Normal"/>
    <w:qFormat/>
    <w:pPr/>
    <w:rPr/>
  </w:style>
  <w:style w:type="paragraph" w:styleId="rapport">
    <w:name w:val="rapport"/>
    <w:basedOn w:val="Normal"/>
    <w:qFormat/>
    <w:pPr>
      <w:ind w:hanging="0" w:start="567" w:end="0"/>
    </w:pPr>
    <w:rPr/>
  </w:style>
  <w:style w:type="paragraph" w:styleId="FootnoteText">
    <w:name w:val="footnote text"/>
    <w:basedOn w:val="Normal"/>
    <w:pPr/>
    <w:rPr>
      <w:sz w:val="20"/>
      <w:szCs w:val="20"/>
    </w:rPr>
  </w:style>
  <w:style w:type="paragraph" w:styleId="Footer">
    <w:name w:val="footer"/>
    <w:basedOn w:val="Normal"/>
    <w:pPr>
      <w:tabs>
        <w:tab w:val="clear" w:pos="567"/>
        <w:tab w:val="center" w:pos="4536" w:leader="none"/>
        <w:tab w:val="right" w:pos="9072" w:leader="none"/>
      </w:tabs>
    </w:pPr>
    <w:rPr/>
  </w:style>
  <w:style w:type="paragraph" w:styleId="Corpsdetexte2">
    <w:name w:val="Corps de texte 2"/>
    <w:basedOn w:val="Normal"/>
    <w:qFormat/>
    <w:pPr>
      <w:pBdr>
        <w:top w:val="single" w:sz="12" w:space="1" w:color="000000"/>
        <w:left w:val="single" w:sz="12" w:space="1" w:color="000000"/>
        <w:bottom w:val="single" w:sz="12" w:space="1" w:color="000000"/>
        <w:right w:val="single" w:sz="12" w:space="1" w:color="000000"/>
      </w:pBdr>
      <w:jc w:val="both"/>
    </w:pPr>
    <w:rPr>
      <w:b/>
      <w:bCs/>
      <w:color w:val="000000"/>
    </w:rPr>
  </w:style>
  <w:style w:type="paragraph" w:styleId="Corpsdetexte3">
    <w:name w:val="Corps de texte 3"/>
    <w:basedOn w:val="Normal"/>
    <w:qFormat/>
    <w:pPr/>
    <w:rPr>
      <w:i/>
      <w:iCs/>
      <w:color w:val="000000"/>
    </w:rPr>
  </w:style>
  <w:style w:type="paragraph" w:styleId="BodyTextIndent">
    <w:name w:val="Body Text Indent"/>
    <w:basedOn w:val="Normal"/>
    <w:pPr>
      <w:autoSpaceDE w:val="false"/>
      <w:spacing w:lineRule="auto" w:line="240"/>
    </w:pPr>
    <w:rPr>
      <w:rFonts w:ascii="TimesNewRomanPS-ItalicMT" w:hAnsi="TimesNewRomanPS-ItalicMT" w:cs="TimesNewRomanPS-ItalicMT"/>
      <w:i/>
      <w:iCs/>
      <w:color w:val="FF0000"/>
    </w:rPr>
  </w:style>
  <w:style w:type="paragraph" w:styleId="Puces2">
    <w:name w:val="Puces 2"/>
    <w:basedOn w:val="Normal"/>
    <w:qFormat/>
    <w:pPr>
      <w:numPr>
        <w:ilvl w:val="0"/>
        <w:numId w:val="3"/>
      </w:numPr>
      <w:pBdr>
        <w:top w:val="single" w:sz="12" w:space="1" w:color="000000"/>
        <w:left w:val="single" w:sz="12" w:space="4" w:color="000000"/>
        <w:bottom w:val="single" w:sz="12" w:space="1" w:color="000000"/>
        <w:right w:val="single" w:sz="12" w:space="4" w:color="000000"/>
      </w:pBdr>
      <w:tabs>
        <w:tab w:val="clear" w:pos="567"/>
        <w:tab w:val="left" w:pos="284" w:leader="none"/>
      </w:tabs>
      <w:spacing w:lineRule="atLeast" w:line="300"/>
      <w:jc w:val="both"/>
    </w:pPr>
    <w:rPr>
      <w:color w:val="auto"/>
    </w:rPr>
  </w:style>
  <w:style w:type="paragraph" w:styleId="Commentaire">
    <w:name w:val="Commentaire"/>
    <w:basedOn w:val="Normal"/>
    <w:qFormat/>
    <w:pPr/>
    <w:rPr>
      <w:sz w:val="20"/>
      <w:szCs w:val="2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comments" Target="comment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119</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2025-11-19T15:36:00Z</dcterms:created>
  <dc:creator>15200</dc:creator>
  <dc:description/>
  <cp:keywords/>
  <dc:language>fr-FR</dc:language>
  <cp:lastModifiedBy>MICHAUX Gauthier</cp:lastModifiedBy>
  <cp:lastPrinted>2003-10-09T16:12:00Z</cp:lastPrinted>
  <dcterms:modified xsi:type="dcterms:W3CDTF">2025-12-10T11:32:00Z</dcterms:modified>
  <cp:revision>6</cp:revision>
  <dc:subject/>
  <dc:title>03.06.97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72a09c5-6e26-4737-a926-47ef1ab198ae_ActionId">
    <vt:lpwstr>2cd78564-2ce1-41a1-b2c5-5c655f20734e</vt:lpwstr>
  </property>
  <property fmtid="{D5CDD505-2E9C-101B-9397-08002B2CF9AE}" pid="3" name="MSIP_Label_e72a09c5-6e26-4737-a926-47ef1ab198ae_Application">
    <vt:lpwstr>Microsoft Azure Information Protection</vt:lpwstr>
  </property>
  <property fmtid="{D5CDD505-2E9C-101B-9397-08002B2CF9AE}" pid="4" name="MSIP_Label_e72a09c5-6e26-4737-a926-47ef1ab198ae_Enabled">
    <vt:lpwstr>True</vt:lpwstr>
  </property>
  <property fmtid="{D5CDD505-2E9C-101B-9397-08002B2CF9AE}" pid="5" name="MSIP_Label_e72a09c5-6e26-4737-a926-47ef1ab198ae_Extended_MSFT_Method">
    <vt:lpwstr>Automatic</vt:lpwstr>
  </property>
  <property fmtid="{D5CDD505-2E9C-101B-9397-08002B2CF9AE}" pid="6" name="MSIP_Label_e72a09c5-6e26-4737-a926-47ef1ab198ae_Name">
    <vt:lpwstr>Confidentiel</vt:lpwstr>
  </property>
  <property fmtid="{D5CDD505-2E9C-101B-9397-08002B2CF9AE}" pid="7" name="MSIP_Label_e72a09c5-6e26-4737-a926-47ef1ab198ae_Owner">
    <vt:lpwstr>gauthier.michaux@spw.wallonie.be</vt:lpwstr>
  </property>
  <property fmtid="{D5CDD505-2E9C-101B-9397-08002B2CF9AE}" pid="8" name="MSIP_Label_e72a09c5-6e26-4737-a926-47ef1ab198ae_SetDate">
    <vt:lpwstr>2019-11-27T14:22:05.0956506Z</vt:lpwstr>
  </property>
  <property fmtid="{D5CDD505-2E9C-101B-9397-08002B2CF9AE}" pid="9" name="MSIP_Label_e72a09c5-6e26-4737-a926-47ef1ab198ae_SiteId">
    <vt:lpwstr>1f816a84-7aa6-4a56-b22a-7b3452fa8681</vt:lpwstr>
  </property>
  <property fmtid="{D5CDD505-2E9C-101B-9397-08002B2CF9AE}" pid="10" name="Sensitivity">
    <vt:lpwstr>Confidentiel</vt:lpwstr>
  </property>
  <property fmtid="{D5CDD505-2E9C-101B-9397-08002B2CF9AE}" pid="11" name="_AdHocReviewCycleID">
    <vt:r8>1765526011</vt:r8>
  </property>
  <property fmtid="{D5CDD505-2E9C-101B-9397-08002B2CF9AE}" pid="12" name="_AuthorEmail">
    <vt:lpwstr>ZamurovicM@D143.M.E.T..com</vt:lpwstr>
  </property>
  <property fmtid="{D5CDD505-2E9C-101B-9397-08002B2CF9AE}" pid="13" name="_AuthorEmailDisplayName">
    <vt:lpwstr>Zamurovic Militza</vt:lpwstr>
  </property>
  <property fmtid="{D5CDD505-2E9C-101B-9397-08002B2CF9AE}" pid="14" name="_EmailSubject">
    <vt:lpwstr>chapitre F</vt:lpwstr>
  </property>
  <property fmtid="{D5CDD505-2E9C-101B-9397-08002B2CF9AE}" pid="15" name="_ReviewingToolsShownOnce">
    <vt:lpwstr/>
  </property>
</Properties>
</file>