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pBdr>
          <w:top w:val="double" w:sz="4" w:space="1" w:color="000000"/>
          <w:left w:val="double" w:sz="4" w:space="4" w:color="000000"/>
          <w:bottom w:val="double" w:sz="4" w:space="1" w:color="000000"/>
          <w:right w:val="double" w:sz="4" w:space="4" w:color="000000"/>
        </w:pBdr>
        <w:spacing w:lineRule="atLeast" w:line="300"/>
        <w:jc w:val="center"/>
        <w:rPr>
          <w:b/>
          <w:color w:val="000000"/>
          <w:sz w:val="28"/>
        </w:rPr>
      </w:pPr>
      <w:r>
        <w:rPr>
          <w:b/>
          <w:caps/>
          <w:color w:val="000000"/>
          <w:sz w:val="28"/>
        </w:rPr>
        <w:t xml:space="preserve">Précisions et commentaires relatifs àU chapitre H </w:t>
        <w:br/>
        <w:t>– Eléments linéaires du CCT QUALIROUTES</w:t>
      </w:r>
    </w:p>
    <w:p>
      <w:pPr>
        <w:pStyle w:val="Normal"/>
        <w:spacing w:lineRule="atLeast" w:line="300"/>
        <w:jc w:val="both"/>
        <w:rPr>
          <w:b/>
          <w:color w:val="000000"/>
          <w:sz w:val="28"/>
        </w:rPr>
      </w:pPr>
      <w:r>
        <w:rPr>
          <w:b/>
          <w:color w:val="000000"/>
          <w:sz w:val="28"/>
        </w:rPr>
      </w:r>
    </w:p>
    <w:p>
      <w:pPr>
        <w:pStyle w:val="Normal"/>
        <w:spacing w:lineRule="atLeast" w:line="300"/>
        <w:jc w:val="both"/>
        <w:rPr>
          <w:color w:val="000000"/>
        </w:rPr>
      </w:pPr>
      <w:r>
        <w:rPr>
          <w:color w:val="000000"/>
        </w:rPr>
      </w:r>
    </w:p>
    <w:p>
      <w:pPr>
        <w:pStyle w:val="Heading1"/>
        <w:ind w:hanging="0" w:start="0"/>
        <w:rPr/>
      </w:pPr>
      <w:r>
        <w:rPr/>
        <w:t>H. 1.1.2.1. Bordures en pierre naturelle – Matériaux</w:t>
      </w:r>
    </w:p>
    <w:p>
      <w:pPr>
        <w:pStyle w:val="Normal"/>
        <w:spacing w:lineRule="atLeast" w:line="300"/>
        <w:jc w:val="both"/>
        <w:rPr>
          <w:color w:val="000000"/>
        </w:rPr>
      </w:pPr>
      <w:r>
        <w:rPr>
          <w:color w:val="000000"/>
        </w:rPr>
      </w:r>
    </w:p>
    <w:p>
      <w:pPr>
        <w:pStyle w:val="Puces2"/>
        <w:numPr>
          <w:ilvl w:val="0"/>
          <w:numId w:val="2"/>
        </w:numPr>
        <w:tabs>
          <w:tab w:val="clear" w:pos="284"/>
        </w:tabs>
        <w:ind w:hanging="0" w:start="0"/>
        <w:rPr/>
      </w:pPr>
      <w:r>
        <w:rPr/>
        <w:t>Indiquer la nature lithologique et l’origine géologique de la pierre.</w:t>
      </w:r>
    </w:p>
    <w:p>
      <w:pPr>
        <w:pStyle w:val="Puces2"/>
        <w:numPr>
          <w:ilvl w:val="0"/>
          <w:numId w:val="2"/>
        </w:numPr>
        <w:tabs>
          <w:tab w:val="clear" w:pos="284"/>
        </w:tabs>
        <w:ind w:hanging="0" w:start="0"/>
        <w:rPr/>
      </w:pPr>
      <w:r>
        <w:rPr/>
        <w:t>Indiquer la classe si elle diffère de la classe par défaut.</w:t>
      </w:r>
    </w:p>
    <w:p>
      <w:pPr>
        <w:pStyle w:val="Puces2"/>
        <w:numPr>
          <w:ilvl w:val="0"/>
          <w:numId w:val="2"/>
        </w:numPr>
        <w:tabs>
          <w:tab w:val="clear" w:pos="284"/>
        </w:tabs>
        <w:ind w:hanging="0" w:start="0"/>
        <w:rPr/>
      </w:pPr>
      <w:r>
        <w:rPr/>
        <w:t xml:space="preserve">Indiquer au </w:t>
      </w:r>
      <w:r>
        <w:rPr>
          <w:color w:val="0000FF"/>
        </w:rPr>
        <w:t>C. 31.1.2</w:t>
      </w:r>
      <w:r>
        <w:rPr/>
        <w:t xml:space="preserve"> si la face supérieure est taillée.</w:t>
      </w:r>
    </w:p>
    <w:p>
      <w:pPr>
        <w:pStyle w:val="Puces2"/>
        <w:numPr>
          <w:ilvl w:val="0"/>
          <w:numId w:val="2"/>
        </w:numPr>
        <w:tabs>
          <w:tab w:val="clear" w:pos="284"/>
        </w:tabs>
        <w:ind w:hanging="0" w:start="0"/>
        <w:rPr/>
      </w:pPr>
      <w:r>
        <w:rPr/>
        <w:t xml:space="preserve">Pour les bordures de libage en pierre bleue, indiquer les dimensions au </w:t>
      </w:r>
      <w:r>
        <w:rPr>
          <w:color w:val="0000FF"/>
        </w:rPr>
        <w:t>C. 31.1.3</w:t>
      </w:r>
      <w:r>
        <w:rPr/>
        <w:t>.</w:t>
      </w:r>
    </w:p>
    <w:p>
      <w:pPr>
        <w:pStyle w:val="Puces2"/>
        <w:numPr>
          <w:ilvl w:val="0"/>
          <w:numId w:val="2"/>
        </w:numPr>
        <w:tabs>
          <w:tab w:val="clear" w:pos="284"/>
        </w:tabs>
        <w:ind w:hanging="0" w:start="0"/>
        <w:rPr/>
      </w:pPr>
      <w:r>
        <w:rPr/>
        <w:t xml:space="preserve">Pour les bordures rustiques en grès dur, indiquer les dimensions au </w:t>
      </w:r>
      <w:r>
        <w:rPr>
          <w:color w:val="0000FF"/>
        </w:rPr>
        <w:t>C. 31.1.4</w:t>
      </w:r>
      <w:r>
        <w:rPr/>
        <w:t>.</w:t>
      </w:r>
    </w:p>
    <w:p>
      <w:pPr>
        <w:pStyle w:val="Puces2"/>
        <w:numPr>
          <w:ilvl w:val="0"/>
          <w:numId w:val="2"/>
        </w:numPr>
        <w:tabs>
          <w:tab w:val="clear" w:pos="284"/>
        </w:tabs>
        <w:ind w:hanging="0" w:start="0"/>
        <w:rPr/>
      </w:pPr>
      <w:r>
        <w:rPr/>
        <w:t>Indiquer la finition de surface.</w:t>
      </w:r>
    </w:p>
    <w:p>
      <w:pPr>
        <w:pStyle w:val="Normal"/>
        <w:spacing w:lineRule="atLeast" w:line="300"/>
        <w:jc w:val="both"/>
        <w:rPr>
          <w:i/>
          <w:color w:val="000000"/>
        </w:rPr>
      </w:pPr>
      <w:r>
        <w:rPr>
          <w:i/>
          <w:color w:val="000000"/>
        </w:rPr>
      </w:r>
    </w:p>
    <w:p>
      <w:pPr>
        <w:pStyle w:val="Normal"/>
        <w:spacing w:lineRule="atLeast" w:line="300"/>
        <w:jc w:val="both"/>
        <w:rPr>
          <w:i/>
          <w:color w:val="000000"/>
        </w:rPr>
      </w:pPr>
      <w:r>
        <w:rPr>
          <w:i/>
          <w:color w:val="000000"/>
        </w:rPr>
      </w:r>
    </w:p>
    <w:p>
      <w:pPr>
        <w:pStyle w:val="Heading1"/>
        <w:ind w:hanging="0" w:start="0"/>
        <w:rPr/>
      </w:pPr>
      <w:r>
        <w:rPr/>
        <w:t>H. 1.1.2.2. BORDURES EN PIERRE NATURELLE – execution</w:t>
      </w:r>
    </w:p>
    <w:p>
      <w:pPr>
        <w:pStyle w:val="Normal"/>
        <w:tabs>
          <w:tab w:val="clear" w:pos="567"/>
          <w:tab w:val="left" w:pos="1276" w:leader="none"/>
        </w:tabs>
        <w:spacing w:lineRule="atLeast" w:line="300"/>
        <w:jc w:val="both"/>
        <w:rPr>
          <w:b/>
          <w:color w:val="000000"/>
        </w:rPr>
      </w:pPr>
      <w:r>
        <w:rPr>
          <w:b/>
          <w:color w:val="000000"/>
        </w:rPr>
      </w:r>
    </w:p>
    <w:p>
      <w:pPr>
        <w:pStyle w:val="Puces2"/>
        <w:numPr>
          <w:ilvl w:val="0"/>
          <w:numId w:val="2"/>
        </w:numPr>
        <w:tabs>
          <w:tab w:val="clear" w:pos="284"/>
        </w:tabs>
        <w:ind w:hanging="0" w:start="0"/>
        <w:rPr/>
      </w:pPr>
      <w:r>
        <w:rPr/>
        <w:t>Indiquer si les bordures sont en saillie ou enterrées.</w:t>
      </w:r>
    </w:p>
    <w:p>
      <w:pPr>
        <w:pStyle w:val="Puces2"/>
        <w:numPr>
          <w:ilvl w:val="0"/>
          <w:numId w:val="2"/>
        </w:numPr>
        <w:tabs>
          <w:tab w:val="clear" w:pos="284"/>
        </w:tabs>
        <w:ind w:hanging="0" w:start="0"/>
        <w:rPr/>
      </w:pPr>
      <w:r>
        <w:rPr/>
        <w:t>Indiquer si des bordures courbes ou droites de moins de 1 m de longueur sont utilisées dans les courbes dont le rayon de courbure est inférieur à 15 m.</w:t>
      </w:r>
    </w:p>
    <w:p>
      <w:pPr>
        <w:pStyle w:val="Puces2"/>
        <w:numPr>
          <w:ilvl w:val="0"/>
          <w:numId w:val="2"/>
        </w:numPr>
        <w:tabs>
          <w:tab w:val="clear" w:pos="284"/>
        </w:tabs>
        <w:ind w:hanging="0" w:start="0"/>
        <w:rPr/>
      </w:pPr>
      <w:r>
        <w:rPr/>
        <w:t>Indiquer les rayons de courbure.</w:t>
      </w:r>
    </w:p>
    <w:p>
      <w:pPr>
        <w:pStyle w:val="Normal"/>
        <w:tabs>
          <w:tab w:val="clear" w:pos="567"/>
          <w:tab w:val="left" w:pos="1276" w:leader="none"/>
        </w:tabs>
        <w:spacing w:lineRule="atLeast" w:line="300"/>
        <w:jc w:val="both"/>
        <w:rPr>
          <w:color w:val="000000"/>
        </w:rPr>
      </w:pPr>
      <w:r>
        <w:rPr>
          <w:color w:val="000000"/>
        </w:rPr>
      </w:r>
    </w:p>
    <w:p>
      <w:pPr>
        <w:pStyle w:val="Normal"/>
        <w:tabs>
          <w:tab w:val="clear" w:pos="567"/>
          <w:tab w:val="left" w:pos="1276" w:leader="none"/>
        </w:tabs>
        <w:spacing w:lineRule="atLeast" w:line="300"/>
        <w:jc w:val="both"/>
        <w:rPr>
          <w:color w:val="000000"/>
        </w:rPr>
      </w:pPr>
      <w:r>
        <w:rPr>
          <w:color w:val="000000"/>
        </w:rPr>
      </w:r>
    </w:p>
    <w:p>
      <w:pPr>
        <w:pStyle w:val="Heading1"/>
        <w:ind w:hanging="0" w:start="0"/>
        <w:rPr/>
      </w:pPr>
      <w:r>
        <w:rPr/>
        <w:t>H. 1.1.4. bordures en pierre naturelle - PAIEMENT</w:t>
      </w:r>
    </w:p>
    <w:p>
      <w:pPr>
        <w:pStyle w:val="Normal"/>
        <w:tabs>
          <w:tab w:val="clear" w:pos="567"/>
          <w:tab w:val="left" w:pos="1276" w:leader="none"/>
        </w:tabs>
        <w:spacing w:lineRule="atLeast" w:line="300"/>
        <w:jc w:val="both"/>
        <w:rPr>
          <w:color w:val="000000"/>
        </w:rPr>
      </w:pPr>
      <w:r>
        <w:rPr>
          <w:color w:val="000000"/>
        </w:rPr>
      </w:r>
    </w:p>
    <w:p>
      <w:pPr>
        <w:pStyle w:val="BodyText"/>
        <w:rPr/>
      </w:pPr>
      <w:r>
        <w:rPr/>
        <w:t>L'attention est attirée sur le fait que diverses opérations prescrites font appel à des postes séparés du métré.</w:t>
      </w:r>
    </w:p>
    <w:p>
      <w:pPr>
        <w:pStyle w:val="Normal"/>
        <w:tabs>
          <w:tab w:val="clear" w:pos="567"/>
          <w:tab w:val="left" w:pos="1276" w:leader="none"/>
        </w:tabs>
        <w:spacing w:lineRule="atLeast" w:line="300"/>
        <w:jc w:val="both"/>
        <w:rPr>
          <w:color w:val="000000"/>
        </w:rPr>
      </w:pPr>
      <w:r>
        <w:rPr>
          <w:color w:val="000000"/>
        </w:rPr>
      </w:r>
    </w:p>
    <w:p>
      <w:pPr>
        <w:pStyle w:val="Normal"/>
        <w:tabs>
          <w:tab w:val="clear" w:pos="567"/>
          <w:tab w:val="left" w:pos="1276" w:leader="none"/>
        </w:tabs>
        <w:spacing w:lineRule="atLeast" w:line="300"/>
        <w:jc w:val="both"/>
        <w:rPr>
          <w:color w:val="000000"/>
        </w:rPr>
      </w:pPr>
      <w:r>
        <w:rPr>
          <w:color w:val="000000"/>
        </w:rPr>
      </w:r>
    </w:p>
    <w:p>
      <w:pPr>
        <w:pStyle w:val="Heading1"/>
        <w:ind w:hanging="0" w:start="0"/>
        <w:rPr/>
      </w:pPr>
      <w:r>
        <w:rPr/>
        <w:t>H. 1.2.2.2. ELEMENTS LINEAIRES EN BETON PREFABRIQUE – EXECUTION</w:t>
      </w:r>
    </w:p>
    <w:p>
      <w:pPr>
        <w:pStyle w:val="Normal"/>
        <w:tabs>
          <w:tab w:val="clear" w:pos="567"/>
          <w:tab w:val="left" w:pos="1276" w:leader="none"/>
        </w:tabs>
        <w:spacing w:lineRule="atLeast" w:line="300"/>
        <w:jc w:val="both"/>
        <w:rPr>
          <w:color w:val="000000"/>
        </w:rPr>
      </w:pPr>
      <w:r>
        <w:rPr>
          <w:color w:val="000000"/>
        </w:rPr>
      </w:r>
    </w:p>
    <w:p>
      <w:pPr>
        <w:pStyle w:val="Puces2"/>
        <w:numPr>
          <w:ilvl w:val="0"/>
          <w:numId w:val="0"/>
        </w:numPr>
        <w:tabs>
          <w:tab w:val="clear" w:pos="284"/>
        </w:tabs>
        <w:ind w:hanging="0" w:start="0"/>
        <w:rPr/>
      </w:pPr>
      <w:r>
        <w:rPr/>
        <w:t>Indiquer:</w:t>
      </w:r>
    </w:p>
    <w:p>
      <w:pPr>
        <w:pStyle w:val="Puces2"/>
        <w:numPr>
          <w:ilvl w:val="0"/>
          <w:numId w:val="2"/>
        </w:numPr>
        <w:tabs>
          <w:tab w:val="clear" w:pos="284"/>
        </w:tabs>
        <w:ind w:hanging="0" w:start="0"/>
        <w:rPr/>
      </w:pPr>
      <w:r>
        <w:rPr/>
        <w:t>si les éléments linéaires sont en saillie ou enterrés</w:t>
      </w:r>
    </w:p>
    <w:p>
      <w:pPr>
        <w:pStyle w:val="Puces2"/>
        <w:numPr>
          <w:ilvl w:val="0"/>
          <w:numId w:val="2"/>
        </w:numPr>
        <w:tabs>
          <w:tab w:val="clear" w:pos="284"/>
        </w:tabs>
        <w:ind w:hanging="0" w:start="0"/>
        <w:rPr/>
      </w:pPr>
      <w:r>
        <w:rPr/>
        <w:t>les types d’éléments prévus</w:t>
      </w:r>
    </w:p>
    <w:p>
      <w:pPr>
        <w:pStyle w:val="Puces2"/>
        <w:numPr>
          <w:ilvl w:val="0"/>
          <w:numId w:val="2"/>
        </w:numPr>
        <w:tabs>
          <w:tab w:val="clear" w:pos="284"/>
        </w:tabs>
        <w:ind w:hanging="0" w:start="0"/>
        <w:rPr/>
      </w:pPr>
      <w:r>
        <w:rPr/>
        <w:t>les dimensions de la fondation et du contrebutage éventuel, exécutés en béton maigre</w:t>
      </w:r>
    </w:p>
    <w:p>
      <w:pPr>
        <w:pStyle w:val="Puces2"/>
        <w:numPr>
          <w:ilvl w:val="0"/>
          <w:numId w:val="2"/>
        </w:numPr>
        <w:tabs>
          <w:tab w:val="clear" w:pos="284"/>
        </w:tabs>
        <w:ind w:hanging="0" w:start="0"/>
        <w:rPr/>
      </w:pPr>
      <w:r>
        <w:rPr/>
        <w:t>si les éléments linéaires sont collés ainsi que le mode de collage</w:t>
      </w:r>
    </w:p>
    <w:p>
      <w:pPr>
        <w:pStyle w:val="Puces2"/>
        <w:numPr>
          <w:ilvl w:val="0"/>
          <w:numId w:val="2"/>
        </w:numPr>
        <w:tabs>
          <w:tab w:val="clear" w:pos="284"/>
        </w:tabs>
        <w:ind w:hanging="0" w:start="0"/>
        <w:rPr/>
      </w:pPr>
      <w:r>
        <w:rPr/>
        <w:t>dans le cas de courbes inférieures à 15 m de rayon, préciser si des éléments courbes ou des éléments droits de moins d’1 m sont utilisés.</w:t>
      </w:r>
    </w:p>
    <w:p>
      <w:pPr>
        <w:pStyle w:val="Normal"/>
        <w:tabs>
          <w:tab w:val="clear" w:pos="567"/>
          <w:tab w:val="left" w:pos="1276" w:leader="none"/>
        </w:tabs>
        <w:spacing w:lineRule="atLeast" w:line="300"/>
        <w:jc w:val="both"/>
        <w:rPr>
          <w:color w:val="000000"/>
        </w:rPr>
      </w:pPr>
      <w:r>
        <w:rPr>
          <w:color w:val="000000"/>
        </w:rPr>
      </w:r>
    </w:p>
    <w:p>
      <w:pPr>
        <w:pStyle w:val="Puces2"/>
        <w:numPr>
          <w:ilvl w:val="0"/>
          <w:numId w:val="0"/>
        </w:numPr>
        <w:pBdr>
          <w:top w:val="nil"/>
          <w:left w:val="nil"/>
          <w:bottom w:val="nil"/>
          <w:right w:val="nil"/>
        </w:pBdr>
        <w:tabs>
          <w:tab w:val="clear" w:pos="284"/>
        </w:tabs>
        <w:ind w:hanging="0" w:start="0"/>
        <w:rPr/>
      </w:pPr>
      <w:r>
        <w:rPr>
          <w:i/>
        </w:rPr>
        <w:t>L'attention est attirée sur le fait que la fondation en béton maigre dépasse de part et d’autre des éléments d’au moins 2/3 de leur hauteur.</w:t>
      </w:r>
    </w:p>
    <w:p>
      <w:pPr>
        <w:pStyle w:val="Normal"/>
        <w:tabs>
          <w:tab w:val="clear" w:pos="567"/>
          <w:tab w:val="left" w:pos="1276" w:leader="none"/>
        </w:tabs>
        <w:spacing w:lineRule="atLeast" w:line="300"/>
        <w:jc w:val="both"/>
        <w:rPr>
          <w:i/>
          <w:color w:val="000000"/>
        </w:rPr>
      </w:pPr>
      <w:r>
        <w:rPr>
          <w:i/>
          <w:color w:val="000000"/>
        </w:rPr>
      </w:r>
    </w:p>
    <w:p>
      <w:pPr>
        <w:pStyle w:val="Normal"/>
        <w:tabs>
          <w:tab w:val="clear" w:pos="567"/>
          <w:tab w:val="left" w:pos="1276" w:leader="none"/>
        </w:tabs>
        <w:spacing w:lineRule="atLeast" w:line="300"/>
        <w:jc w:val="both"/>
        <w:rPr>
          <w:color w:val="000000"/>
        </w:rPr>
      </w:pPr>
      <w:r>
        <w:rPr>
          <w:color w:val="000000"/>
        </w:rPr>
      </w:r>
    </w:p>
    <w:p>
      <w:pPr>
        <w:pStyle w:val="Heading1"/>
        <w:ind w:hanging="0" w:start="0"/>
        <w:rPr/>
      </w:pPr>
      <w:r>
        <w:rPr/>
        <w:t>H. 1.2.5. ELEMENTS LINEAIRES EN BETON PREFABRIQUE – PAIEMENT</w:t>
      </w:r>
    </w:p>
    <w:p>
      <w:pPr>
        <w:pStyle w:val="Normal"/>
        <w:tabs>
          <w:tab w:val="clear" w:pos="567"/>
          <w:tab w:val="left" w:pos="1276" w:leader="none"/>
        </w:tabs>
        <w:spacing w:lineRule="atLeast" w:line="300"/>
        <w:jc w:val="both"/>
        <w:rPr>
          <w:color w:val="000000"/>
        </w:rPr>
      </w:pPr>
      <w:r>
        <w:rPr>
          <w:color w:val="000000"/>
        </w:rPr>
      </w:r>
    </w:p>
    <w:p>
      <w:pPr>
        <w:pStyle w:val="BodyText"/>
        <w:rPr/>
      </w:pPr>
      <w:r>
        <w:rPr/>
        <w:t>L'attention est attirée sur le fait que diverses opérations prescrites font appel à des postes séparés du métré.</w:t>
      </w:r>
    </w:p>
    <w:p>
      <w:pPr>
        <w:pStyle w:val="Heading1"/>
        <w:ind w:hanging="0" w:start="0"/>
        <w:rPr/>
      </w:pPr>
      <w:r>
        <w:rPr/>
        <w:t>H. 1.3.1. Eléments linéaires en béton coulé en place – Description</w:t>
      </w:r>
    </w:p>
    <w:p>
      <w:pPr>
        <w:pStyle w:val="Normal"/>
        <w:tabs>
          <w:tab w:val="clear" w:pos="567"/>
          <w:tab w:val="left" w:pos="1276" w:leader="none"/>
        </w:tabs>
        <w:spacing w:lineRule="atLeast" w:line="300"/>
        <w:jc w:val="both"/>
        <w:rPr>
          <w:color w:val="000000"/>
        </w:rPr>
      </w:pPr>
      <w:r>
        <w:rPr>
          <w:color w:val="000000"/>
        </w:rPr>
      </w:r>
    </w:p>
    <w:p>
      <w:pPr>
        <w:pStyle w:val="Normal"/>
        <w:pBdr>
          <w:top w:val="single" w:sz="12" w:space="1" w:color="000000"/>
          <w:left w:val="single" w:sz="12" w:space="4" w:color="000000"/>
          <w:bottom w:val="single" w:sz="12" w:space="1" w:color="000000"/>
          <w:right w:val="single" w:sz="12" w:space="4" w:color="000000"/>
        </w:pBdr>
        <w:tabs>
          <w:tab w:val="clear" w:pos="567"/>
          <w:tab w:val="left" w:pos="1276" w:leader="none"/>
        </w:tabs>
        <w:spacing w:lineRule="atLeast" w:line="300"/>
        <w:jc w:val="both"/>
        <w:rPr>
          <w:color w:val="000000"/>
        </w:rPr>
      </w:pPr>
      <w:r>
        <w:rPr>
          <w:color w:val="000000"/>
        </w:rPr>
        <w:t>Définir le profil des éléments coulés en place.</w:t>
      </w:r>
    </w:p>
    <w:p>
      <w:pPr>
        <w:pStyle w:val="Normal"/>
        <w:tabs>
          <w:tab w:val="clear" w:pos="567"/>
          <w:tab w:val="left" w:pos="1276" w:leader="none"/>
        </w:tabs>
        <w:spacing w:lineRule="atLeast" w:line="300"/>
        <w:jc w:val="both"/>
        <w:rPr>
          <w:color w:val="000000"/>
        </w:rPr>
      </w:pPr>
      <w:r>
        <w:rPr>
          <w:color w:val="000000"/>
        </w:rPr>
      </w:r>
    </w:p>
    <w:p>
      <w:pPr>
        <w:pStyle w:val="Normal"/>
        <w:tabs>
          <w:tab w:val="clear" w:pos="567"/>
          <w:tab w:val="left" w:pos="1276" w:leader="none"/>
        </w:tabs>
        <w:spacing w:lineRule="atLeast" w:line="300"/>
        <w:jc w:val="both"/>
        <w:rPr>
          <w:color w:val="000000"/>
        </w:rPr>
      </w:pPr>
      <w:r>
        <w:rPr>
          <w:color w:val="000000"/>
        </w:rPr>
      </w:r>
    </w:p>
    <w:p>
      <w:pPr>
        <w:pStyle w:val="Heading1"/>
        <w:ind w:hanging="0" w:start="0"/>
        <w:rPr/>
      </w:pPr>
      <w:r>
        <w:rPr/>
        <w:t>H. 1.3.2.2.3. Eléments linéaires en béton coulé en place – Mise en oeuvre</w:t>
      </w:r>
    </w:p>
    <w:p>
      <w:pPr>
        <w:pStyle w:val="Normal"/>
        <w:tabs>
          <w:tab w:val="clear" w:pos="567"/>
          <w:tab w:val="left" w:pos="1276" w:leader="none"/>
        </w:tabs>
        <w:spacing w:lineRule="atLeast" w:line="300"/>
        <w:jc w:val="both"/>
        <w:rPr>
          <w:color w:val="000000"/>
        </w:rPr>
      </w:pPr>
      <w:r>
        <w:rPr>
          <w:color w:val="000000"/>
        </w:rPr>
      </w:r>
    </w:p>
    <w:p>
      <w:pPr>
        <w:pStyle w:val="BodyText"/>
        <w:rPr/>
      </w:pPr>
      <w:r>
        <w:rPr/>
        <w:t>Lorsque l’élément linéaire coulé en place est mis en œuvre au moyen d’une machine à coffrages glissants, la fondation, est également posée à l’aide d’une machine équivalente et ce sur une épaisseur minimum de 0,15 m.</w:t>
      </w:r>
    </w:p>
    <w:p>
      <w:pPr>
        <w:pStyle w:val="Normal"/>
        <w:tabs>
          <w:tab w:val="clear" w:pos="567"/>
          <w:tab w:val="left" w:pos="1276" w:leader="none"/>
        </w:tabs>
        <w:spacing w:lineRule="atLeast" w:line="300"/>
        <w:jc w:val="both"/>
        <w:rPr>
          <w:color w:val="000000"/>
        </w:rPr>
      </w:pPr>
      <w:r>
        <w:rPr>
          <w:color w:val="000000"/>
        </w:rPr>
      </w:r>
    </w:p>
    <w:p>
      <w:pPr>
        <w:pStyle w:val="Normal"/>
        <w:tabs>
          <w:tab w:val="clear" w:pos="567"/>
          <w:tab w:val="left" w:pos="1276" w:leader="none"/>
        </w:tabs>
        <w:spacing w:lineRule="atLeast" w:line="300"/>
        <w:jc w:val="both"/>
        <w:rPr>
          <w:color w:val="000000"/>
        </w:rPr>
      </w:pPr>
      <w:r>
        <w:rPr>
          <w:color w:val="000000"/>
        </w:rPr>
      </w:r>
    </w:p>
    <w:p>
      <w:pPr>
        <w:pStyle w:val="Heading1"/>
        <w:ind w:hanging="0" w:start="0"/>
        <w:rPr/>
      </w:pPr>
      <w:r>
        <w:rPr/>
        <w:t>H. 1.3.2.2.4. Eléments linéaires en béton coulé en place – JOINTS</w:t>
      </w:r>
    </w:p>
    <w:p>
      <w:pPr>
        <w:pStyle w:val="Normal"/>
        <w:numPr>
          <w:ilvl w:val="0"/>
          <w:numId w:val="0"/>
        </w:numPr>
        <w:spacing w:lineRule="auto" w:line="240"/>
        <w:ind w:hanging="0" w:start="0"/>
        <w:jc w:val="both"/>
        <w:rPr>
          <w:color w:val="000000"/>
        </w:rPr>
      </w:pPr>
      <w:r>
        <w:rPr>
          <w:color w:val="000000"/>
        </w:rPr>
      </w:r>
    </w:p>
    <w:p>
      <w:pPr>
        <w:pStyle w:val="Normal"/>
        <w:pBdr>
          <w:top w:val="single" w:sz="12" w:space="1" w:color="000000"/>
          <w:left w:val="single" w:sz="12" w:space="4" w:color="000000"/>
          <w:bottom w:val="single" w:sz="12" w:space="1" w:color="000000"/>
          <w:right w:val="single" w:sz="12" w:space="4" w:color="000000"/>
        </w:pBdr>
        <w:tabs>
          <w:tab w:val="clear" w:pos="567"/>
          <w:tab w:val="left" w:pos="1276" w:leader="none"/>
        </w:tabs>
        <w:spacing w:lineRule="atLeast" w:line="300"/>
        <w:jc w:val="both"/>
        <w:rPr/>
      </w:pPr>
      <w:r>
        <w:rPr>
          <w:color w:val="000000"/>
        </w:rPr>
        <w:t>Définir si le joint longitudinal entre bordure et filet d'eau est réalisé par un coulis de ciment ou un produit de scellement (à définir, le cas échéant).</w:t>
      </w:r>
    </w:p>
    <w:p>
      <w:pPr>
        <w:pStyle w:val="Normal"/>
        <w:numPr>
          <w:ilvl w:val="0"/>
          <w:numId w:val="0"/>
        </w:numPr>
        <w:spacing w:lineRule="auto" w:line="240"/>
        <w:ind w:hanging="0" w:start="0"/>
        <w:jc w:val="both"/>
        <w:rPr>
          <w:color w:val="000000"/>
        </w:rPr>
      </w:pPr>
      <w:r>
        <w:rPr>
          <w:color w:val="000000"/>
        </w:rPr>
      </w:r>
    </w:p>
    <w:p>
      <w:pPr>
        <w:pStyle w:val="BodyText"/>
        <w:rPr/>
      </w:pPr>
      <w:r>
        <w:rPr/>
        <w:t>Lorsque l'élément est contigu à un ouvrage tel qu'un revêtement en béton, les joints de l'élément sont sciés au droit des joints de l'ouvrage.</w:t>
      </w:r>
    </w:p>
    <w:p>
      <w:pPr>
        <w:pStyle w:val="Normal"/>
        <w:tabs>
          <w:tab w:val="clear" w:pos="567"/>
          <w:tab w:val="left" w:pos="1276" w:leader="none"/>
        </w:tabs>
        <w:spacing w:lineRule="atLeast" w:line="300"/>
        <w:jc w:val="both"/>
        <w:rPr>
          <w:color w:val="000000"/>
        </w:rPr>
      </w:pPr>
      <w:r>
        <w:rPr>
          <w:color w:val="000000"/>
        </w:rPr>
      </w:r>
    </w:p>
    <w:p>
      <w:pPr>
        <w:pStyle w:val="Normal"/>
        <w:tabs>
          <w:tab w:val="clear" w:pos="567"/>
          <w:tab w:val="left" w:pos="1276" w:leader="none"/>
        </w:tabs>
        <w:spacing w:lineRule="atLeast" w:line="300"/>
        <w:jc w:val="both"/>
        <w:rPr>
          <w:color w:val="000000"/>
        </w:rPr>
      </w:pPr>
      <w:r>
        <w:rPr>
          <w:color w:val="000000"/>
        </w:rPr>
      </w:r>
    </w:p>
    <w:p>
      <w:pPr>
        <w:pStyle w:val="Heading1"/>
        <w:ind w:hanging="0" w:start="0"/>
        <w:rPr/>
      </w:pPr>
      <w:r>
        <w:rPr/>
        <w:t>H. 1.3.3. Eléments linéaires en béton coulé en place - SPECIFICATIONS – EPAISSEUR</w:t>
      </w:r>
    </w:p>
    <w:p>
      <w:pPr>
        <w:pStyle w:val="Normal"/>
        <w:numPr>
          <w:ilvl w:val="0"/>
          <w:numId w:val="0"/>
        </w:numPr>
        <w:spacing w:lineRule="auto" w:line="240"/>
        <w:ind w:hanging="0" w:start="0"/>
        <w:jc w:val="both"/>
        <w:rPr>
          <w:color w:val="000000"/>
        </w:rPr>
      </w:pPr>
      <w:r>
        <w:rPr>
          <w:color w:val="000000"/>
        </w:rPr>
      </w:r>
    </w:p>
    <w:p>
      <w:pPr>
        <w:pStyle w:val="Normal"/>
        <w:pBdr>
          <w:top w:val="single" w:sz="12" w:space="1" w:color="000000"/>
          <w:left w:val="single" w:sz="12" w:space="4" w:color="000000"/>
          <w:bottom w:val="single" w:sz="12" w:space="1" w:color="000000"/>
          <w:right w:val="single" w:sz="12" w:space="4" w:color="000000"/>
        </w:pBdr>
        <w:tabs>
          <w:tab w:val="clear" w:pos="567"/>
          <w:tab w:val="left" w:pos="1276" w:leader="none"/>
        </w:tabs>
        <w:spacing w:lineRule="atLeast" w:line="300"/>
        <w:jc w:val="both"/>
        <w:rPr>
          <w:color w:val="000000"/>
        </w:rPr>
      </w:pPr>
      <w:r>
        <w:rPr>
          <w:color w:val="000000"/>
        </w:rPr>
        <w:t>Définir l'épaisseur nominale.</w:t>
      </w:r>
    </w:p>
    <w:p>
      <w:pPr>
        <w:pStyle w:val="Normal"/>
        <w:numPr>
          <w:ilvl w:val="0"/>
          <w:numId w:val="0"/>
        </w:numPr>
        <w:spacing w:lineRule="auto" w:line="240"/>
        <w:ind w:hanging="0" w:start="0"/>
        <w:jc w:val="both"/>
        <w:rPr>
          <w:color w:val="000000"/>
        </w:rPr>
      </w:pPr>
      <w:r>
        <w:rPr>
          <w:color w:val="000000"/>
        </w:rPr>
      </w:r>
    </w:p>
    <w:p>
      <w:pPr>
        <w:pStyle w:val="Normal"/>
        <w:tabs>
          <w:tab w:val="clear" w:pos="567"/>
          <w:tab w:val="left" w:pos="1276" w:leader="none"/>
        </w:tabs>
        <w:spacing w:lineRule="atLeast" w:line="300"/>
        <w:jc w:val="both"/>
        <w:rPr>
          <w:color w:val="000000"/>
        </w:rPr>
      </w:pPr>
      <w:r>
        <w:rPr>
          <w:color w:val="000000"/>
        </w:rPr>
      </w:r>
    </w:p>
    <w:p>
      <w:pPr>
        <w:pStyle w:val="Heading1"/>
        <w:ind w:hanging="0" w:start="0"/>
        <w:rPr/>
      </w:pPr>
      <w:r>
        <w:rPr/>
        <w:t>H. 1.3.4.2.1. Eléments linéaires en béton coulé en place – Echantillonnage</w:t>
      </w:r>
    </w:p>
    <w:p>
      <w:pPr>
        <w:pStyle w:val="Normal"/>
        <w:tabs>
          <w:tab w:val="clear" w:pos="567"/>
          <w:tab w:val="left" w:pos="1276" w:leader="none"/>
        </w:tabs>
        <w:spacing w:lineRule="atLeast" w:line="300"/>
        <w:jc w:val="both"/>
        <w:rPr>
          <w:color w:val="000000"/>
        </w:rPr>
      </w:pPr>
      <w:r>
        <w:rPr>
          <w:color w:val="000000"/>
        </w:rPr>
      </w:r>
    </w:p>
    <w:p>
      <w:pPr>
        <w:pStyle w:val="Normal"/>
        <w:pBdr>
          <w:top w:val="single" w:sz="12" w:space="1" w:color="000000"/>
          <w:left w:val="single" w:sz="12" w:space="4" w:color="000000"/>
          <w:bottom w:val="single" w:sz="12" w:space="1" w:color="000000"/>
          <w:right w:val="single" w:sz="12" w:space="4" w:color="000000"/>
        </w:pBdr>
        <w:tabs>
          <w:tab w:val="clear" w:pos="567"/>
          <w:tab w:val="left" w:pos="1276" w:leader="none"/>
        </w:tabs>
        <w:spacing w:lineRule="atLeast" w:line="300"/>
        <w:jc w:val="both"/>
        <w:rPr>
          <w:color w:val="000000"/>
        </w:rPr>
      </w:pPr>
      <w:r>
        <w:rPr>
          <w:color w:val="000000"/>
        </w:rPr>
        <w:t>Indiquer le cas échéant s’il y a regroupement de plusieurs sections.</w:t>
      </w:r>
    </w:p>
    <w:p>
      <w:pPr>
        <w:pStyle w:val="Normal"/>
        <w:tabs>
          <w:tab w:val="clear" w:pos="567"/>
          <w:tab w:val="left" w:pos="1276" w:leader="none"/>
        </w:tabs>
        <w:spacing w:lineRule="atLeast" w:line="300"/>
        <w:jc w:val="both"/>
        <w:rPr>
          <w:color w:val="000000"/>
        </w:rPr>
      </w:pPr>
      <w:r>
        <w:rPr>
          <w:color w:val="000000"/>
        </w:rPr>
      </w:r>
    </w:p>
    <w:p>
      <w:pPr>
        <w:pStyle w:val="Normal"/>
        <w:tabs>
          <w:tab w:val="clear" w:pos="567"/>
          <w:tab w:val="left" w:pos="1276" w:leader="none"/>
        </w:tabs>
        <w:spacing w:lineRule="atLeast" w:line="300"/>
        <w:jc w:val="both"/>
        <w:rPr>
          <w:color w:val="000000"/>
        </w:rPr>
      </w:pPr>
      <w:r>
        <w:rPr>
          <w:color w:val="000000"/>
        </w:rPr>
      </w:r>
    </w:p>
    <w:p>
      <w:pPr>
        <w:pStyle w:val="Heading1"/>
        <w:ind w:hanging="0" w:start="0"/>
        <w:rPr/>
      </w:pPr>
      <w:r>
        <w:rPr/>
        <w:t>H. 1.4.1. Eléments linéaires en asphalte coulé – Description</w:t>
      </w:r>
    </w:p>
    <w:p>
      <w:pPr>
        <w:pStyle w:val="Normal"/>
        <w:tabs>
          <w:tab w:val="clear" w:pos="567"/>
          <w:tab w:val="left" w:pos="1276" w:leader="none"/>
        </w:tabs>
        <w:spacing w:lineRule="atLeast" w:line="300"/>
        <w:jc w:val="both"/>
        <w:rPr>
          <w:color w:val="000000"/>
        </w:rPr>
      </w:pPr>
      <w:r>
        <w:rPr>
          <w:color w:val="000000"/>
        </w:rPr>
      </w:r>
    </w:p>
    <w:p>
      <w:pPr>
        <w:pStyle w:val="Normal"/>
        <w:pBdr>
          <w:top w:val="single" w:sz="12" w:space="1" w:color="000000"/>
          <w:left w:val="single" w:sz="12" w:space="4" w:color="000000"/>
          <w:bottom w:val="single" w:sz="12" w:space="1" w:color="000000"/>
          <w:right w:val="single" w:sz="12" w:space="4" w:color="000000"/>
        </w:pBdr>
        <w:tabs>
          <w:tab w:val="clear" w:pos="567"/>
          <w:tab w:val="left" w:pos="1276" w:leader="none"/>
        </w:tabs>
        <w:spacing w:lineRule="atLeast" w:line="300"/>
        <w:jc w:val="both"/>
        <w:rPr>
          <w:color w:val="000000"/>
        </w:rPr>
      </w:pPr>
      <w:r>
        <w:rPr>
          <w:color w:val="000000"/>
        </w:rPr>
        <w:t>Indiquer l’épaisseur des filets d’eau.</w:t>
      </w:r>
    </w:p>
    <w:p>
      <w:pPr>
        <w:pStyle w:val="Normal"/>
        <w:tabs>
          <w:tab w:val="clear" w:pos="567"/>
          <w:tab w:val="left" w:pos="1276" w:leader="none"/>
        </w:tabs>
        <w:spacing w:lineRule="atLeast" w:line="300"/>
        <w:jc w:val="both"/>
        <w:rPr>
          <w:color w:val="000000"/>
        </w:rPr>
      </w:pPr>
      <w:r>
        <w:rPr>
          <w:color w:val="000000"/>
        </w:rPr>
      </w:r>
    </w:p>
    <w:p>
      <w:pPr>
        <w:pStyle w:val="Normal"/>
        <w:tabs>
          <w:tab w:val="clear" w:pos="567"/>
          <w:tab w:val="left" w:pos="1276" w:leader="none"/>
        </w:tabs>
        <w:spacing w:lineRule="atLeast" w:line="300"/>
        <w:jc w:val="both"/>
        <w:rPr>
          <w:color w:val="000000"/>
        </w:rPr>
      </w:pPr>
      <w:r>
        <w:rPr>
          <w:color w:val="000000"/>
        </w:rPr>
      </w:r>
    </w:p>
    <w:p>
      <w:pPr>
        <w:pStyle w:val="Heading1"/>
        <w:ind w:hanging="0" w:start="0"/>
        <w:rPr/>
      </w:pPr>
      <w:r>
        <w:rPr/>
        <w:t xml:space="preserve">H. 1.5. Eléments linéaires en PAVAGE </w:t>
      </w:r>
    </w:p>
    <w:p>
      <w:pPr>
        <w:pStyle w:val="Normal"/>
        <w:numPr>
          <w:ilvl w:val="0"/>
          <w:numId w:val="0"/>
        </w:numPr>
        <w:spacing w:lineRule="auto" w:line="240"/>
        <w:ind w:hanging="0" w:start="0"/>
        <w:jc w:val="both"/>
        <w:rPr>
          <w:color w:val="000000"/>
        </w:rPr>
      </w:pPr>
      <w:r>
        <w:rPr>
          <w:color w:val="000000"/>
        </w:rPr>
      </w:r>
    </w:p>
    <w:p>
      <w:pPr>
        <w:pStyle w:val="Normal"/>
        <w:pBdr>
          <w:top w:val="single" w:sz="12" w:space="1" w:color="000000"/>
          <w:left w:val="single" w:sz="12" w:space="4" w:color="000000"/>
          <w:bottom w:val="single" w:sz="12" w:space="1" w:color="000000"/>
          <w:right w:val="single" w:sz="12" w:space="4" w:color="000000"/>
        </w:pBdr>
        <w:tabs>
          <w:tab w:val="clear" w:pos="567"/>
          <w:tab w:val="left" w:pos="1276" w:leader="none"/>
        </w:tabs>
        <w:spacing w:lineRule="atLeast" w:line="300"/>
        <w:jc w:val="both"/>
        <w:rPr>
          <w:color w:val="000000"/>
        </w:rPr>
      </w:pPr>
      <w:r>
        <w:rPr>
          <w:color w:val="000000"/>
        </w:rPr>
        <w:t>Fixer le dosage de ciment du mortier de pose (entre 300 et 350 kg/m³).</w:t>
      </w:r>
    </w:p>
    <w:p>
      <w:pPr>
        <w:pStyle w:val="Heading1"/>
        <w:ind w:hanging="0" w:start="0"/>
        <w:rPr>
          <w:color w:val="000000"/>
        </w:rPr>
      </w:pPr>
      <w:r>
        <w:rPr>
          <w:color w:val="000000"/>
        </w:rPr>
      </w:r>
    </w:p>
    <w:p>
      <w:pPr>
        <w:pStyle w:val="Heading1"/>
        <w:ind w:hanging="0" w:start="0"/>
        <w:rPr/>
      </w:pPr>
      <w:r>
        <w:rPr/>
      </w:r>
    </w:p>
    <w:p>
      <w:pPr>
        <w:pStyle w:val="Normal"/>
        <w:rPr/>
      </w:pPr>
      <w:r>
        <w:rPr/>
      </w:r>
    </w:p>
    <w:p>
      <w:pPr>
        <w:pStyle w:val="Normal"/>
        <w:rPr/>
      </w:pPr>
      <w:r>
        <w:rPr/>
      </w:r>
    </w:p>
    <w:p>
      <w:pPr>
        <w:pStyle w:val="Heading1"/>
        <w:ind w:hanging="0" w:start="0"/>
        <w:rPr/>
      </w:pPr>
      <w:r>
        <w:rPr/>
        <w:t>H. 2. dispositifs de retenue</w:t>
      </w:r>
    </w:p>
    <w:p>
      <w:pPr>
        <w:pStyle w:val="Normal"/>
        <w:spacing w:lineRule="atLeast" w:line="300"/>
        <w:jc w:val="both"/>
        <w:rPr>
          <w:i/>
          <w:color w:val="000000"/>
        </w:rPr>
      </w:pPr>
      <w:r>
        <w:rPr>
          <w:i/>
          <w:color w:val="000000"/>
        </w:rPr>
      </w:r>
    </w:p>
    <w:p>
      <w:pPr>
        <w:pStyle w:val="Normal"/>
        <w:spacing w:lineRule="atLeast" w:line="300"/>
        <w:jc w:val="both"/>
        <w:rPr/>
      </w:pPr>
      <w:r>
        <w:rPr>
          <w:i/>
          <w:color w:val="000000"/>
        </w:rPr>
        <w:t>Pour le choix des performances des dispositifs de retenue, le document d’application est l’O.S.DGO1.20-17.1 relatif au choix des dispositifs de retenue à placer sur le réseau routier régional wallon. Ce document fournit également les règles et les principes à respecter pour une bonne conception et une bonne implantation des dispositifs.</w:t>
      </w:r>
    </w:p>
    <w:p>
      <w:pPr>
        <w:pStyle w:val="Normal"/>
        <w:spacing w:lineRule="atLeast" w:line="300"/>
        <w:jc w:val="both"/>
        <w:rPr>
          <w:i/>
          <w:color w:val="000000"/>
        </w:rPr>
      </w:pPr>
      <w:r>
        <w:rPr>
          <w:i/>
          <w:color w:val="000000"/>
        </w:rPr>
      </w:r>
    </w:p>
    <w:p>
      <w:pPr>
        <w:pStyle w:val="Heading1"/>
        <w:ind w:hanging="0" w:start="0"/>
        <w:rPr/>
      </w:pPr>
      <w:r>
        <w:rPr/>
        <w:t>H. 2.1. dispositifs de retenue EN BETON PREFABRIQUe</w:t>
      </w:r>
    </w:p>
    <w:p>
      <w:pPr>
        <w:pStyle w:val="Normal"/>
        <w:tabs>
          <w:tab w:val="clear" w:pos="567"/>
          <w:tab w:val="left" w:pos="1276" w:leader="none"/>
        </w:tabs>
        <w:spacing w:lineRule="atLeast" w:line="300"/>
        <w:jc w:val="both"/>
        <w:rPr>
          <w:color w:val="000000"/>
        </w:rPr>
      </w:pPr>
      <w:r>
        <w:rPr>
          <w:color w:val="000000"/>
        </w:rPr>
      </w:r>
    </w:p>
    <w:p>
      <w:pPr>
        <w:pStyle w:val="Normal"/>
        <w:tabs>
          <w:tab w:val="clear" w:pos="567"/>
          <w:tab w:val="left" w:pos="1276" w:leader="none"/>
        </w:tabs>
        <w:spacing w:lineRule="atLeast" w:line="300"/>
        <w:jc w:val="both"/>
        <w:rPr/>
      </w:pPr>
      <w:r>
        <w:rPr>
          <w:i/>
          <w:color w:val="000000"/>
        </w:rPr>
        <w:t>Voir commentaires généraux sous H. 2.</w:t>
      </w:r>
    </w:p>
    <w:p>
      <w:pPr>
        <w:pStyle w:val="Normal"/>
        <w:tabs>
          <w:tab w:val="clear" w:pos="567"/>
          <w:tab w:val="left" w:pos="1276" w:leader="none"/>
        </w:tabs>
        <w:spacing w:lineRule="atLeast" w:line="300"/>
        <w:jc w:val="both"/>
        <w:rPr>
          <w:i/>
          <w:color w:val="000000"/>
        </w:rPr>
      </w:pPr>
      <w:r>
        <w:rPr>
          <w:i/>
          <w:color w:val="000000"/>
        </w:rPr>
      </w:r>
    </w:p>
    <w:p>
      <w:pPr>
        <w:pStyle w:val="Heading1"/>
        <w:ind w:hanging="0" w:start="0"/>
        <w:rPr/>
      </w:pPr>
      <w:r>
        <w:rPr/>
        <w:t>H. 2.1.1. descripTION</w:t>
      </w:r>
    </w:p>
    <w:p>
      <w:pPr>
        <w:pStyle w:val="Normal"/>
        <w:tabs>
          <w:tab w:val="clear" w:pos="567"/>
          <w:tab w:val="left" w:pos="1276" w:leader="none"/>
        </w:tabs>
        <w:spacing w:lineRule="atLeast" w:line="300"/>
        <w:jc w:val="both"/>
        <w:rPr>
          <w:color w:val="000000"/>
        </w:rPr>
      </w:pPr>
      <w:r>
        <w:rPr>
          <w:color w:val="000000"/>
        </w:rPr>
      </w:r>
    </w:p>
    <w:p>
      <w:pPr>
        <w:pStyle w:val="Puces2"/>
        <w:numPr>
          <w:ilvl w:val="0"/>
          <w:numId w:val="0"/>
        </w:numPr>
        <w:tabs>
          <w:tab w:val="clear" w:pos="284"/>
        </w:tabs>
        <w:ind w:hanging="0" w:start="0"/>
        <w:rPr/>
      </w:pPr>
      <w:r>
        <w:rPr/>
        <w:t>Définir:</w:t>
      </w:r>
    </w:p>
    <w:p>
      <w:pPr>
        <w:pStyle w:val="Puces2"/>
        <w:numPr>
          <w:ilvl w:val="0"/>
          <w:numId w:val="2"/>
        </w:numPr>
        <w:tabs>
          <w:tab w:val="clear" w:pos="284"/>
        </w:tabs>
        <w:ind w:hanging="0" w:start="0"/>
        <w:rPr/>
      </w:pPr>
      <w:r>
        <w:rPr/>
        <w:t>le niveau de retenue minimum (N2, H1, H2, H3 ou H4b)</w:t>
      </w:r>
    </w:p>
    <w:p>
      <w:pPr>
        <w:pStyle w:val="Puces2"/>
        <w:numPr>
          <w:ilvl w:val="0"/>
          <w:numId w:val="2"/>
        </w:numPr>
        <w:tabs>
          <w:tab w:val="clear" w:pos="284"/>
        </w:tabs>
        <w:ind w:hanging="0" w:start="0"/>
        <w:rPr/>
      </w:pPr>
      <w:r>
        <w:rPr/>
        <w:t>le niveau de sévérité de choc maximum (ASI A ou B)</w:t>
      </w:r>
    </w:p>
    <w:p>
      <w:pPr>
        <w:pStyle w:val="Puces2"/>
        <w:numPr>
          <w:ilvl w:val="0"/>
          <w:numId w:val="2"/>
        </w:numPr>
        <w:tabs>
          <w:tab w:val="clear" w:pos="284"/>
        </w:tabs>
        <w:ind w:hanging="0" w:start="0"/>
        <w:rPr/>
      </w:pPr>
      <w:r>
        <w:rPr/>
        <w:t>la largeur de fonctionnement maximale (W1 à W6)</w:t>
      </w:r>
    </w:p>
    <w:p>
      <w:pPr>
        <w:pStyle w:val="Puces2"/>
        <w:numPr>
          <w:ilvl w:val="0"/>
          <w:numId w:val="2"/>
        </w:numPr>
        <w:tabs>
          <w:tab w:val="clear" w:pos="284"/>
        </w:tabs>
        <w:ind w:hanging="0" w:start="0"/>
        <w:rPr/>
      </w:pPr>
      <w:r>
        <w:rPr/>
        <w:t>s’il y a des obstacles de grande hauteur, le niveau d’intrusion maximum (VI1 à VI9)</w:t>
      </w:r>
    </w:p>
    <w:p>
      <w:pPr>
        <w:pStyle w:val="Puces2"/>
        <w:numPr>
          <w:ilvl w:val="0"/>
          <w:numId w:val="2"/>
        </w:numPr>
        <w:tabs>
          <w:tab w:val="clear" w:pos="284"/>
        </w:tabs>
        <w:ind w:hanging="0" w:start="0"/>
        <w:rPr/>
      </w:pPr>
      <w:r>
        <w:rPr/>
        <w:t>la nature du sol (sol naturel, asphalte, béton)</w:t>
      </w:r>
    </w:p>
    <w:p>
      <w:pPr>
        <w:pStyle w:val="Puces2"/>
        <w:numPr>
          <w:ilvl w:val="0"/>
          <w:numId w:val="2"/>
        </w:numPr>
        <w:tabs>
          <w:tab w:val="clear" w:pos="284"/>
        </w:tabs>
        <w:ind w:hanging="0" w:start="0"/>
        <w:rPr/>
      </w:pPr>
      <w:r>
        <w:rPr/>
        <w:t>les possibilités éventuelles d’ancrage des éléments (dans le sol ou sur un ouvrage d’art)</w:t>
      </w:r>
    </w:p>
    <w:p>
      <w:pPr>
        <w:pStyle w:val="Puces2"/>
        <w:numPr>
          <w:ilvl w:val="0"/>
          <w:numId w:val="2"/>
        </w:numPr>
        <w:tabs>
          <w:tab w:val="clear" w:pos="284"/>
        </w:tabs>
        <w:ind w:hanging="0" w:start="0"/>
        <w:rPr/>
      </w:pPr>
      <w:r>
        <w:rPr/>
        <w:t>les éventuelles dispositions particulières propres au marché: pièces spéciales éventuelles, tolérances géométriques particulières, courbes de faible rayon, etc.</w:t>
      </w:r>
    </w:p>
    <w:p>
      <w:pPr>
        <w:pStyle w:val="Heading1"/>
        <w:ind w:hanging="0" w:start="0"/>
        <w:rPr/>
      </w:pPr>
      <w:r>
        <w:rPr/>
      </w:r>
    </w:p>
    <w:p>
      <w:pPr>
        <w:pStyle w:val="Normal"/>
        <w:tabs>
          <w:tab w:val="clear" w:pos="567"/>
          <w:tab w:val="left" w:pos="1276" w:leader="none"/>
        </w:tabs>
        <w:spacing w:lineRule="atLeast" w:line="300"/>
        <w:jc w:val="both"/>
        <w:rPr>
          <w:b/>
          <w:i/>
          <w:color w:val="000000"/>
        </w:rPr>
      </w:pPr>
      <w:r>
        <w:rPr>
          <w:b/>
          <w:color w:val="000000"/>
        </w:rPr>
        <w:t>H. 2.1.2.2.1. MONTAGE ET POSE</w:t>
      </w:r>
      <w:r>
        <w:rPr>
          <w:b/>
          <w:i/>
          <w:color w:val="000000"/>
        </w:rPr>
        <w:t xml:space="preserve"> </w:t>
      </w:r>
    </w:p>
    <w:p>
      <w:pPr>
        <w:pStyle w:val="Normal"/>
        <w:tabs>
          <w:tab w:val="clear" w:pos="567"/>
          <w:tab w:val="left" w:pos="1276" w:leader="none"/>
        </w:tabs>
        <w:spacing w:lineRule="atLeast" w:line="300"/>
        <w:jc w:val="both"/>
        <w:rPr>
          <w:b/>
          <w:i/>
          <w:color w:val="000000"/>
        </w:rPr>
      </w:pPr>
      <w:r>
        <w:rPr>
          <w:b/>
          <w:i/>
          <w:color w:val="000000"/>
        </w:rPr>
      </w:r>
    </w:p>
    <w:p>
      <w:pPr>
        <w:pStyle w:val="Normal"/>
        <w:pBdr>
          <w:top w:val="single" w:sz="12" w:space="1" w:color="000000"/>
          <w:left w:val="single" w:sz="12" w:space="4" w:color="000000"/>
          <w:bottom w:val="single" w:sz="12" w:space="1" w:color="000000"/>
          <w:right w:val="single" w:sz="12" w:space="4" w:color="000000"/>
        </w:pBdr>
        <w:tabs>
          <w:tab w:val="clear" w:pos="567"/>
          <w:tab w:val="left" w:pos="1276" w:leader="none"/>
        </w:tabs>
        <w:spacing w:lineRule="atLeast" w:line="300"/>
        <w:jc w:val="both"/>
        <w:rPr/>
      </w:pPr>
      <w:r>
        <w:rPr>
          <w:color w:val="000000"/>
        </w:rPr>
        <w:t>Définir les éventuelles exigences particulières du marché relatives au montage et à la pose des dispositifs.</w:t>
      </w:r>
    </w:p>
    <w:p>
      <w:pPr>
        <w:pStyle w:val="Heading1"/>
        <w:ind w:hanging="0" w:start="0"/>
        <w:rPr>
          <w:color w:val="000000"/>
        </w:rPr>
      </w:pPr>
      <w:r>
        <w:rPr>
          <w:color w:val="000000"/>
        </w:rPr>
      </w:r>
    </w:p>
    <w:p>
      <w:pPr>
        <w:pStyle w:val="Heading1"/>
        <w:ind w:hanging="0" w:start="0"/>
        <w:rPr/>
      </w:pPr>
      <w:r>
        <w:rPr/>
        <w:t>H. 2.1.2.2.2. TRAITEMENT DES ABOUTS</w:t>
      </w:r>
    </w:p>
    <w:p>
      <w:pPr>
        <w:pStyle w:val="Normal"/>
        <w:tabs>
          <w:tab w:val="clear" w:pos="567"/>
          <w:tab w:val="left" w:pos="1276" w:leader="none"/>
        </w:tabs>
        <w:spacing w:lineRule="atLeast" w:line="300"/>
        <w:jc w:val="both"/>
        <w:rPr>
          <w:i/>
          <w:color w:val="000000"/>
        </w:rPr>
      </w:pPr>
      <w:r>
        <w:rPr>
          <w:i/>
          <w:color w:val="000000"/>
        </w:rPr>
      </w:r>
    </w:p>
    <w:p>
      <w:pPr>
        <w:pStyle w:val="Normal"/>
        <w:pBdr>
          <w:top w:val="single" w:sz="12" w:space="1" w:color="000000"/>
          <w:left w:val="single" w:sz="12" w:space="4" w:color="000000"/>
          <w:bottom w:val="single" w:sz="12" w:space="1" w:color="000000"/>
          <w:right w:val="single" w:sz="12" w:space="4" w:color="000000"/>
        </w:pBdr>
        <w:tabs>
          <w:tab w:val="clear" w:pos="567"/>
          <w:tab w:val="left" w:pos="1276" w:leader="none"/>
        </w:tabs>
        <w:spacing w:lineRule="atLeast" w:line="300"/>
        <w:jc w:val="both"/>
        <w:rPr/>
      </w:pPr>
      <w:r>
        <w:rPr>
          <w:color w:val="000000"/>
        </w:rPr>
        <w:t>Définir les dispositions retenues pour le traitement des débuts et des fins de files: écartements de l’axe, extrémités testées, atténuateurs de choc fixes…</w:t>
      </w:r>
    </w:p>
    <w:p>
      <w:pPr>
        <w:pStyle w:val="Normal"/>
        <w:pBdr>
          <w:top w:val="single" w:sz="12" w:space="1" w:color="000000"/>
          <w:left w:val="single" w:sz="12" w:space="4" w:color="000000"/>
          <w:bottom w:val="single" w:sz="12" w:space="1" w:color="000000"/>
          <w:right w:val="single" w:sz="12" w:space="4" w:color="000000"/>
        </w:pBdr>
        <w:tabs>
          <w:tab w:val="clear" w:pos="567"/>
          <w:tab w:val="left" w:pos="1276" w:leader="none"/>
        </w:tabs>
        <w:spacing w:lineRule="atLeast" w:line="300"/>
        <w:jc w:val="both"/>
        <w:rPr>
          <w:color w:val="000000"/>
        </w:rPr>
      </w:pPr>
      <w:r>
        <w:rPr>
          <w:color w:val="000000"/>
        </w:rPr>
        <w:t>Si nécessaire, décrire la géométrie des solutions retenues ou définir l’espace disponible.</w:t>
      </w:r>
    </w:p>
    <w:p>
      <w:pPr>
        <w:pStyle w:val="Normal"/>
        <w:tabs>
          <w:tab w:val="clear" w:pos="567"/>
          <w:tab w:val="left" w:pos="1276" w:leader="none"/>
        </w:tabs>
        <w:spacing w:lineRule="atLeast" w:line="300"/>
        <w:jc w:val="both"/>
        <w:rPr>
          <w:color w:val="000000"/>
        </w:rPr>
      </w:pPr>
      <w:r>
        <w:rPr>
          <w:color w:val="000000"/>
        </w:rPr>
      </w:r>
    </w:p>
    <w:p>
      <w:pPr>
        <w:pStyle w:val="Heading1"/>
        <w:ind w:hanging="0" w:start="0"/>
        <w:rPr/>
      </w:pPr>
      <w:r>
        <w:rPr/>
        <w:t>H. 2.1.3.1. reception technique prealable</w:t>
      </w:r>
    </w:p>
    <w:p>
      <w:pPr>
        <w:pStyle w:val="Normal"/>
        <w:rPr>
          <w:color w:val="000000"/>
        </w:rPr>
      </w:pPr>
      <w:r>
        <w:rPr>
          <w:color w:val="000000"/>
        </w:rPr>
      </w:r>
    </w:p>
    <w:p>
      <w:pPr>
        <w:pStyle w:val="Normal"/>
        <w:rPr/>
      </w:pPr>
      <w:r>
        <w:rPr>
          <w:i/>
          <w:color w:val="000000"/>
        </w:rPr>
        <w:t>L’attention est attirée sur les exigences du C. 34.1. notamment en ce qui concerne les documents à fournir par l’adjudicataire et le délai de fourniture de ces documents.</w:t>
      </w:r>
    </w:p>
    <w:p>
      <w:pPr>
        <w:pStyle w:val="Normal"/>
        <w:rPr>
          <w:i/>
          <w:color w:val="000000"/>
        </w:rPr>
      </w:pPr>
      <w:r>
        <w:rPr>
          <w:i/>
          <w:color w:val="000000"/>
        </w:rPr>
      </w:r>
    </w:p>
    <w:p>
      <w:pPr>
        <w:pStyle w:val="Normal"/>
        <w:rPr>
          <w:color w:val="000000"/>
        </w:rPr>
      </w:pPr>
      <w:r>
        <w:rPr>
          <w:color w:val="000000"/>
        </w:rPr>
      </w:r>
    </w:p>
    <w:p>
      <w:pPr>
        <w:pStyle w:val="Heading1"/>
        <w:ind w:hanging="0" w:start="0"/>
        <w:rPr/>
      </w:pPr>
      <w:r>
        <w:rPr/>
        <w:t>H. 2.1.4.1. mesurage</w:t>
      </w:r>
    </w:p>
    <w:p>
      <w:pPr>
        <w:pStyle w:val="Normal"/>
        <w:tabs>
          <w:tab w:val="clear" w:pos="567"/>
          <w:tab w:val="left" w:pos="1276" w:leader="none"/>
        </w:tabs>
        <w:spacing w:lineRule="atLeast" w:line="300"/>
        <w:jc w:val="both"/>
        <w:rPr>
          <w:color w:val="000000"/>
        </w:rPr>
      </w:pPr>
      <w:r>
        <w:rPr>
          <w:color w:val="000000"/>
        </w:rPr>
      </w:r>
    </w:p>
    <w:p>
      <w:pPr>
        <w:pStyle w:val="BodyText"/>
        <w:rPr/>
      </w:pPr>
      <w:r>
        <w:rPr/>
        <w:t>L'attention est attirée sur le fait que diverses opérations prescrites font appel à des postes séparés du métré.</w:t>
      </w:r>
    </w:p>
    <w:p>
      <w:pPr>
        <w:pStyle w:val="Normal"/>
        <w:tabs>
          <w:tab w:val="clear" w:pos="567"/>
          <w:tab w:val="left" w:pos="1276" w:leader="none"/>
        </w:tabs>
        <w:spacing w:lineRule="atLeast" w:line="300"/>
        <w:jc w:val="both"/>
        <w:rPr>
          <w:color w:val="000000"/>
        </w:rPr>
      </w:pPr>
      <w:r>
        <w:rPr>
          <w:color w:val="000000"/>
        </w:rPr>
      </w:r>
    </w:p>
    <w:p>
      <w:pPr>
        <w:pStyle w:val="Heading1"/>
        <w:ind w:hanging="0" w:start="0"/>
        <w:rPr/>
      </w:pPr>
      <w:r>
        <w:rPr/>
        <w:t>H. 2.2. dispositifs de retenue EN BETON COULE EN PLACE</w:t>
      </w:r>
    </w:p>
    <w:p>
      <w:pPr>
        <w:pStyle w:val="Normal"/>
        <w:tabs>
          <w:tab w:val="clear" w:pos="567"/>
          <w:tab w:val="left" w:pos="1276" w:leader="none"/>
        </w:tabs>
        <w:spacing w:lineRule="atLeast" w:line="300"/>
        <w:jc w:val="both"/>
        <w:rPr>
          <w:color w:val="000000"/>
        </w:rPr>
      </w:pPr>
      <w:r>
        <w:rPr>
          <w:color w:val="000000"/>
        </w:rPr>
      </w:r>
    </w:p>
    <w:p>
      <w:pPr>
        <w:pStyle w:val="Normal"/>
        <w:tabs>
          <w:tab w:val="clear" w:pos="567"/>
          <w:tab w:val="left" w:pos="1276" w:leader="none"/>
        </w:tabs>
        <w:spacing w:lineRule="atLeast" w:line="300"/>
        <w:jc w:val="both"/>
        <w:rPr/>
      </w:pPr>
      <w:r>
        <w:rPr>
          <w:i/>
          <w:color w:val="000000"/>
        </w:rPr>
        <w:t>Voir commentaires généraux sous H. 2.</w:t>
      </w:r>
    </w:p>
    <w:p>
      <w:pPr>
        <w:pStyle w:val="Normal"/>
        <w:tabs>
          <w:tab w:val="clear" w:pos="567"/>
          <w:tab w:val="left" w:pos="1276" w:leader="none"/>
        </w:tabs>
        <w:spacing w:lineRule="atLeast" w:line="300"/>
        <w:jc w:val="both"/>
        <w:rPr>
          <w:i/>
          <w:color w:val="000000"/>
        </w:rPr>
      </w:pPr>
      <w:r>
        <w:rPr>
          <w:i/>
          <w:color w:val="000000"/>
        </w:rPr>
      </w:r>
    </w:p>
    <w:p>
      <w:pPr>
        <w:pStyle w:val="Heading1"/>
        <w:ind w:hanging="0" w:start="0"/>
        <w:rPr/>
      </w:pPr>
      <w:r>
        <w:rPr/>
        <w:t>H. 2.2.1. descripTION</w:t>
      </w:r>
    </w:p>
    <w:p>
      <w:pPr>
        <w:pStyle w:val="Normal"/>
        <w:rPr>
          <w:color w:val="000000"/>
        </w:rPr>
      </w:pPr>
      <w:r>
        <w:rPr>
          <w:color w:val="000000"/>
        </w:rPr>
      </w:r>
    </w:p>
    <w:p>
      <w:pPr>
        <w:pStyle w:val="Normal"/>
        <w:jc w:val="both"/>
        <w:rPr/>
      </w:pPr>
      <w:r>
        <w:rPr>
          <w:i/>
          <w:color w:val="000000"/>
        </w:rPr>
        <w:t>L’attention est attirée sur les exigences du H. 2.2.1. notamment en ce qui concerne les documents à fournir par l’adjudicataire et le délai de fourniture de ces documents.</w:t>
      </w:r>
    </w:p>
    <w:p>
      <w:pPr>
        <w:pStyle w:val="Normal"/>
        <w:tabs>
          <w:tab w:val="clear" w:pos="567"/>
          <w:tab w:val="left" w:pos="1276" w:leader="none"/>
        </w:tabs>
        <w:spacing w:lineRule="atLeast" w:line="300"/>
        <w:jc w:val="both"/>
        <w:rPr>
          <w:i/>
          <w:color w:val="000000"/>
        </w:rPr>
      </w:pPr>
      <w:r>
        <w:rPr>
          <w:i/>
          <w:color w:val="000000"/>
        </w:rPr>
      </w:r>
    </w:p>
    <w:p>
      <w:pPr>
        <w:pStyle w:val="Puces2"/>
        <w:numPr>
          <w:ilvl w:val="0"/>
          <w:numId w:val="0"/>
        </w:numPr>
        <w:tabs>
          <w:tab w:val="clear" w:pos="284"/>
        </w:tabs>
        <w:ind w:hanging="0" w:start="0"/>
        <w:rPr/>
      </w:pPr>
      <w:r>
        <w:rPr/>
        <w:t>Définir:</w:t>
      </w:r>
    </w:p>
    <w:p>
      <w:pPr>
        <w:pStyle w:val="Puces2"/>
        <w:numPr>
          <w:ilvl w:val="0"/>
          <w:numId w:val="2"/>
        </w:numPr>
        <w:tabs>
          <w:tab w:val="clear" w:pos="284"/>
        </w:tabs>
        <w:ind w:hanging="0" w:start="0"/>
        <w:rPr/>
      </w:pPr>
      <w:r>
        <w:rPr/>
        <w:t>le niveau de retenue minimum (N2, H1, H2, H3 ou H4b)</w:t>
      </w:r>
    </w:p>
    <w:p>
      <w:pPr>
        <w:pStyle w:val="Puces2"/>
        <w:numPr>
          <w:ilvl w:val="0"/>
          <w:numId w:val="2"/>
        </w:numPr>
        <w:tabs>
          <w:tab w:val="clear" w:pos="284"/>
        </w:tabs>
        <w:ind w:hanging="0" w:start="0"/>
        <w:rPr/>
      </w:pPr>
      <w:r>
        <w:rPr/>
        <w:t>le niveau de sévérité de choc maximum (ASI A ou B)</w:t>
      </w:r>
    </w:p>
    <w:p>
      <w:pPr>
        <w:pStyle w:val="Puces2"/>
        <w:numPr>
          <w:ilvl w:val="0"/>
          <w:numId w:val="2"/>
        </w:numPr>
        <w:tabs>
          <w:tab w:val="clear" w:pos="284"/>
        </w:tabs>
        <w:ind w:hanging="0" w:start="0"/>
        <w:rPr/>
      </w:pPr>
      <w:r>
        <w:rPr/>
        <w:t>la largeur de fonctionnement maximale (W1 à W6)</w:t>
      </w:r>
    </w:p>
    <w:p>
      <w:pPr>
        <w:pStyle w:val="Puces2"/>
        <w:numPr>
          <w:ilvl w:val="0"/>
          <w:numId w:val="2"/>
        </w:numPr>
        <w:tabs>
          <w:tab w:val="clear" w:pos="284"/>
        </w:tabs>
        <w:ind w:hanging="0" w:start="0"/>
        <w:rPr/>
      </w:pPr>
      <w:r>
        <w:rPr/>
        <w:t>s’il y a des obstacles de grande hauteur, le niveau d’intrusion maximum (VI1 à VI9)</w:t>
      </w:r>
    </w:p>
    <w:p>
      <w:pPr>
        <w:pStyle w:val="Puces2"/>
        <w:numPr>
          <w:ilvl w:val="0"/>
          <w:numId w:val="2"/>
        </w:numPr>
        <w:tabs>
          <w:tab w:val="clear" w:pos="284"/>
        </w:tabs>
        <w:ind w:hanging="0" w:start="0"/>
        <w:rPr/>
      </w:pPr>
      <w:r>
        <w:rPr/>
        <w:t>la nature du sol (sol naturel, asphalte, béton)</w:t>
      </w:r>
    </w:p>
    <w:p>
      <w:pPr>
        <w:pStyle w:val="Puces2"/>
        <w:numPr>
          <w:ilvl w:val="0"/>
          <w:numId w:val="2"/>
        </w:numPr>
        <w:tabs>
          <w:tab w:val="clear" w:pos="284"/>
        </w:tabs>
        <w:ind w:hanging="0" w:start="0"/>
        <w:rPr/>
      </w:pPr>
      <w:r>
        <w:rPr/>
        <w:t>les possibilités éventuelles d’ancrage des éléments (dans le sol ou sur un ouvrage d’art)</w:t>
      </w:r>
    </w:p>
    <w:p>
      <w:pPr>
        <w:pStyle w:val="Puces2"/>
        <w:numPr>
          <w:ilvl w:val="0"/>
          <w:numId w:val="2"/>
        </w:numPr>
        <w:tabs>
          <w:tab w:val="clear" w:pos="284"/>
        </w:tabs>
        <w:ind w:hanging="0" w:start="0"/>
        <w:rPr/>
      </w:pPr>
      <w:r>
        <w:rPr/>
        <w:t>les éventuelles dispositions particulières propres au projet: pièces spéciales éventuelles, tolérances géométriques particulières, courbes de faible rayon, etc.</w:t>
      </w:r>
    </w:p>
    <w:p>
      <w:pPr>
        <w:pStyle w:val="Normal"/>
        <w:rPr>
          <w:b/>
          <w:color w:val="000000"/>
        </w:rPr>
      </w:pPr>
      <w:r>
        <w:rPr>
          <w:b/>
          <w:color w:val="000000"/>
        </w:rPr>
      </w:r>
    </w:p>
    <w:p>
      <w:pPr>
        <w:pStyle w:val="Normal"/>
        <w:rPr>
          <w:b/>
          <w:color w:val="000000"/>
        </w:rPr>
      </w:pPr>
      <w:r>
        <w:rPr>
          <w:b/>
          <w:color w:val="000000"/>
        </w:rPr>
        <w:t>H. 2.2.2.2.3. MISE EN OEUVRE</w:t>
      </w:r>
    </w:p>
    <w:p>
      <w:pPr>
        <w:pStyle w:val="Normal"/>
        <w:tabs>
          <w:tab w:val="clear" w:pos="567"/>
          <w:tab w:val="left" w:pos="1276" w:leader="none"/>
        </w:tabs>
        <w:spacing w:lineRule="atLeast" w:line="300"/>
        <w:jc w:val="both"/>
        <w:rPr>
          <w:b/>
          <w:i/>
          <w:color w:val="000000"/>
        </w:rPr>
      </w:pPr>
      <w:r>
        <w:rPr>
          <w:b/>
          <w:i/>
          <w:color w:val="000000"/>
        </w:rPr>
      </w:r>
    </w:p>
    <w:p>
      <w:pPr>
        <w:pStyle w:val="Normal"/>
        <w:pBdr>
          <w:top w:val="single" w:sz="12" w:space="1" w:color="000000"/>
          <w:left w:val="single" w:sz="12" w:space="4" w:color="000000"/>
          <w:bottom w:val="single" w:sz="12" w:space="1" w:color="000000"/>
          <w:right w:val="single" w:sz="12" w:space="4" w:color="000000"/>
        </w:pBdr>
        <w:tabs>
          <w:tab w:val="clear" w:pos="567"/>
          <w:tab w:val="left" w:pos="1276" w:leader="none"/>
        </w:tabs>
        <w:spacing w:lineRule="atLeast" w:line="300"/>
        <w:jc w:val="both"/>
        <w:rPr/>
      </w:pPr>
      <w:r>
        <w:rPr>
          <w:color w:val="000000"/>
        </w:rPr>
        <w:t>Définir les éventuelles exigences particulières du marché relatives à la mise en oeuvre des dispositifs.</w:t>
      </w:r>
    </w:p>
    <w:p>
      <w:pPr>
        <w:pStyle w:val="Heading1"/>
        <w:ind w:hanging="0" w:start="0"/>
        <w:rPr>
          <w:color w:val="000000"/>
        </w:rPr>
      </w:pPr>
      <w:r>
        <w:rPr>
          <w:color w:val="000000"/>
        </w:rPr>
      </w:r>
    </w:p>
    <w:p>
      <w:pPr>
        <w:pStyle w:val="Heading1"/>
        <w:ind w:hanging="0" w:start="0"/>
        <w:rPr/>
      </w:pPr>
      <w:r>
        <w:rPr/>
        <w:t>H. 2.2.2.2.7. TRAITEMENT DES ABOUTS</w:t>
      </w:r>
    </w:p>
    <w:p>
      <w:pPr>
        <w:pStyle w:val="Normal"/>
        <w:tabs>
          <w:tab w:val="clear" w:pos="567"/>
          <w:tab w:val="left" w:pos="1276" w:leader="none"/>
        </w:tabs>
        <w:spacing w:lineRule="atLeast" w:line="300"/>
        <w:jc w:val="both"/>
        <w:rPr>
          <w:i/>
          <w:color w:val="000000"/>
        </w:rPr>
      </w:pPr>
      <w:r>
        <w:rPr>
          <w:i/>
          <w:color w:val="000000"/>
        </w:rPr>
      </w:r>
    </w:p>
    <w:p>
      <w:pPr>
        <w:pStyle w:val="Normal"/>
        <w:pBdr>
          <w:top w:val="single" w:sz="12" w:space="1" w:color="000000"/>
          <w:left w:val="single" w:sz="12" w:space="4" w:color="000000"/>
          <w:bottom w:val="single" w:sz="12" w:space="1" w:color="000000"/>
          <w:right w:val="single" w:sz="12" w:space="4" w:color="000000"/>
        </w:pBdr>
        <w:tabs>
          <w:tab w:val="clear" w:pos="567"/>
          <w:tab w:val="left" w:pos="1276" w:leader="none"/>
        </w:tabs>
        <w:spacing w:lineRule="atLeast" w:line="300"/>
        <w:jc w:val="both"/>
        <w:rPr/>
      </w:pPr>
      <w:r>
        <w:rPr>
          <w:color w:val="000000"/>
        </w:rPr>
        <w:t>Définir les dispositions retenues pour le traitement des débuts et des fins de files: écartements de l’axe, extrémités testées, atténuateurs de choc fixes…</w:t>
      </w:r>
    </w:p>
    <w:p>
      <w:pPr>
        <w:pStyle w:val="Normal"/>
        <w:pBdr>
          <w:top w:val="single" w:sz="12" w:space="1" w:color="000000"/>
          <w:left w:val="single" w:sz="12" w:space="4" w:color="000000"/>
          <w:bottom w:val="single" w:sz="12" w:space="1" w:color="000000"/>
          <w:right w:val="single" w:sz="12" w:space="4" w:color="000000"/>
        </w:pBdr>
        <w:tabs>
          <w:tab w:val="clear" w:pos="567"/>
          <w:tab w:val="left" w:pos="1276" w:leader="none"/>
        </w:tabs>
        <w:spacing w:lineRule="atLeast" w:line="300"/>
        <w:jc w:val="both"/>
        <w:rPr>
          <w:color w:val="000000"/>
        </w:rPr>
      </w:pPr>
      <w:r>
        <w:rPr>
          <w:color w:val="000000"/>
        </w:rPr>
        <w:t>Si nécessaire, décrire la géométrie des solutions retenues ou définir l’espace disponible.</w:t>
      </w:r>
    </w:p>
    <w:p>
      <w:pPr>
        <w:pStyle w:val="Normal"/>
        <w:tabs>
          <w:tab w:val="clear" w:pos="567"/>
          <w:tab w:val="left" w:pos="1276" w:leader="none"/>
        </w:tabs>
        <w:spacing w:lineRule="atLeast" w:line="300"/>
        <w:jc w:val="both"/>
        <w:rPr>
          <w:color w:val="000000"/>
        </w:rPr>
      </w:pPr>
      <w:r>
        <w:rPr>
          <w:color w:val="000000"/>
        </w:rPr>
      </w:r>
    </w:p>
    <w:p>
      <w:pPr>
        <w:pStyle w:val="Heading1"/>
        <w:ind w:hanging="0" w:start="0"/>
        <w:rPr/>
      </w:pPr>
      <w:r>
        <w:rPr/>
        <w:t>H. 2.2.5.1. mesurage</w:t>
      </w:r>
    </w:p>
    <w:p>
      <w:pPr>
        <w:pStyle w:val="Normal"/>
        <w:tabs>
          <w:tab w:val="clear" w:pos="567"/>
          <w:tab w:val="left" w:pos="1276" w:leader="none"/>
        </w:tabs>
        <w:spacing w:lineRule="atLeast" w:line="300"/>
        <w:jc w:val="both"/>
        <w:rPr>
          <w:color w:val="000000"/>
        </w:rPr>
      </w:pPr>
      <w:r>
        <w:rPr>
          <w:color w:val="000000"/>
        </w:rPr>
      </w:r>
    </w:p>
    <w:p>
      <w:pPr>
        <w:pStyle w:val="BodyText"/>
        <w:rPr/>
      </w:pPr>
      <w:r>
        <w:rPr/>
        <w:t>L'attention est attirée sur le fait que diverses opérations prescrites font appel à des postes séparés du métré.</w:t>
      </w:r>
    </w:p>
    <w:p>
      <w:pPr>
        <w:pStyle w:val="Normal"/>
        <w:tabs>
          <w:tab w:val="clear" w:pos="567"/>
          <w:tab w:val="left" w:pos="1276" w:leader="none"/>
        </w:tabs>
        <w:spacing w:lineRule="atLeast" w:line="300"/>
        <w:jc w:val="both"/>
        <w:rPr>
          <w:color w:val="000000"/>
        </w:rPr>
      </w:pPr>
      <w:r>
        <w:rPr>
          <w:color w:val="000000"/>
        </w:rPr>
      </w:r>
    </w:p>
    <w:p>
      <w:pPr>
        <w:pStyle w:val="Normal"/>
        <w:tabs>
          <w:tab w:val="clear" w:pos="567"/>
          <w:tab w:val="left" w:pos="1276" w:leader="none"/>
        </w:tabs>
        <w:spacing w:lineRule="atLeast" w:line="300"/>
        <w:jc w:val="both"/>
        <w:rPr>
          <w:color w:val="000000"/>
        </w:rPr>
      </w:pPr>
      <w:r>
        <w:rPr>
          <w:color w:val="000000"/>
        </w:rPr>
      </w:r>
    </w:p>
    <w:p>
      <w:pPr>
        <w:pStyle w:val="Heading1"/>
        <w:ind w:hanging="0" w:start="0"/>
        <w:rPr/>
      </w:pPr>
      <w:r>
        <w:rPr/>
        <w:t>H. 2.3. dispositifs de retenue EN ACIER</w:t>
      </w:r>
    </w:p>
    <w:p>
      <w:pPr>
        <w:pStyle w:val="Normal"/>
        <w:tabs>
          <w:tab w:val="clear" w:pos="567"/>
          <w:tab w:val="left" w:pos="1276" w:leader="none"/>
        </w:tabs>
        <w:spacing w:lineRule="atLeast" w:line="300"/>
        <w:jc w:val="both"/>
        <w:rPr>
          <w:color w:val="000000"/>
        </w:rPr>
      </w:pPr>
      <w:r>
        <w:rPr>
          <w:color w:val="000000"/>
        </w:rPr>
      </w:r>
    </w:p>
    <w:p>
      <w:pPr>
        <w:pStyle w:val="Normal"/>
        <w:tabs>
          <w:tab w:val="clear" w:pos="567"/>
          <w:tab w:val="left" w:pos="1276" w:leader="none"/>
        </w:tabs>
        <w:spacing w:lineRule="atLeast" w:line="300"/>
        <w:jc w:val="both"/>
        <w:rPr/>
      </w:pPr>
      <w:r>
        <w:rPr>
          <w:i/>
          <w:color w:val="000000"/>
        </w:rPr>
        <w:t>Voir commentaires généraux sous H. 2.</w:t>
      </w:r>
    </w:p>
    <w:p>
      <w:pPr>
        <w:pStyle w:val="Normal"/>
        <w:tabs>
          <w:tab w:val="clear" w:pos="567"/>
          <w:tab w:val="left" w:pos="1276" w:leader="none"/>
        </w:tabs>
        <w:spacing w:lineRule="atLeast" w:line="300"/>
        <w:jc w:val="both"/>
        <w:rPr>
          <w:i/>
          <w:color w:val="000000"/>
        </w:rPr>
      </w:pPr>
      <w:r>
        <w:rPr>
          <w:i/>
          <w:color w:val="000000"/>
        </w:rPr>
      </w:r>
    </w:p>
    <w:p>
      <w:pPr>
        <w:pStyle w:val="Normal"/>
        <w:tabs>
          <w:tab w:val="clear" w:pos="567"/>
          <w:tab w:val="left" w:pos="1276" w:leader="none"/>
        </w:tabs>
        <w:spacing w:lineRule="atLeast" w:line="300"/>
        <w:jc w:val="both"/>
        <w:rPr>
          <w:i/>
          <w:color w:val="000000"/>
        </w:rPr>
      </w:pPr>
      <w:r>
        <w:rPr>
          <w:i/>
          <w:color w:val="000000"/>
        </w:rPr>
      </w:r>
    </w:p>
    <w:p>
      <w:pPr>
        <w:pStyle w:val="Normal"/>
        <w:tabs>
          <w:tab w:val="clear" w:pos="567"/>
          <w:tab w:val="left" w:pos="1276" w:leader="none"/>
        </w:tabs>
        <w:spacing w:lineRule="atLeast" w:line="300"/>
        <w:jc w:val="both"/>
        <w:rPr>
          <w:i/>
          <w:color w:val="000000"/>
        </w:rPr>
      </w:pPr>
      <w:r>
        <w:rPr>
          <w:i/>
          <w:color w:val="000000"/>
        </w:rPr>
      </w:r>
    </w:p>
    <w:p>
      <w:pPr>
        <w:pStyle w:val="Heading1"/>
        <w:ind w:hanging="0" w:start="0"/>
        <w:rPr/>
      </w:pPr>
      <w:r>
        <w:rPr/>
        <w:t>H. 2.3.1. descripTION</w:t>
      </w:r>
    </w:p>
    <w:p>
      <w:pPr>
        <w:pStyle w:val="Normal"/>
        <w:tabs>
          <w:tab w:val="clear" w:pos="567"/>
          <w:tab w:val="left" w:pos="1276" w:leader="none"/>
        </w:tabs>
        <w:spacing w:lineRule="atLeast" w:line="300"/>
        <w:jc w:val="both"/>
        <w:rPr>
          <w:color w:val="000000"/>
        </w:rPr>
      </w:pPr>
      <w:r>
        <w:rPr>
          <w:color w:val="000000"/>
        </w:rPr>
      </w:r>
    </w:p>
    <w:p>
      <w:pPr>
        <w:pStyle w:val="Puces2"/>
        <w:numPr>
          <w:ilvl w:val="0"/>
          <w:numId w:val="0"/>
        </w:numPr>
        <w:tabs>
          <w:tab w:val="clear" w:pos="284"/>
        </w:tabs>
        <w:ind w:hanging="0" w:start="0"/>
        <w:rPr/>
      </w:pPr>
      <w:r>
        <w:rPr/>
        <w:t>Définir:</w:t>
      </w:r>
    </w:p>
    <w:p>
      <w:pPr>
        <w:pStyle w:val="Puces2"/>
        <w:numPr>
          <w:ilvl w:val="0"/>
          <w:numId w:val="2"/>
        </w:numPr>
        <w:tabs>
          <w:tab w:val="clear" w:pos="284"/>
        </w:tabs>
        <w:ind w:hanging="0" w:start="0"/>
        <w:rPr/>
      </w:pPr>
      <w:r>
        <w:rPr/>
        <w:t>le niveau de retenue minimum (N2, H1, H2, H3 ou H4b)</w:t>
      </w:r>
    </w:p>
    <w:p>
      <w:pPr>
        <w:pStyle w:val="Puces2"/>
        <w:numPr>
          <w:ilvl w:val="0"/>
          <w:numId w:val="2"/>
        </w:numPr>
        <w:tabs>
          <w:tab w:val="clear" w:pos="284"/>
        </w:tabs>
        <w:ind w:hanging="0" w:start="0"/>
        <w:rPr/>
      </w:pPr>
      <w:r>
        <w:rPr/>
        <w:t>le niveau de sévérité de choc maximum (ASI A ou B)</w:t>
      </w:r>
    </w:p>
    <w:p>
      <w:pPr>
        <w:pStyle w:val="Puces2"/>
        <w:numPr>
          <w:ilvl w:val="0"/>
          <w:numId w:val="2"/>
        </w:numPr>
        <w:tabs>
          <w:tab w:val="clear" w:pos="284"/>
        </w:tabs>
        <w:ind w:hanging="0" w:start="0"/>
        <w:rPr/>
      </w:pPr>
      <w:r>
        <w:rPr/>
        <w:t>la largeur de fonctionnement maximale (W1 à W6)</w:t>
      </w:r>
    </w:p>
    <w:p>
      <w:pPr>
        <w:pStyle w:val="Puces2"/>
        <w:numPr>
          <w:ilvl w:val="0"/>
          <w:numId w:val="2"/>
        </w:numPr>
        <w:tabs>
          <w:tab w:val="clear" w:pos="284"/>
        </w:tabs>
        <w:ind w:hanging="0" w:start="0"/>
        <w:rPr/>
      </w:pPr>
      <w:r>
        <w:rPr/>
        <w:t>s’il y a des obstacles de grande hauteur, le niveau d’intrusion maximum (VI1 à VI9)</w:t>
      </w:r>
    </w:p>
    <w:p>
      <w:pPr>
        <w:pStyle w:val="Puces2"/>
        <w:numPr>
          <w:ilvl w:val="0"/>
          <w:numId w:val="2"/>
        </w:numPr>
        <w:tabs>
          <w:tab w:val="clear" w:pos="284"/>
        </w:tabs>
        <w:ind w:hanging="0" w:start="0"/>
        <w:rPr/>
      </w:pPr>
      <w:r>
        <w:rPr/>
        <w:t>la nature du sol (sol naturel, asphalte, béton)</w:t>
      </w:r>
    </w:p>
    <w:p>
      <w:pPr>
        <w:pStyle w:val="Puces2"/>
        <w:numPr>
          <w:ilvl w:val="0"/>
          <w:numId w:val="2"/>
        </w:numPr>
        <w:tabs>
          <w:tab w:val="clear" w:pos="284"/>
        </w:tabs>
        <w:ind w:hanging="0" w:start="0"/>
        <w:rPr/>
      </w:pPr>
      <w:r>
        <w:rPr/>
        <w:t>les éventuelles dispositions particulières propres au marché: pièces spéciales éventuelles, tolérances géométriques particulières, courbes de faible rayon, enfoncement des supports en terrain compact ou revêtu, etc.</w:t>
      </w:r>
    </w:p>
    <w:p>
      <w:pPr>
        <w:pStyle w:val="Heading1"/>
        <w:ind w:hanging="0" w:start="0"/>
        <w:rPr/>
      </w:pPr>
      <w:r>
        <w:rPr/>
      </w:r>
    </w:p>
    <w:p>
      <w:pPr>
        <w:pStyle w:val="Normal"/>
        <w:tabs>
          <w:tab w:val="clear" w:pos="567"/>
          <w:tab w:val="left" w:pos="1276" w:leader="none"/>
        </w:tabs>
        <w:spacing w:lineRule="atLeast" w:line="300"/>
        <w:jc w:val="both"/>
        <w:rPr>
          <w:b/>
          <w:color w:val="000000"/>
        </w:rPr>
      </w:pPr>
      <w:r>
        <w:rPr>
          <w:b/>
          <w:color w:val="000000"/>
        </w:rPr>
        <w:t>H. 2.3.2.2.1. ETUDE PREALABLE</w:t>
      </w:r>
    </w:p>
    <w:p>
      <w:pPr>
        <w:pStyle w:val="Normal"/>
        <w:tabs>
          <w:tab w:val="clear" w:pos="567"/>
          <w:tab w:val="left" w:pos="1276" w:leader="none"/>
        </w:tabs>
        <w:spacing w:lineRule="atLeast" w:line="300"/>
        <w:jc w:val="both"/>
        <w:rPr>
          <w:b/>
          <w:i/>
          <w:color w:val="000000"/>
        </w:rPr>
      </w:pPr>
      <w:r>
        <w:rPr>
          <w:b/>
          <w:i/>
          <w:color w:val="000000"/>
        </w:rPr>
      </w:r>
    </w:p>
    <w:p>
      <w:pPr>
        <w:pStyle w:val="Normal"/>
        <w:pBdr>
          <w:top w:val="single" w:sz="12" w:space="1" w:color="000000"/>
          <w:left w:val="single" w:sz="12" w:space="4" w:color="000000"/>
          <w:bottom w:val="single" w:sz="12" w:space="1" w:color="000000"/>
          <w:right w:val="single" w:sz="12" w:space="4" w:color="000000"/>
        </w:pBdr>
        <w:tabs>
          <w:tab w:val="clear" w:pos="567"/>
          <w:tab w:val="left" w:pos="1276" w:leader="none"/>
        </w:tabs>
        <w:spacing w:lineRule="atLeast" w:line="300"/>
        <w:jc w:val="both"/>
        <w:rPr/>
      </w:pPr>
      <w:r>
        <w:rPr>
          <w:color w:val="000000"/>
        </w:rPr>
        <w:t>Définir le nombre d’essais de caractérisation du sol.</w:t>
      </w:r>
    </w:p>
    <w:p>
      <w:pPr>
        <w:pStyle w:val="Heading1"/>
        <w:ind w:hanging="0" w:start="0"/>
        <w:rPr>
          <w:b w:val="false"/>
          <w:color w:val="000000"/>
        </w:rPr>
      </w:pPr>
      <w:r>
        <w:rPr>
          <w:b w:val="false"/>
          <w:color w:val="000000"/>
        </w:rPr>
      </w:r>
    </w:p>
    <w:p>
      <w:pPr>
        <w:pStyle w:val="Normal"/>
        <w:tabs>
          <w:tab w:val="clear" w:pos="567"/>
          <w:tab w:val="left" w:pos="1276" w:leader="none"/>
        </w:tabs>
        <w:spacing w:lineRule="atLeast" w:line="300"/>
        <w:jc w:val="both"/>
        <w:rPr>
          <w:b/>
          <w:color w:val="000000"/>
        </w:rPr>
      </w:pPr>
      <w:r>
        <w:rPr>
          <w:b/>
          <w:color w:val="000000"/>
        </w:rPr>
        <w:t>H. 2.3.2.2.2. MONTAGE ET POSE</w:t>
      </w:r>
    </w:p>
    <w:p>
      <w:pPr>
        <w:pStyle w:val="Normal"/>
        <w:tabs>
          <w:tab w:val="clear" w:pos="567"/>
          <w:tab w:val="left" w:pos="1276" w:leader="none"/>
        </w:tabs>
        <w:spacing w:lineRule="atLeast" w:line="300"/>
        <w:jc w:val="both"/>
        <w:rPr>
          <w:b/>
          <w:color w:val="000000"/>
        </w:rPr>
      </w:pPr>
      <w:r>
        <w:rPr>
          <w:b/>
          <w:color w:val="000000"/>
        </w:rPr>
      </w:r>
    </w:p>
    <w:p>
      <w:pPr>
        <w:pStyle w:val="Normal"/>
        <w:pBdr>
          <w:top w:val="single" w:sz="12" w:space="1" w:color="000000"/>
          <w:left w:val="single" w:sz="12" w:space="4" w:color="000000"/>
          <w:bottom w:val="single" w:sz="12" w:space="1" w:color="000000"/>
          <w:right w:val="single" w:sz="12" w:space="4" w:color="000000"/>
        </w:pBdr>
        <w:tabs>
          <w:tab w:val="clear" w:pos="567"/>
          <w:tab w:val="left" w:pos="1276" w:leader="none"/>
        </w:tabs>
        <w:spacing w:lineRule="atLeast" w:line="300"/>
        <w:jc w:val="both"/>
        <w:rPr/>
      </w:pPr>
      <w:r>
        <w:rPr>
          <w:color w:val="000000"/>
        </w:rPr>
        <w:t>Définir les éventuelles exigences particulières du marché relatives au montage et à la pose des dispositifs.</w:t>
      </w:r>
    </w:p>
    <w:p>
      <w:pPr>
        <w:pStyle w:val="Heading1"/>
        <w:ind w:hanging="0" w:start="0"/>
        <w:rPr>
          <w:color w:val="000000"/>
        </w:rPr>
      </w:pPr>
      <w:r>
        <w:rPr>
          <w:color w:val="000000"/>
        </w:rPr>
      </w:r>
    </w:p>
    <w:p>
      <w:pPr>
        <w:pStyle w:val="Heading1"/>
        <w:ind w:hanging="0" w:start="0"/>
        <w:rPr/>
      </w:pPr>
      <w:r>
        <w:rPr/>
        <w:t>H. 2.3.2.2.3. TRAITEMENT DES ABOUTS</w:t>
      </w:r>
    </w:p>
    <w:p>
      <w:pPr>
        <w:pStyle w:val="Normal"/>
        <w:tabs>
          <w:tab w:val="clear" w:pos="567"/>
          <w:tab w:val="left" w:pos="1276" w:leader="none"/>
        </w:tabs>
        <w:spacing w:lineRule="atLeast" w:line="300"/>
        <w:jc w:val="both"/>
        <w:rPr>
          <w:i/>
          <w:color w:val="000000"/>
        </w:rPr>
      </w:pPr>
      <w:r>
        <w:rPr>
          <w:i/>
          <w:color w:val="000000"/>
        </w:rPr>
      </w:r>
    </w:p>
    <w:p>
      <w:pPr>
        <w:pStyle w:val="Normal"/>
        <w:pBdr>
          <w:top w:val="single" w:sz="12" w:space="1" w:color="000000"/>
          <w:left w:val="single" w:sz="12" w:space="4" w:color="000000"/>
          <w:bottom w:val="single" w:sz="12" w:space="1" w:color="000000"/>
          <w:right w:val="single" w:sz="12" w:space="4" w:color="000000"/>
        </w:pBdr>
        <w:tabs>
          <w:tab w:val="clear" w:pos="567"/>
          <w:tab w:val="left" w:pos="1276" w:leader="none"/>
        </w:tabs>
        <w:spacing w:lineRule="atLeast" w:line="300"/>
        <w:jc w:val="both"/>
        <w:rPr/>
      </w:pPr>
      <w:r>
        <w:rPr>
          <w:color w:val="000000"/>
        </w:rPr>
        <w:t>Définir les dispositions retenues pour le traitement des débuts et des fins de files: écartements de l’axe, extrémités testées, atténuateurs de choc fixes…</w:t>
      </w:r>
    </w:p>
    <w:p>
      <w:pPr>
        <w:pStyle w:val="Normal"/>
        <w:pBdr>
          <w:top w:val="single" w:sz="12" w:space="1" w:color="000000"/>
          <w:left w:val="single" w:sz="12" w:space="4" w:color="000000"/>
          <w:bottom w:val="single" w:sz="12" w:space="1" w:color="000000"/>
          <w:right w:val="single" w:sz="12" w:space="4" w:color="000000"/>
        </w:pBdr>
        <w:tabs>
          <w:tab w:val="clear" w:pos="567"/>
          <w:tab w:val="left" w:pos="1276" w:leader="none"/>
        </w:tabs>
        <w:spacing w:lineRule="atLeast" w:line="300"/>
        <w:jc w:val="both"/>
        <w:rPr>
          <w:color w:val="000000"/>
        </w:rPr>
      </w:pPr>
      <w:r>
        <w:rPr>
          <w:color w:val="000000"/>
        </w:rPr>
        <w:t>Si nécessaire, décrire la géométrie des solutions retenues ou définir l’espace disponible.</w:t>
      </w:r>
    </w:p>
    <w:p>
      <w:pPr>
        <w:pStyle w:val="Normal"/>
        <w:tabs>
          <w:tab w:val="clear" w:pos="567"/>
          <w:tab w:val="left" w:pos="1276" w:leader="none"/>
        </w:tabs>
        <w:spacing w:lineRule="atLeast" w:line="300"/>
        <w:jc w:val="both"/>
        <w:rPr>
          <w:color w:val="000000"/>
        </w:rPr>
      </w:pPr>
      <w:r>
        <w:rPr>
          <w:color w:val="000000"/>
        </w:rPr>
      </w:r>
    </w:p>
    <w:p>
      <w:pPr>
        <w:pStyle w:val="Heading1"/>
        <w:ind w:hanging="0" w:start="0"/>
        <w:rPr/>
      </w:pPr>
      <w:r>
        <w:rPr/>
        <w:t>H. 2.3.3. verificationS</w:t>
      </w:r>
    </w:p>
    <w:p>
      <w:pPr>
        <w:pStyle w:val="Normal"/>
        <w:rPr/>
      </w:pPr>
      <w:r>
        <w:rPr/>
      </w:r>
    </w:p>
    <w:p>
      <w:pPr>
        <w:pStyle w:val="Heading1"/>
        <w:ind w:hanging="0" w:start="0"/>
        <w:rPr/>
      </w:pPr>
      <w:r>
        <w:rPr/>
        <w:t>H. 2.3.3.1. reception technique prealable</w:t>
      </w:r>
    </w:p>
    <w:p>
      <w:pPr>
        <w:pStyle w:val="Normal"/>
        <w:rPr>
          <w:color w:val="000000"/>
        </w:rPr>
      </w:pPr>
      <w:r>
        <w:rPr>
          <w:color w:val="000000"/>
        </w:rPr>
      </w:r>
    </w:p>
    <w:p>
      <w:pPr>
        <w:pStyle w:val="Normal"/>
        <w:rPr/>
      </w:pPr>
      <w:r>
        <w:rPr>
          <w:i/>
          <w:color w:val="000000"/>
        </w:rPr>
        <w:t>L’attention est attirée sur les exigences du C. 36.1. notamment en ce qui concerne les documents à fournir par l’adjudicataire et le délai de fourniture de ces documents.</w:t>
      </w:r>
    </w:p>
    <w:p>
      <w:pPr>
        <w:pStyle w:val="Normal"/>
        <w:rPr>
          <w:i/>
          <w:color w:val="000000"/>
        </w:rPr>
      </w:pPr>
      <w:r>
        <w:rPr>
          <w:i/>
          <w:color w:val="000000"/>
        </w:rPr>
      </w:r>
    </w:p>
    <w:p>
      <w:pPr>
        <w:pStyle w:val="Heading1"/>
        <w:ind w:hanging="0" w:start="0"/>
        <w:rPr/>
      </w:pPr>
      <w:r>
        <w:rPr/>
        <w:t>H. 2.3.4.1. mesurage</w:t>
      </w:r>
    </w:p>
    <w:p>
      <w:pPr>
        <w:pStyle w:val="Normal"/>
        <w:tabs>
          <w:tab w:val="clear" w:pos="567"/>
          <w:tab w:val="left" w:pos="1276" w:leader="none"/>
        </w:tabs>
        <w:spacing w:lineRule="atLeast" w:line="300"/>
        <w:jc w:val="both"/>
        <w:rPr>
          <w:color w:val="000000"/>
        </w:rPr>
      </w:pPr>
      <w:r>
        <w:rPr>
          <w:color w:val="000000"/>
        </w:rPr>
      </w:r>
    </w:p>
    <w:p>
      <w:pPr>
        <w:pStyle w:val="BodyText"/>
        <w:rPr/>
      </w:pPr>
      <w:r>
        <w:rPr/>
        <w:t>L'attention est attirée sur le fait que diverses opérations prescrites font appel à des postes séparés du métré.</w:t>
      </w:r>
    </w:p>
    <w:p>
      <w:pPr>
        <w:pStyle w:val="Normal"/>
        <w:tabs>
          <w:tab w:val="clear" w:pos="567"/>
          <w:tab w:val="left" w:pos="1276" w:leader="none"/>
        </w:tabs>
        <w:spacing w:lineRule="atLeast" w:line="300"/>
        <w:jc w:val="both"/>
        <w:rPr>
          <w:color w:val="000000"/>
        </w:rPr>
      </w:pPr>
      <w:r>
        <w:rPr>
          <w:color w:val="000000"/>
        </w:rPr>
      </w:r>
    </w:p>
    <w:p>
      <w:pPr>
        <w:pStyle w:val="Normal"/>
        <w:tabs>
          <w:tab w:val="clear" w:pos="567"/>
          <w:tab w:val="left" w:pos="1276" w:leader="none"/>
        </w:tabs>
        <w:spacing w:lineRule="atLeast" w:line="300"/>
        <w:jc w:val="both"/>
        <w:rPr>
          <w:color w:val="000000"/>
        </w:rPr>
      </w:pPr>
      <w:r>
        <w:rPr>
          <w:color w:val="000000"/>
        </w:rPr>
      </w:r>
    </w:p>
    <w:p>
      <w:pPr>
        <w:pStyle w:val="Heading1"/>
        <w:ind w:hanging="0" w:start="0"/>
        <w:rPr/>
      </w:pPr>
      <w:r>
        <w:rPr/>
        <w:t>H. 2.4. dispositifs de retenue mixtes acier-bois</w:t>
      </w:r>
    </w:p>
    <w:p>
      <w:pPr>
        <w:pStyle w:val="Normal"/>
        <w:tabs>
          <w:tab w:val="clear" w:pos="567"/>
          <w:tab w:val="left" w:pos="1276" w:leader="none"/>
        </w:tabs>
        <w:spacing w:lineRule="atLeast" w:line="300"/>
        <w:jc w:val="both"/>
        <w:rPr>
          <w:color w:val="000000"/>
        </w:rPr>
      </w:pPr>
      <w:r>
        <w:rPr>
          <w:color w:val="000000"/>
        </w:rPr>
      </w:r>
    </w:p>
    <w:p>
      <w:pPr>
        <w:pStyle w:val="Normal"/>
        <w:tabs>
          <w:tab w:val="clear" w:pos="567"/>
          <w:tab w:val="left" w:pos="1276" w:leader="none"/>
        </w:tabs>
        <w:spacing w:lineRule="atLeast" w:line="300"/>
        <w:jc w:val="both"/>
        <w:rPr/>
      </w:pPr>
      <w:r>
        <w:rPr>
          <w:i/>
          <w:color w:val="000000"/>
        </w:rPr>
        <w:t>Voir commentaires généraux sous H. 2.</w:t>
      </w:r>
    </w:p>
    <w:p>
      <w:pPr>
        <w:pStyle w:val="Normal"/>
        <w:tabs>
          <w:tab w:val="clear" w:pos="567"/>
          <w:tab w:val="left" w:pos="1276" w:leader="none"/>
        </w:tabs>
        <w:spacing w:lineRule="atLeast" w:line="300"/>
        <w:jc w:val="both"/>
        <w:rPr>
          <w:i/>
          <w:color w:val="000000"/>
        </w:rPr>
      </w:pPr>
      <w:r>
        <w:rPr>
          <w:i/>
          <w:color w:val="000000"/>
        </w:rPr>
      </w:r>
    </w:p>
    <w:p>
      <w:pPr>
        <w:pStyle w:val="Normal"/>
        <w:tabs>
          <w:tab w:val="clear" w:pos="567"/>
          <w:tab w:val="left" w:pos="1276" w:leader="none"/>
        </w:tabs>
        <w:spacing w:lineRule="atLeast" w:line="300"/>
        <w:jc w:val="both"/>
        <w:rPr/>
      </w:pPr>
      <w:r>
        <w:rPr>
          <w:i/>
          <w:color w:val="000000"/>
        </w:rPr>
        <w:t>Les dispositifs mixtes acier-bois ne doivent être choisis que s’ils sont imposés par des dispositions urbanistiques ou si leur intégration paysagère est prioritaire.</w:t>
      </w:r>
    </w:p>
    <w:p>
      <w:pPr>
        <w:pStyle w:val="Normal"/>
        <w:tabs>
          <w:tab w:val="clear" w:pos="567"/>
          <w:tab w:val="left" w:pos="1276" w:leader="none"/>
        </w:tabs>
        <w:spacing w:lineRule="atLeast" w:line="300"/>
        <w:jc w:val="both"/>
        <w:rPr>
          <w:i/>
          <w:color w:val="000000"/>
        </w:rPr>
      </w:pPr>
      <w:r>
        <w:rPr>
          <w:i/>
          <w:color w:val="000000"/>
        </w:rPr>
        <w:t>Ces dispositifs:</w:t>
      </w:r>
    </w:p>
    <w:p>
      <w:pPr>
        <w:pStyle w:val="Normal"/>
        <w:numPr>
          <w:ilvl w:val="0"/>
          <w:numId w:val="3"/>
        </w:numPr>
        <w:tabs>
          <w:tab w:val="clear" w:pos="567"/>
          <w:tab w:val="left" w:pos="1276" w:leader="none"/>
        </w:tabs>
        <w:spacing w:lineRule="atLeast" w:line="300"/>
        <w:jc w:val="both"/>
        <w:rPr>
          <w:i/>
          <w:color w:val="000000"/>
        </w:rPr>
      </w:pPr>
      <w:r>
        <w:rPr>
          <w:i/>
          <w:color w:val="000000"/>
        </w:rPr>
        <w:t>présentent une gamme de performances limitée</w:t>
      </w:r>
    </w:p>
    <w:p>
      <w:pPr>
        <w:pStyle w:val="Normal"/>
        <w:numPr>
          <w:ilvl w:val="0"/>
          <w:numId w:val="3"/>
        </w:numPr>
        <w:tabs>
          <w:tab w:val="clear" w:pos="567"/>
          <w:tab w:val="left" w:pos="1276" w:leader="none"/>
        </w:tabs>
        <w:spacing w:lineRule="atLeast" w:line="300"/>
        <w:jc w:val="both"/>
        <w:rPr>
          <w:i/>
          <w:color w:val="000000"/>
        </w:rPr>
      </w:pPr>
      <w:r>
        <w:rPr>
          <w:i/>
          <w:color w:val="000000"/>
        </w:rPr>
        <w:t>sont plus chers, à performances égales, que les dispositifs en acier</w:t>
      </w:r>
    </w:p>
    <w:p>
      <w:pPr>
        <w:pStyle w:val="Normal"/>
        <w:numPr>
          <w:ilvl w:val="0"/>
          <w:numId w:val="3"/>
        </w:numPr>
        <w:tabs>
          <w:tab w:val="clear" w:pos="567"/>
          <w:tab w:val="left" w:pos="1276" w:leader="none"/>
        </w:tabs>
        <w:spacing w:lineRule="atLeast" w:line="300"/>
        <w:jc w:val="both"/>
        <w:rPr>
          <w:i/>
          <w:color w:val="000000"/>
        </w:rPr>
      </w:pPr>
      <w:r>
        <w:rPr>
          <w:i/>
          <w:color w:val="000000"/>
        </w:rPr>
        <w:t>proposent une durabilité plus faible (pièces de bois)</w:t>
      </w:r>
    </w:p>
    <w:p>
      <w:pPr>
        <w:pStyle w:val="Normal"/>
        <w:numPr>
          <w:ilvl w:val="0"/>
          <w:numId w:val="3"/>
        </w:numPr>
        <w:tabs>
          <w:tab w:val="clear" w:pos="567"/>
          <w:tab w:val="left" w:pos="1276" w:leader="none"/>
        </w:tabs>
        <w:spacing w:lineRule="atLeast" w:line="300"/>
        <w:jc w:val="both"/>
        <w:rPr>
          <w:i/>
          <w:color w:val="000000"/>
        </w:rPr>
      </w:pPr>
      <w:r>
        <w:rPr>
          <w:i/>
          <w:color w:val="000000"/>
        </w:rPr>
        <w:t>proposent très peu de modèles adaptés aux ouvrages d’art</w:t>
      </w:r>
    </w:p>
    <w:p>
      <w:pPr>
        <w:pStyle w:val="Normal"/>
        <w:numPr>
          <w:ilvl w:val="0"/>
          <w:numId w:val="3"/>
        </w:numPr>
        <w:tabs>
          <w:tab w:val="clear" w:pos="567"/>
          <w:tab w:val="left" w:pos="1276" w:leader="none"/>
        </w:tabs>
        <w:spacing w:lineRule="exact" w:line="300"/>
        <w:jc w:val="both"/>
        <w:rPr>
          <w:i/>
          <w:color w:val="000000"/>
        </w:rPr>
      </w:pPr>
      <w:r>
        <w:rPr>
          <w:i/>
          <w:color w:val="000000"/>
        </w:rPr>
        <w:t xml:space="preserve">ne conviennent pas pour une fonction de garde-corps (trop chers et trop bas sauf </w:t>
        <w:br/>
        <w:tab/>
        <w:t>ajout de rehausses permettant de proposer une main courante au niveau adéquat)</w:t>
      </w:r>
    </w:p>
    <w:p>
      <w:pPr>
        <w:pStyle w:val="Normal"/>
        <w:numPr>
          <w:ilvl w:val="0"/>
          <w:numId w:val="3"/>
        </w:numPr>
        <w:tabs>
          <w:tab w:val="clear" w:pos="567"/>
          <w:tab w:val="left" w:pos="1276" w:leader="none"/>
        </w:tabs>
        <w:spacing w:lineRule="exact" w:line="300"/>
        <w:ind w:hanging="916" w:start="1276" w:end="0"/>
        <w:jc w:val="both"/>
        <w:rPr>
          <w:i/>
          <w:color w:val="000000"/>
        </w:rPr>
      </w:pPr>
      <w:r>
        <w:rPr>
          <w:i/>
          <w:color w:val="000000"/>
        </w:rPr>
        <w:t xml:space="preserve"> </w:t>
      </w:r>
      <w:r>
        <w:rPr>
          <w:i/>
          <w:color w:val="000000"/>
        </w:rPr>
        <w:t>sont trop chers pour une simple fonction de séparateur physique (notamment entre un RAVeL et une voirie).</w:t>
      </w:r>
    </w:p>
    <w:p>
      <w:pPr>
        <w:pStyle w:val="Normal"/>
        <w:tabs>
          <w:tab w:val="clear" w:pos="567"/>
          <w:tab w:val="left" w:pos="1276" w:leader="none"/>
        </w:tabs>
        <w:spacing w:lineRule="atLeast" w:line="300"/>
        <w:jc w:val="both"/>
        <w:rPr>
          <w:i/>
          <w:color w:val="000000"/>
        </w:rPr>
      </w:pPr>
      <w:r>
        <w:rPr>
          <w:i/>
          <w:color w:val="000000"/>
        </w:rPr>
        <w:t>Par ailleurs, lors de l’impact d’un véhicule, le risque de voir des morceaux de bois se détacher et être projetés à distance de la glissière est important.</w:t>
      </w:r>
    </w:p>
    <w:p>
      <w:pPr>
        <w:pStyle w:val="Normal"/>
        <w:tabs>
          <w:tab w:val="clear" w:pos="567"/>
          <w:tab w:val="left" w:pos="1276" w:leader="none"/>
        </w:tabs>
        <w:spacing w:lineRule="atLeast" w:line="300"/>
        <w:jc w:val="both"/>
        <w:rPr>
          <w:i/>
          <w:color w:val="000000"/>
        </w:rPr>
      </w:pPr>
      <w:r>
        <w:rPr>
          <w:i/>
          <w:color w:val="000000"/>
        </w:rPr>
      </w:r>
    </w:p>
    <w:p>
      <w:pPr>
        <w:pStyle w:val="Heading1"/>
        <w:ind w:hanging="0" w:start="0"/>
        <w:rPr/>
      </w:pPr>
      <w:r>
        <w:rPr/>
        <w:t>H. 2.4.1. descripTION</w:t>
      </w:r>
    </w:p>
    <w:p>
      <w:pPr>
        <w:pStyle w:val="Normal"/>
        <w:tabs>
          <w:tab w:val="clear" w:pos="567"/>
          <w:tab w:val="left" w:pos="1276" w:leader="none"/>
        </w:tabs>
        <w:spacing w:lineRule="atLeast" w:line="300"/>
        <w:jc w:val="both"/>
        <w:rPr>
          <w:color w:val="000000"/>
        </w:rPr>
      </w:pPr>
      <w:r>
        <w:rPr>
          <w:color w:val="000000"/>
        </w:rPr>
      </w:r>
    </w:p>
    <w:p>
      <w:pPr>
        <w:pStyle w:val="Puces2"/>
        <w:numPr>
          <w:ilvl w:val="0"/>
          <w:numId w:val="0"/>
        </w:numPr>
        <w:tabs>
          <w:tab w:val="clear" w:pos="284"/>
        </w:tabs>
        <w:ind w:hanging="0" w:start="0"/>
        <w:rPr/>
      </w:pPr>
      <w:r>
        <w:rPr/>
        <w:t>Définir:</w:t>
      </w:r>
    </w:p>
    <w:p>
      <w:pPr>
        <w:pStyle w:val="Puces2"/>
        <w:numPr>
          <w:ilvl w:val="0"/>
          <w:numId w:val="2"/>
        </w:numPr>
        <w:tabs>
          <w:tab w:val="clear" w:pos="284"/>
        </w:tabs>
        <w:ind w:hanging="0" w:start="0"/>
        <w:rPr/>
      </w:pPr>
      <w:r>
        <w:rPr/>
        <w:t>le niveau de retenue minimum (N2, H1, H2, H3 ou H4b)</w:t>
      </w:r>
    </w:p>
    <w:p>
      <w:pPr>
        <w:pStyle w:val="Puces2"/>
        <w:numPr>
          <w:ilvl w:val="0"/>
          <w:numId w:val="2"/>
        </w:numPr>
        <w:tabs>
          <w:tab w:val="clear" w:pos="284"/>
        </w:tabs>
        <w:ind w:hanging="0" w:start="0"/>
        <w:rPr/>
      </w:pPr>
      <w:r>
        <w:rPr/>
        <w:t>le niveau de sévérité de choc maximum (ASI A ou B)</w:t>
      </w:r>
    </w:p>
    <w:p>
      <w:pPr>
        <w:pStyle w:val="Puces2"/>
        <w:numPr>
          <w:ilvl w:val="0"/>
          <w:numId w:val="2"/>
        </w:numPr>
        <w:tabs>
          <w:tab w:val="clear" w:pos="284"/>
        </w:tabs>
        <w:ind w:hanging="0" w:start="0"/>
        <w:rPr/>
      </w:pPr>
      <w:r>
        <w:rPr/>
        <w:t>la largeur de fonctionnement maximale (W1 à W6)</w:t>
      </w:r>
    </w:p>
    <w:p>
      <w:pPr>
        <w:pStyle w:val="Puces2"/>
        <w:numPr>
          <w:ilvl w:val="0"/>
          <w:numId w:val="2"/>
        </w:numPr>
        <w:tabs>
          <w:tab w:val="clear" w:pos="284"/>
        </w:tabs>
        <w:ind w:hanging="0" w:start="0"/>
        <w:rPr/>
      </w:pPr>
      <w:r>
        <w:rPr/>
        <w:t>s’il y a des obstacles de grande hauteur, le niveau d’intrusion maximum (VI1 à VI9)</w:t>
      </w:r>
    </w:p>
    <w:p>
      <w:pPr>
        <w:pStyle w:val="Puces2"/>
        <w:numPr>
          <w:ilvl w:val="0"/>
          <w:numId w:val="2"/>
        </w:numPr>
        <w:tabs>
          <w:tab w:val="clear" w:pos="284"/>
        </w:tabs>
        <w:ind w:hanging="0" w:start="0"/>
        <w:rPr/>
      </w:pPr>
      <w:r>
        <w:rPr/>
        <w:t>la nature du sol (sol naturel, asphalte, béton)</w:t>
      </w:r>
    </w:p>
    <w:p>
      <w:pPr>
        <w:pStyle w:val="Puces2"/>
        <w:numPr>
          <w:ilvl w:val="0"/>
          <w:numId w:val="2"/>
        </w:numPr>
        <w:tabs>
          <w:tab w:val="clear" w:pos="284"/>
        </w:tabs>
        <w:ind w:hanging="0" w:start="0"/>
        <w:rPr/>
      </w:pPr>
      <w:r>
        <w:rPr/>
        <w:t>l’aspect visuel du dispositif: habillage bois sur une ou deux faces, etc.</w:t>
      </w:r>
    </w:p>
    <w:p>
      <w:pPr>
        <w:pStyle w:val="Puces2"/>
        <w:numPr>
          <w:ilvl w:val="0"/>
          <w:numId w:val="2"/>
        </w:numPr>
        <w:tabs>
          <w:tab w:val="clear" w:pos="284"/>
        </w:tabs>
        <w:ind w:hanging="0" w:start="0"/>
        <w:rPr/>
      </w:pPr>
      <w:r>
        <w:rPr/>
        <w:t>les éventuelles dispositions particulières propres au marché: pièces spéciales éventuelles, tolérances géométriques particulières, courbes de faible rayon, enfoncement des supports en terrain compact ou revêtu, etc.</w:t>
      </w:r>
    </w:p>
    <w:p>
      <w:pPr>
        <w:pStyle w:val="Heading1"/>
        <w:ind w:hanging="0" w:start="0"/>
        <w:rPr/>
      </w:pPr>
      <w:r>
        <w:rPr/>
      </w:r>
    </w:p>
    <w:p>
      <w:pPr>
        <w:pStyle w:val="Normal"/>
        <w:tabs>
          <w:tab w:val="clear" w:pos="567"/>
          <w:tab w:val="left" w:pos="1276" w:leader="none"/>
        </w:tabs>
        <w:spacing w:lineRule="atLeast" w:line="300"/>
        <w:jc w:val="both"/>
        <w:rPr>
          <w:b/>
          <w:color w:val="000000"/>
        </w:rPr>
      </w:pPr>
      <w:r>
        <w:rPr>
          <w:b/>
          <w:color w:val="000000"/>
        </w:rPr>
        <w:t>H. 2.4.2.2.1. ETUDE PREALABLE</w:t>
      </w:r>
    </w:p>
    <w:p>
      <w:pPr>
        <w:pStyle w:val="Normal"/>
        <w:tabs>
          <w:tab w:val="clear" w:pos="567"/>
          <w:tab w:val="left" w:pos="1276" w:leader="none"/>
        </w:tabs>
        <w:spacing w:lineRule="atLeast" w:line="300"/>
        <w:jc w:val="both"/>
        <w:rPr>
          <w:b/>
          <w:i/>
          <w:color w:val="000000"/>
        </w:rPr>
      </w:pPr>
      <w:r>
        <w:rPr>
          <w:b/>
          <w:i/>
          <w:color w:val="000000"/>
        </w:rPr>
      </w:r>
    </w:p>
    <w:p>
      <w:pPr>
        <w:pStyle w:val="Normal"/>
        <w:pBdr>
          <w:top w:val="single" w:sz="12" w:space="1" w:color="000000"/>
          <w:left w:val="single" w:sz="12" w:space="4" w:color="000000"/>
          <w:bottom w:val="single" w:sz="12" w:space="1" w:color="000000"/>
          <w:right w:val="single" w:sz="12" w:space="4" w:color="000000"/>
        </w:pBdr>
        <w:tabs>
          <w:tab w:val="clear" w:pos="567"/>
          <w:tab w:val="left" w:pos="1276" w:leader="none"/>
        </w:tabs>
        <w:spacing w:lineRule="atLeast" w:line="300"/>
        <w:jc w:val="both"/>
        <w:rPr>
          <w:color w:val="000000"/>
        </w:rPr>
      </w:pPr>
      <w:r>
        <w:rPr>
          <w:color w:val="000000"/>
        </w:rPr>
        <w:t>Définir le nombre d’essais de caractérisation du sol.</w:t>
      </w:r>
    </w:p>
    <w:p>
      <w:pPr>
        <w:pStyle w:val="Heading1"/>
        <w:ind w:hanging="0" w:start="0"/>
        <w:rPr>
          <w:b w:val="false"/>
          <w:color w:val="000000"/>
        </w:rPr>
      </w:pPr>
      <w:r>
        <w:rPr>
          <w:b w:val="false"/>
          <w:color w:val="000000"/>
        </w:rPr>
      </w:r>
    </w:p>
    <w:p>
      <w:pPr>
        <w:pStyle w:val="Normal"/>
        <w:tabs>
          <w:tab w:val="clear" w:pos="567"/>
          <w:tab w:val="left" w:pos="1276" w:leader="none"/>
        </w:tabs>
        <w:spacing w:lineRule="atLeast" w:line="300"/>
        <w:jc w:val="both"/>
        <w:rPr>
          <w:b/>
          <w:color w:val="000000"/>
        </w:rPr>
      </w:pPr>
      <w:r>
        <w:rPr>
          <w:b/>
          <w:color w:val="000000"/>
        </w:rPr>
        <w:t>H. 2.4.2.2.2. MONTAGE ET POSE</w:t>
      </w:r>
    </w:p>
    <w:p>
      <w:pPr>
        <w:pStyle w:val="Normal"/>
        <w:tabs>
          <w:tab w:val="clear" w:pos="567"/>
          <w:tab w:val="left" w:pos="1276" w:leader="none"/>
        </w:tabs>
        <w:spacing w:lineRule="atLeast" w:line="300"/>
        <w:jc w:val="both"/>
        <w:rPr>
          <w:b/>
          <w:color w:val="000000"/>
        </w:rPr>
      </w:pPr>
      <w:r>
        <w:rPr>
          <w:b/>
          <w:color w:val="000000"/>
        </w:rPr>
      </w:r>
    </w:p>
    <w:p>
      <w:pPr>
        <w:pStyle w:val="Normal"/>
        <w:pBdr>
          <w:top w:val="single" w:sz="12" w:space="1" w:color="000000"/>
          <w:left w:val="single" w:sz="12" w:space="4" w:color="000000"/>
          <w:bottom w:val="single" w:sz="12" w:space="1" w:color="000000"/>
          <w:right w:val="single" w:sz="12" w:space="4" w:color="000000"/>
        </w:pBdr>
        <w:tabs>
          <w:tab w:val="clear" w:pos="567"/>
          <w:tab w:val="left" w:pos="1276" w:leader="none"/>
        </w:tabs>
        <w:spacing w:lineRule="atLeast" w:line="300"/>
        <w:jc w:val="both"/>
        <w:rPr/>
      </w:pPr>
      <w:r>
        <w:rPr>
          <w:color w:val="000000"/>
        </w:rPr>
        <w:t>Définir les éventuelles exigences particulières du marché relatives au montage et à la pose des dispositifs.</w:t>
      </w:r>
    </w:p>
    <w:p>
      <w:pPr>
        <w:pStyle w:val="Heading1"/>
        <w:ind w:hanging="0" w:start="0"/>
        <w:rPr>
          <w:color w:val="000000"/>
        </w:rPr>
      </w:pPr>
      <w:r>
        <w:rPr>
          <w:color w:val="000000"/>
        </w:rPr>
      </w:r>
    </w:p>
    <w:p>
      <w:pPr>
        <w:pStyle w:val="Heading1"/>
        <w:ind w:hanging="0" w:start="0"/>
        <w:rPr/>
      </w:pPr>
      <w:r>
        <w:rPr/>
        <w:t>H. 2.4.2.2.3. TRAITEMENT DES ABOUTS</w:t>
      </w:r>
    </w:p>
    <w:p>
      <w:pPr>
        <w:pStyle w:val="Normal"/>
        <w:tabs>
          <w:tab w:val="clear" w:pos="567"/>
          <w:tab w:val="left" w:pos="1276" w:leader="none"/>
        </w:tabs>
        <w:spacing w:lineRule="atLeast" w:line="300"/>
        <w:jc w:val="both"/>
        <w:rPr>
          <w:i/>
          <w:color w:val="000000"/>
        </w:rPr>
      </w:pPr>
      <w:r>
        <w:rPr>
          <w:i/>
          <w:color w:val="000000"/>
        </w:rPr>
      </w:r>
    </w:p>
    <w:p>
      <w:pPr>
        <w:pStyle w:val="Normal"/>
        <w:pBdr>
          <w:top w:val="single" w:sz="12" w:space="1" w:color="000000"/>
          <w:left w:val="single" w:sz="12" w:space="4" w:color="000000"/>
          <w:bottom w:val="single" w:sz="12" w:space="1" w:color="000000"/>
          <w:right w:val="single" w:sz="12" w:space="4" w:color="000000"/>
        </w:pBdr>
        <w:tabs>
          <w:tab w:val="clear" w:pos="567"/>
          <w:tab w:val="left" w:pos="1276" w:leader="none"/>
        </w:tabs>
        <w:spacing w:lineRule="atLeast" w:line="300"/>
        <w:jc w:val="both"/>
        <w:rPr>
          <w:color w:val="000000"/>
        </w:rPr>
      </w:pPr>
      <w:r>
        <w:rPr>
          <w:color w:val="000000"/>
        </w:rPr>
        <w:t>Définir les dispositions retenues pour le traitement des débuts et des fins de files: écartements de l’axe, extrémités testées, atténuateurs de choc fixes…</w:t>
      </w:r>
    </w:p>
    <w:p>
      <w:pPr>
        <w:pStyle w:val="Normal"/>
        <w:pBdr>
          <w:top w:val="single" w:sz="12" w:space="1" w:color="000000"/>
          <w:left w:val="single" w:sz="12" w:space="4" w:color="000000"/>
          <w:bottom w:val="single" w:sz="12" w:space="1" w:color="000000"/>
          <w:right w:val="single" w:sz="12" w:space="4" w:color="000000"/>
        </w:pBdr>
        <w:tabs>
          <w:tab w:val="clear" w:pos="567"/>
          <w:tab w:val="left" w:pos="1276" w:leader="none"/>
        </w:tabs>
        <w:spacing w:lineRule="atLeast" w:line="300"/>
        <w:jc w:val="both"/>
        <w:rPr/>
      </w:pPr>
      <w:r>
        <w:rPr>
          <w:color w:val="000000"/>
        </w:rPr>
        <w:t>Si nécessaire, décrire la géométrie des solutions retenues ou définir l’espace disponible.</w:t>
      </w:r>
    </w:p>
    <w:p>
      <w:pPr>
        <w:pStyle w:val="Normal"/>
        <w:tabs>
          <w:tab w:val="clear" w:pos="567"/>
          <w:tab w:val="left" w:pos="1276" w:leader="none"/>
        </w:tabs>
        <w:spacing w:lineRule="atLeast" w:line="300"/>
        <w:jc w:val="both"/>
        <w:rPr>
          <w:color w:val="000000"/>
        </w:rPr>
      </w:pPr>
      <w:r>
        <w:rPr>
          <w:color w:val="000000"/>
        </w:rPr>
      </w:r>
    </w:p>
    <w:p>
      <w:pPr>
        <w:pStyle w:val="Heading1"/>
        <w:ind w:hanging="0" w:start="0"/>
        <w:rPr/>
      </w:pPr>
      <w:r>
        <w:rPr/>
        <w:t>H. 2.4.3.1. reception technique prealable</w:t>
      </w:r>
    </w:p>
    <w:p>
      <w:pPr>
        <w:pStyle w:val="Normal"/>
        <w:rPr>
          <w:color w:val="000000"/>
        </w:rPr>
      </w:pPr>
      <w:r>
        <w:rPr>
          <w:color w:val="000000"/>
        </w:rPr>
      </w:r>
    </w:p>
    <w:p>
      <w:pPr>
        <w:pStyle w:val="Normal"/>
        <w:rPr/>
      </w:pPr>
      <w:r>
        <w:rPr>
          <w:i/>
          <w:color w:val="000000"/>
        </w:rPr>
        <w:t>L’attention est attirée sur les exigences du C. 36.2. notamment en ce qui concerne les documents à fournir par l’adjudicataire et le délai de fourniture de ces documents.</w:t>
      </w:r>
    </w:p>
    <w:p>
      <w:pPr>
        <w:pStyle w:val="Normal"/>
        <w:rPr>
          <w:i/>
          <w:color w:val="000000"/>
        </w:rPr>
      </w:pPr>
      <w:r>
        <w:rPr>
          <w:i/>
          <w:color w:val="000000"/>
        </w:rPr>
      </w:r>
    </w:p>
    <w:p>
      <w:pPr>
        <w:pStyle w:val="Normal"/>
        <w:rPr>
          <w:color w:val="000000"/>
        </w:rPr>
      </w:pPr>
      <w:r>
        <w:rPr>
          <w:color w:val="000000"/>
        </w:rPr>
      </w:r>
    </w:p>
    <w:p>
      <w:pPr>
        <w:pStyle w:val="Heading1"/>
        <w:ind w:hanging="0" w:start="0"/>
        <w:rPr>
          <w:color w:val="000000"/>
        </w:rPr>
      </w:pPr>
      <w:r>
        <w:rPr>
          <w:color w:val="000000"/>
        </w:rPr>
      </w:r>
    </w:p>
    <w:p>
      <w:pPr>
        <w:pStyle w:val="Heading1"/>
        <w:ind w:hanging="0" w:start="0"/>
        <w:rPr/>
      </w:pPr>
      <w:r>
        <w:rPr/>
        <w:t>H. 2.4.4.1. mesurage</w:t>
      </w:r>
    </w:p>
    <w:p>
      <w:pPr>
        <w:pStyle w:val="Normal"/>
        <w:tabs>
          <w:tab w:val="clear" w:pos="567"/>
          <w:tab w:val="left" w:pos="1276" w:leader="none"/>
        </w:tabs>
        <w:spacing w:lineRule="atLeast" w:line="300"/>
        <w:jc w:val="both"/>
        <w:rPr>
          <w:color w:val="000000"/>
        </w:rPr>
      </w:pPr>
      <w:r>
        <w:rPr>
          <w:color w:val="000000"/>
        </w:rPr>
      </w:r>
    </w:p>
    <w:p>
      <w:pPr>
        <w:pStyle w:val="BodyText"/>
        <w:rPr/>
      </w:pPr>
      <w:r>
        <w:rPr/>
        <w:t>L'attention est attirée sur le fait que diverses opérations prescrites font appel à des postes séparés du métré.</w:t>
      </w:r>
    </w:p>
    <w:p>
      <w:pPr>
        <w:pStyle w:val="Heading1"/>
        <w:ind w:hanging="0" w:start="0"/>
        <w:rPr/>
      </w:pPr>
      <w:r>
        <w:rPr/>
      </w:r>
    </w:p>
    <w:p>
      <w:pPr>
        <w:pStyle w:val="Heading1"/>
        <w:ind w:hanging="0" w:start="0"/>
        <w:rPr/>
      </w:pPr>
      <w:r>
        <w:rPr/>
        <w:t>H. 2.5. lisses de securite pour motocyclistes</w:t>
      </w:r>
    </w:p>
    <w:p>
      <w:pPr>
        <w:pStyle w:val="Normal"/>
        <w:tabs>
          <w:tab w:val="clear" w:pos="567"/>
          <w:tab w:val="left" w:pos="1276" w:leader="none"/>
        </w:tabs>
        <w:spacing w:lineRule="atLeast" w:line="300"/>
        <w:jc w:val="both"/>
        <w:rPr>
          <w:color w:val="000000"/>
        </w:rPr>
      </w:pPr>
      <w:r>
        <w:rPr>
          <w:color w:val="000000"/>
        </w:rPr>
      </w:r>
    </w:p>
    <w:p>
      <w:pPr>
        <w:pStyle w:val="Normal"/>
        <w:tabs>
          <w:tab w:val="clear" w:pos="567"/>
          <w:tab w:val="left" w:pos="1276" w:leader="none"/>
        </w:tabs>
        <w:spacing w:lineRule="atLeast" w:line="300"/>
        <w:jc w:val="both"/>
        <w:rPr/>
      </w:pPr>
      <w:r>
        <w:rPr>
          <w:i/>
          <w:color w:val="000000"/>
        </w:rPr>
        <w:t>Voir commentaires généraux sous H. 2.</w:t>
      </w:r>
    </w:p>
    <w:p>
      <w:pPr>
        <w:pStyle w:val="Normal"/>
        <w:tabs>
          <w:tab w:val="clear" w:pos="567"/>
          <w:tab w:val="left" w:pos="1276" w:leader="none"/>
        </w:tabs>
        <w:spacing w:lineRule="atLeast" w:line="300"/>
        <w:jc w:val="both"/>
        <w:rPr>
          <w:i/>
          <w:color w:val="000000"/>
        </w:rPr>
      </w:pPr>
      <w:r>
        <w:rPr>
          <w:i/>
          <w:color w:val="000000"/>
        </w:rPr>
      </w:r>
    </w:p>
    <w:p>
      <w:pPr>
        <w:pStyle w:val="Heading1"/>
        <w:ind w:hanging="0" w:start="0"/>
        <w:rPr/>
      </w:pPr>
      <w:r>
        <w:rPr/>
        <w:t>H. 2.5.1. descripTION</w:t>
      </w:r>
    </w:p>
    <w:p>
      <w:pPr>
        <w:pStyle w:val="Normal"/>
        <w:tabs>
          <w:tab w:val="clear" w:pos="567"/>
          <w:tab w:val="left" w:pos="1276" w:leader="none"/>
        </w:tabs>
        <w:spacing w:lineRule="atLeast" w:line="300"/>
        <w:jc w:val="both"/>
        <w:rPr>
          <w:color w:val="000000"/>
        </w:rPr>
      </w:pPr>
      <w:r>
        <w:rPr>
          <w:color w:val="000000"/>
        </w:rPr>
      </w:r>
    </w:p>
    <w:p>
      <w:pPr>
        <w:pStyle w:val="Puces2"/>
        <w:numPr>
          <w:ilvl w:val="0"/>
          <w:numId w:val="0"/>
        </w:numPr>
        <w:tabs>
          <w:tab w:val="clear" w:pos="284"/>
        </w:tabs>
        <w:ind w:hanging="0" w:start="0"/>
        <w:rPr/>
      </w:pPr>
      <w:r>
        <w:rPr/>
        <w:t>Définir les éventuelles dispositions particulières propres au marché: mode de fixation sur la glissière, distance entre les fixations, pièces spéciales éventuelles, tolérances géométriques particulières, courbes de faible rayon, extrémités, etc.</w:t>
      </w:r>
    </w:p>
    <w:p>
      <w:pPr>
        <w:pStyle w:val="Normal"/>
        <w:jc w:val="both"/>
        <w:rPr>
          <w:color w:val="000000"/>
        </w:rPr>
      </w:pPr>
      <w:r>
        <w:rPr>
          <w:color w:val="000000"/>
        </w:rPr>
      </w:r>
    </w:p>
    <w:p>
      <w:pPr>
        <w:pStyle w:val="Normal"/>
        <w:rPr>
          <w:b/>
          <w:color w:val="000000"/>
        </w:rPr>
      </w:pPr>
      <w:r>
        <w:rPr>
          <w:b/>
          <w:color w:val="000000"/>
        </w:rPr>
        <w:t>H. 2.5.2.1 MATERIAUX</w:t>
      </w:r>
    </w:p>
    <w:p>
      <w:pPr>
        <w:pStyle w:val="Normal"/>
        <w:tabs>
          <w:tab w:val="clear" w:pos="567"/>
          <w:tab w:val="left" w:pos="1276" w:leader="none"/>
        </w:tabs>
        <w:spacing w:lineRule="atLeast" w:line="300"/>
        <w:jc w:val="both"/>
        <w:rPr>
          <w:b/>
          <w:color w:val="000000"/>
        </w:rPr>
      </w:pPr>
      <w:r>
        <w:rPr>
          <w:b/>
          <w:color w:val="000000"/>
        </w:rPr>
      </w:r>
    </w:p>
    <w:p>
      <w:pPr>
        <w:pStyle w:val="Puces2"/>
        <w:numPr>
          <w:ilvl w:val="0"/>
          <w:numId w:val="0"/>
        </w:numPr>
        <w:tabs>
          <w:tab w:val="clear" w:pos="284"/>
        </w:tabs>
        <w:ind w:hanging="0" w:start="0"/>
        <w:rPr/>
      </w:pPr>
      <w:r>
        <w:rPr/>
        <w:t>Définir éventuellement:</w:t>
      </w:r>
    </w:p>
    <w:p>
      <w:pPr>
        <w:pStyle w:val="Puces2"/>
        <w:numPr>
          <w:ilvl w:val="0"/>
          <w:numId w:val="2"/>
        </w:numPr>
        <w:tabs>
          <w:tab w:val="clear" w:pos="284"/>
        </w:tabs>
        <w:ind w:hanging="0" w:start="0"/>
        <w:rPr/>
      </w:pPr>
      <w:r>
        <w:rPr/>
        <w:t>le matériau désiré: acier ou matière synthétique</w:t>
      </w:r>
    </w:p>
    <w:p>
      <w:pPr>
        <w:pStyle w:val="Puces2"/>
        <w:numPr>
          <w:ilvl w:val="0"/>
          <w:numId w:val="2"/>
        </w:numPr>
        <w:tabs>
          <w:tab w:val="clear" w:pos="284"/>
        </w:tabs>
        <w:ind w:hanging="0" w:start="0"/>
        <w:rPr/>
      </w:pPr>
      <w:r>
        <w:rPr/>
        <w:t>l’aspect visuel désiré: profil des lisses, teinte…</w:t>
      </w:r>
    </w:p>
    <w:p>
      <w:pPr>
        <w:pStyle w:val="Heading1"/>
        <w:ind w:hanging="0" w:start="0"/>
        <w:rPr/>
      </w:pPr>
      <w:r>
        <w:rPr/>
      </w:r>
    </w:p>
    <w:p>
      <w:pPr>
        <w:pStyle w:val="Heading1"/>
        <w:ind w:hanging="0" w:start="0"/>
        <w:rPr/>
      </w:pPr>
      <w:r>
        <w:rPr/>
        <w:t>H. 2.5.2.2.2. pose</w:t>
      </w:r>
    </w:p>
    <w:p>
      <w:pPr>
        <w:pStyle w:val="Normal"/>
        <w:tabs>
          <w:tab w:val="clear" w:pos="567"/>
          <w:tab w:val="left" w:pos="1276" w:leader="none"/>
        </w:tabs>
        <w:spacing w:lineRule="atLeast" w:line="300"/>
        <w:jc w:val="both"/>
        <w:rPr>
          <w:color w:val="000000"/>
        </w:rPr>
      </w:pPr>
      <w:r>
        <w:rPr>
          <w:color w:val="000000"/>
        </w:rPr>
      </w:r>
    </w:p>
    <w:p>
      <w:pPr>
        <w:pStyle w:val="Normal"/>
        <w:pBdr>
          <w:top w:val="single" w:sz="12" w:space="1" w:color="000000"/>
          <w:left w:val="single" w:sz="12" w:space="4" w:color="000000"/>
          <w:bottom w:val="single" w:sz="12" w:space="1" w:color="000000"/>
          <w:right w:val="single" w:sz="12" w:space="4" w:color="000000"/>
        </w:pBdr>
        <w:tabs>
          <w:tab w:val="clear" w:pos="567"/>
          <w:tab w:val="left" w:pos="1276" w:leader="none"/>
        </w:tabs>
        <w:spacing w:lineRule="atLeast" w:line="300"/>
        <w:jc w:val="both"/>
        <w:rPr/>
      </w:pPr>
      <w:r>
        <w:rPr>
          <w:color w:val="000000"/>
        </w:rPr>
        <w:t>Définir les éventuelles exigences particulières du marché relatives à la pose des lisses de sécurité pour motocyclistes.</w:t>
      </w:r>
    </w:p>
    <w:p>
      <w:pPr>
        <w:pStyle w:val="Normal"/>
        <w:tabs>
          <w:tab w:val="clear" w:pos="567"/>
          <w:tab w:val="left" w:pos="1276" w:leader="none"/>
        </w:tabs>
        <w:spacing w:lineRule="atLeast" w:line="300"/>
        <w:jc w:val="both"/>
        <w:rPr>
          <w:color w:val="000000"/>
        </w:rPr>
      </w:pPr>
      <w:r>
        <w:rPr>
          <w:color w:val="000000"/>
        </w:rPr>
      </w:r>
    </w:p>
    <w:p>
      <w:pPr>
        <w:pStyle w:val="Heading1"/>
        <w:ind w:hanging="0" w:start="0"/>
        <w:rPr/>
      </w:pPr>
      <w:r>
        <w:rPr/>
        <w:t>H. 2.5.3.1. reception technique préalable</w:t>
      </w:r>
    </w:p>
    <w:p>
      <w:pPr>
        <w:pStyle w:val="Normal"/>
        <w:rPr>
          <w:color w:val="000000"/>
        </w:rPr>
      </w:pPr>
      <w:r>
        <w:rPr>
          <w:color w:val="000000"/>
        </w:rPr>
      </w:r>
    </w:p>
    <w:p>
      <w:pPr>
        <w:pStyle w:val="Normal"/>
        <w:rPr/>
      </w:pPr>
      <w:r>
        <w:rPr>
          <w:i/>
          <w:color w:val="000000"/>
        </w:rPr>
        <w:t>L’attention est attirée sur les exigences du C. 36.3. notamment en ce qui concerne les documents à fournir par l’adjudicataire et le délai de fourniture de ces documents.</w:t>
      </w:r>
    </w:p>
    <w:p>
      <w:pPr>
        <w:pStyle w:val="Normal"/>
        <w:tabs>
          <w:tab w:val="clear" w:pos="567"/>
          <w:tab w:val="left" w:pos="1276" w:leader="none"/>
        </w:tabs>
        <w:spacing w:lineRule="atLeast" w:line="300"/>
        <w:jc w:val="both"/>
        <w:rPr>
          <w:i/>
          <w:color w:val="000000"/>
        </w:rPr>
      </w:pPr>
      <w:r>
        <w:rPr>
          <w:i/>
          <w:color w:val="000000"/>
        </w:rPr>
      </w:r>
    </w:p>
    <w:p>
      <w:pPr>
        <w:pStyle w:val="Normal"/>
        <w:tabs>
          <w:tab w:val="clear" w:pos="567"/>
          <w:tab w:val="left" w:pos="1276" w:leader="none"/>
        </w:tabs>
        <w:spacing w:lineRule="atLeast" w:line="300"/>
        <w:jc w:val="both"/>
        <w:rPr>
          <w:color w:val="000000"/>
        </w:rPr>
      </w:pPr>
      <w:r>
        <w:rPr>
          <w:color w:val="000000"/>
        </w:rPr>
      </w:r>
    </w:p>
    <w:p>
      <w:pPr>
        <w:pStyle w:val="Heading1"/>
        <w:ind w:hanging="0" w:start="0"/>
        <w:rPr/>
      </w:pPr>
      <w:r>
        <w:rPr/>
        <w:t>H. 2.6. traitement d’obstacles par attenuateurs de choc fixes</w:t>
      </w:r>
    </w:p>
    <w:p>
      <w:pPr>
        <w:pStyle w:val="Normal"/>
        <w:tabs>
          <w:tab w:val="clear" w:pos="567"/>
          <w:tab w:val="left" w:pos="1276" w:leader="none"/>
        </w:tabs>
        <w:spacing w:lineRule="atLeast" w:line="300"/>
        <w:jc w:val="both"/>
        <w:rPr>
          <w:color w:val="000000"/>
        </w:rPr>
      </w:pPr>
      <w:r>
        <w:rPr>
          <w:color w:val="000000"/>
        </w:rPr>
      </w:r>
    </w:p>
    <w:p>
      <w:pPr>
        <w:pStyle w:val="Normal"/>
        <w:tabs>
          <w:tab w:val="clear" w:pos="567"/>
          <w:tab w:val="left" w:pos="1276" w:leader="none"/>
        </w:tabs>
        <w:spacing w:lineRule="atLeast" w:line="300"/>
        <w:jc w:val="both"/>
        <w:rPr/>
      </w:pPr>
      <w:r>
        <w:rPr>
          <w:i/>
          <w:color w:val="000000"/>
        </w:rPr>
        <w:t>Voir commentaires généraux sous H. 2.</w:t>
      </w:r>
    </w:p>
    <w:p>
      <w:pPr>
        <w:pStyle w:val="Normal"/>
        <w:tabs>
          <w:tab w:val="clear" w:pos="567"/>
          <w:tab w:val="left" w:pos="1276" w:leader="none"/>
        </w:tabs>
        <w:spacing w:lineRule="atLeast" w:line="300"/>
        <w:jc w:val="both"/>
        <w:rPr>
          <w:i/>
          <w:color w:val="000000"/>
        </w:rPr>
      </w:pPr>
      <w:r>
        <w:rPr>
          <w:i/>
          <w:color w:val="000000"/>
        </w:rPr>
      </w:r>
    </w:p>
    <w:p>
      <w:pPr>
        <w:pStyle w:val="Heading1"/>
        <w:ind w:hanging="0" w:start="0"/>
        <w:rPr/>
      </w:pPr>
      <w:r>
        <w:rPr/>
        <w:t>H. 2.6.1. description</w:t>
      </w:r>
    </w:p>
    <w:p>
      <w:pPr>
        <w:pStyle w:val="Normal"/>
        <w:tabs>
          <w:tab w:val="clear" w:pos="567"/>
          <w:tab w:val="left" w:pos="1276" w:leader="none"/>
        </w:tabs>
        <w:spacing w:lineRule="atLeast" w:line="300"/>
        <w:jc w:val="both"/>
        <w:rPr>
          <w:color w:val="000000"/>
        </w:rPr>
      </w:pPr>
      <w:r>
        <w:rPr>
          <w:color w:val="000000"/>
        </w:rPr>
      </w:r>
    </w:p>
    <w:p>
      <w:pPr>
        <w:pStyle w:val="Puces2"/>
        <w:numPr>
          <w:ilvl w:val="0"/>
          <w:numId w:val="0"/>
        </w:numPr>
        <w:tabs>
          <w:tab w:val="clear" w:pos="284"/>
        </w:tabs>
        <w:ind w:hanging="0" w:start="0"/>
        <w:rPr/>
      </w:pPr>
      <w:r>
        <w:rPr/>
        <w:t>Définir:</w:t>
      </w:r>
    </w:p>
    <w:p>
      <w:pPr>
        <w:pStyle w:val="Puces2"/>
        <w:numPr>
          <w:ilvl w:val="0"/>
          <w:numId w:val="2"/>
        </w:numPr>
        <w:tabs>
          <w:tab w:val="clear" w:pos="284"/>
        </w:tabs>
        <w:ind w:hanging="0" w:start="0"/>
        <w:rPr/>
      </w:pPr>
      <w:r>
        <w:rPr/>
        <w:t>la largeur maximum en face avant et en face arrière</w:t>
      </w:r>
    </w:p>
    <w:p>
      <w:pPr>
        <w:pStyle w:val="Puces2"/>
        <w:numPr>
          <w:ilvl w:val="0"/>
          <w:numId w:val="2"/>
        </w:numPr>
        <w:tabs>
          <w:tab w:val="clear" w:pos="284"/>
        </w:tabs>
        <w:ind w:hanging="0" w:start="0"/>
        <w:rPr/>
      </w:pPr>
      <w:r>
        <w:rPr/>
        <w:t>la longueur maximum disponible</w:t>
      </w:r>
    </w:p>
    <w:p>
      <w:pPr>
        <w:pStyle w:val="Puces2"/>
        <w:numPr>
          <w:ilvl w:val="0"/>
          <w:numId w:val="2"/>
        </w:numPr>
        <w:tabs>
          <w:tab w:val="clear" w:pos="284"/>
        </w:tabs>
        <w:ind w:hanging="0" w:start="0"/>
        <w:rPr/>
      </w:pPr>
      <w:r>
        <w:rPr/>
        <w:t>la nature du sol sur lequel on installe l’atténuateur</w:t>
      </w:r>
    </w:p>
    <w:p>
      <w:pPr>
        <w:pStyle w:val="Puces2"/>
        <w:numPr>
          <w:ilvl w:val="0"/>
          <w:numId w:val="2"/>
        </w:numPr>
        <w:tabs>
          <w:tab w:val="clear" w:pos="284"/>
        </w:tabs>
        <w:ind w:hanging="0" w:start="0"/>
        <w:rPr/>
      </w:pPr>
      <w:r>
        <w:rPr/>
        <w:t>le caractère redirectif ou non</w:t>
      </w:r>
    </w:p>
    <w:p>
      <w:pPr>
        <w:pStyle w:val="Puces2"/>
        <w:numPr>
          <w:ilvl w:val="0"/>
          <w:numId w:val="2"/>
        </w:numPr>
        <w:tabs>
          <w:tab w:val="clear" w:pos="284"/>
        </w:tabs>
        <w:ind w:hanging="0" w:start="0"/>
        <w:rPr/>
      </w:pPr>
      <w:r>
        <w:rPr/>
        <w:t>la classe de vitesse (80, 100, 110)</w:t>
      </w:r>
    </w:p>
    <w:p>
      <w:pPr>
        <w:pStyle w:val="Puces2"/>
        <w:numPr>
          <w:ilvl w:val="0"/>
          <w:numId w:val="2"/>
        </w:numPr>
        <w:tabs>
          <w:tab w:val="clear" w:pos="284"/>
        </w:tabs>
        <w:ind w:hanging="0" w:start="0"/>
        <w:rPr/>
      </w:pPr>
      <w:r>
        <w:rPr/>
        <w:t>le niveau de sévérité de choc (A ou B)</w:t>
      </w:r>
    </w:p>
    <w:p>
      <w:pPr>
        <w:pStyle w:val="Puces2"/>
        <w:numPr>
          <w:ilvl w:val="0"/>
          <w:numId w:val="2"/>
        </w:numPr>
        <w:tabs>
          <w:tab w:val="clear" w:pos="284"/>
        </w:tabs>
        <w:ind w:hanging="0" w:start="0"/>
        <w:rPr/>
      </w:pPr>
      <w:r>
        <w:rPr/>
        <w:t>les éventuelles dispositions particulières propres au marché: pièces spéciales éventuelles, tolérances géométriques particulières, éventuellement le type d’atténuateur désiré (aspect visuel, matériaux constitutifs), etc.</w:t>
      </w:r>
    </w:p>
    <w:p>
      <w:pPr>
        <w:pStyle w:val="Normal"/>
        <w:tabs>
          <w:tab w:val="clear" w:pos="567"/>
          <w:tab w:val="left" w:pos="1276" w:leader="none"/>
        </w:tabs>
        <w:spacing w:lineRule="atLeast" w:line="300"/>
        <w:jc w:val="both"/>
        <w:rPr>
          <w:color w:val="000000"/>
        </w:rPr>
      </w:pPr>
      <w:r>
        <w:rPr>
          <w:color w:val="000000"/>
        </w:rPr>
      </w:r>
    </w:p>
    <w:p>
      <w:pPr>
        <w:pStyle w:val="Puces2"/>
        <w:numPr>
          <w:ilvl w:val="0"/>
          <w:numId w:val="0"/>
        </w:numPr>
        <w:tabs>
          <w:tab w:val="clear" w:pos="284"/>
        </w:tabs>
        <w:ind w:hanging="0" w:start="0"/>
        <w:rPr/>
      </w:pPr>
      <w:r>
        <w:rPr/>
        <w:t>Eventuellement, en fonction du site à équiper (type de voirie, espace disponible…) et des nécessités spécifiques, définir:</w:t>
      </w:r>
    </w:p>
    <w:p>
      <w:pPr>
        <w:pStyle w:val="Puces2"/>
        <w:numPr>
          <w:ilvl w:val="0"/>
          <w:numId w:val="2"/>
        </w:numPr>
        <w:tabs>
          <w:tab w:val="clear" w:pos="284"/>
        </w:tabs>
        <w:ind w:hanging="0" w:start="0"/>
        <w:rPr/>
      </w:pPr>
      <w:r>
        <w:rPr/>
        <w:t>la classe de déplacement latéral permanent (D1 à D8)</w:t>
      </w:r>
    </w:p>
    <w:p>
      <w:pPr>
        <w:pStyle w:val="Puces2"/>
        <w:numPr>
          <w:ilvl w:val="0"/>
          <w:numId w:val="2"/>
        </w:numPr>
        <w:tabs>
          <w:tab w:val="clear" w:pos="284"/>
        </w:tabs>
        <w:ind w:hanging="0" w:start="0"/>
        <w:rPr/>
      </w:pPr>
      <w:r>
        <w:rPr/>
        <w:t>la classe de zone de réorientation (Z1 à Z4) pour un atténuateur redirectif.</w:t>
      </w:r>
    </w:p>
    <w:p>
      <w:pPr>
        <w:pStyle w:val="Normal"/>
        <w:tabs>
          <w:tab w:val="clear" w:pos="567"/>
          <w:tab w:val="left" w:pos="1276" w:leader="none"/>
        </w:tabs>
        <w:spacing w:lineRule="atLeast" w:line="300"/>
        <w:jc w:val="both"/>
        <w:rPr>
          <w:b/>
          <w:caps/>
          <w:color w:val="000000"/>
        </w:rPr>
      </w:pPr>
      <w:r>
        <w:rPr>
          <w:b/>
          <w:caps/>
          <w:color w:val="000000"/>
        </w:rPr>
      </w:r>
    </w:p>
    <w:p>
      <w:pPr>
        <w:pStyle w:val="Heading1"/>
        <w:ind w:hanging="0" w:start="0"/>
        <w:rPr/>
      </w:pPr>
      <w:r>
        <w:rPr/>
        <w:t>H. 2.6.2.2.2. pose</w:t>
      </w:r>
    </w:p>
    <w:p>
      <w:pPr>
        <w:pStyle w:val="Normal"/>
        <w:tabs>
          <w:tab w:val="clear" w:pos="567"/>
          <w:tab w:val="left" w:pos="1276" w:leader="none"/>
        </w:tabs>
        <w:spacing w:lineRule="atLeast" w:line="300"/>
        <w:jc w:val="both"/>
        <w:rPr>
          <w:color w:val="000000"/>
        </w:rPr>
      </w:pPr>
      <w:r>
        <w:rPr>
          <w:color w:val="000000"/>
        </w:rPr>
      </w:r>
    </w:p>
    <w:p>
      <w:pPr>
        <w:pStyle w:val="Normal"/>
        <w:pBdr>
          <w:top w:val="single" w:sz="12" w:space="1" w:color="000000"/>
          <w:left w:val="single" w:sz="12" w:space="4" w:color="000000"/>
          <w:bottom w:val="single" w:sz="12" w:space="1" w:color="000000"/>
          <w:right w:val="single" w:sz="12" w:space="4" w:color="000000"/>
        </w:pBdr>
        <w:tabs>
          <w:tab w:val="clear" w:pos="567"/>
          <w:tab w:val="left" w:pos="1276" w:leader="none"/>
        </w:tabs>
        <w:spacing w:lineRule="atLeast" w:line="300"/>
        <w:jc w:val="both"/>
        <w:rPr/>
      </w:pPr>
      <w:r>
        <w:rPr>
          <w:color w:val="000000"/>
        </w:rPr>
        <w:t>Définir les éventuelles exigences particulières du marché relatives à la pose des atténuateurs.</w:t>
      </w:r>
    </w:p>
    <w:p>
      <w:pPr>
        <w:pStyle w:val="Normal"/>
        <w:tabs>
          <w:tab w:val="clear" w:pos="567"/>
          <w:tab w:val="left" w:pos="1276" w:leader="none"/>
        </w:tabs>
        <w:spacing w:lineRule="atLeast" w:line="300"/>
        <w:jc w:val="both"/>
        <w:rPr>
          <w:color w:val="000000"/>
        </w:rPr>
      </w:pPr>
      <w:r>
        <w:rPr>
          <w:color w:val="000000"/>
        </w:rPr>
      </w:r>
    </w:p>
    <w:p>
      <w:pPr>
        <w:pStyle w:val="Heading1"/>
        <w:ind w:hanging="0" w:start="0"/>
        <w:rPr/>
      </w:pPr>
      <w:r>
        <w:rPr/>
        <w:t>H. 2.6.3. verifications</w:t>
      </w:r>
    </w:p>
    <w:p>
      <w:pPr>
        <w:pStyle w:val="Normal"/>
        <w:rPr/>
      </w:pPr>
      <w:r>
        <w:rPr/>
      </w:r>
    </w:p>
    <w:p>
      <w:pPr>
        <w:pStyle w:val="Heading1"/>
        <w:ind w:hanging="0" w:start="0"/>
        <w:rPr/>
      </w:pPr>
      <w:r>
        <w:rPr/>
        <w:t>H. 2.6.3.1. reception technique préalable</w:t>
      </w:r>
    </w:p>
    <w:p>
      <w:pPr>
        <w:pStyle w:val="Normal"/>
        <w:rPr>
          <w:color w:val="000000"/>
        </w:rPr>
      </w:pPr>
      <w:r>
        <w:rPr>
          <w:color w:val="000000"/>
        </w:rPr>
      </w:r>
    </w:p>
    <w:p>
      <w:pPr>
        <w:pStyle w:val="Normal"/>
        <w:rPr/>
      </w:pPr>
      <w:r>
        <w:rPr>
          <w:i/>
          <w:color w:val="000000"/>
        </w:rPr>
        <w:t>L’attention est attirée sur les exigences du C. 37. notamment en ce qui concerne les documents à fournir par l’adjudicataire et le délai de fourniture de ces documents.</w:t>
      </w:r>
    </w:p>
    <w:p>
      <w:pPr>
        <w:pStyle w:val="Normal"/>
        <w:tabs>
          <w:tab w:val="clear" w:pos="567"/>
          <w:tab w:val="left" w:pos="0" w:leader="none"/>
          <w:tab w:val="left" w:pos="720" w:leader="none"/>
        </w:tabs>
        <w:spacing w:lineRule="atLeast" w:line="300"/>
        <w:jc w:val="both"/>
        <w:rPr>
          <w:i/>
          <w:color w:val="000000"/>
        </w:rPr>
      </w:pPr>
      <w:r>
        <w:rPr>
          <w:i/>
          <w:color w:val="000000"/>
        </w:rPr>
      </w:r>
    </w:p>
    <w:p>
      <w:pPr>
        <w:pStyle w:val="Normal"/>
        <w:tabs>
          <w:tab w:val="clear" w:pos="567"/>
          <w:tab w:val="left" w:pos="0" w:leader="none"/>
          <w:tab w:val="left" w:pos="720" w:leader="none"/>
        </w:tabs>
        <w:spacing w:lineRule="atLeast" w:line="300"/>
        <w:jc w:val="both"/>
        <w:rPr>
          <w:color w:val="000000"/>
        </w:rPr>
      </w:pPr>
      <w:r>
        <w:rPr>
          <w:color w:val="000000"/>
        </w:rPr>
      </w:r>
    </w:p>
    <w:p>
      <w:pPr>
        <w:pStyle w:val="Heading1"/>
        <w:ind w:hanging="0" w:start="0"/>
        <w:rPr/>
      </w:pPr>
      <w:r>
        <w:rPr/>
        <w:t>H. 2.7. traitement des debuts ou fins de files des dispositifs de retenue par des extremites testees</w:t>
      </w:r>
    </w:p>
    <w:p>
      <w:pPr>
        <w:pStyle w:val="Normal"/>
        <w:tabs>
          <w:tab w:val="clear" w:pos="567"/>
          <w:tab w:val="left" w:pos="1276" w:leader="none"/>
        </w:tabs>
        <w:spacing w:lineRule="atLeast" w:line="300"/>
        <w:jc w:val="both"/>
        <w:rPr>
          <w:color w:val="000000"/>
        </w:rPr>
      </w:pPr>
      <w:r>
        <w:rPr>
          <w:color w:val="000000"/>
        </w:rPr>
      </w:r>
    </w:p>
    <w:p>
      <w:pPr>
        <w:pStyle w:val="Normal"/>
        <w:tabs>
          <w:tab w:val="clear" w:pos="567"/>
          <w:tab w:val="left" w:pos="1276" w:leader="none"/>
        </w:tabs>
        <w:spacing w:lineRule="atLeast" w:line="300"/>
        <w:jc w:val="both"/>
        <w:rPr/>
      </w:pPr>
      <w:r>
        <w:rPr>
          <w:i/>
          <w:color w:val="000000"/>
        </w:rPr>
        <w:t>Voir commentaires généraux sous H. 2.</w:t>
      </w:r>
    </w:p>
    <w:p>
      <w:pPr>
        <w:pStyle w:val="Normal"/>
        <w:tabs>
          <w:tab w:val="clear" w:pos="567"/>
          <w:tab w:val="left" w:pos="1276" w:leader="none"/>
        </w:tabs>
        <w:spacing w:lineRule="atLeast" w:line="300"/>
        <w:jc w:val="both"/>
        <w:rPr>
          <w:i/>
          <w:color w:val="000000"/>
        </w:rPr>
      </w:pPr>
      <w:r>
        <w:rPr>
          <w:i/>
          <w:color w:val="000000"/>
        </w:rPr>
      </w:r>
    </w:p>
    <w:p>
      <w:pPr>
        <w:pStyle w:val="Heading1"/>
        <w:ind w:hanging="0" w:start="0"/>
        <w:rPr/>
      </w:pPr>
      <w:r>
        <w:rPr/>
        <w:t>H. 2.7.1. descripTION</w:t>
      </w:r>
    </w:p>
    <w:p>
      <w:pPr>
        <w:pStyle w:val="Normal"/>
        <w:tabs>
          <w:tab w:val="clear" w:pos="567"/>
          <w:tab w:val="left" w:pos="1276" w:leader="none"/>
        </w:tabs>
        <w:spacing w:lineRule="atLeast" w:line="300"/>
        <w:jc w:val="both"/>
        <w:rPr>
          <w:color w:val="000000"/>
        </w:rPr>
      </w:pPr>
      <w:r>
        <w:rPr>
          <w:color w:val="000000"/>
        </w:rPr>
      </w:r>
    </w:p>
    <w:p>
      <w:pPr>
        <w:pStyle w:val="Puces2"/>
        <w:numPr>
          <w:ilvl w:val="0"/>
          <w:numId w:val="0"/>
        </w:numPr>
        <w:tabs>
          <w:tab w:val="clear" w:pos="284"/>
        </w:tabs>
        <w:ind w:hanging="0" w:start="0"/>
        <w:rPr/>
      </w:pPr>
      <w:r>
        <w:rPr/>
        <w:t>Définir:</w:t>
      </w:r>
    </w:p>
    <w:p>
      <w:pPr>
        <w:pStyle w:val="Puces2"/>
        <w:numPr>
          <w:ilvl w:val="0"/>
          <w:numId w:val="2"/>
        </w:numPr>
        <w:tabs>
          <w:tab w:val="clear" w:pos="284"/>
        </w:tabs>
        <w:ind w:hanging="0" w:start="0"/>
        <w:rPr/>
      </w:pPr>
      <w:r>
        <w:rPr/>
        <w:t>la classe de performance (P2, P3 ou P4)</w:t>
      </w:r>
    </w:p>
    <w:p>
      <w:pPr>
        <w:pStyle w:val="Puces2"/>
        <w:numPr>
          <w:ilvl w:val="0"/>
          <w:numId w:val="2"/>
        </w:numPr>
        <w:tabs>
          <w:tab w:val="clear" w:pos="284"/>
        </w:tabs>
        <w:ind w:hanging="0" w:start="0"/>
        <w:rPr/>
      </w:pPr>
      <w:r>
        <w:rPr/>
        <w:t>le niveau de sévérité de choc (A ou B)</w:t>
      </w:r>
    </w:p>
    <w:p>
      <w:pPr>
        <w:pStyle w:val="Puces2"/>
        <w:numPr>
          <w:ilvl w:val="0"/>
          <w:numId w:val="2"/>
        </w:numPr>
        <w:tabs>
          <w:tab w:val="clear" w:pos="284"/>
        </w:tabs>
        <w:ind w:hanging="0" w:start="0"/>
        <w:rPr/>
      </w:pPr>
      <w:r>
        <w:rPr/>
        <w:t>les éventuelles dispositions particulières propres au marché: pièces spéciales éventuelles, tolérances géométriques particulières, éventuellement le type d’extrémité désiré (aspect visuel, matériaux constitutifs), etc.</w:t>
      </w:r>
    </w:p>
    <w:p>
      <w:pPr>
        <w:pStyle w:val="Normal"/>
        <w:tabs>
          <w:tab w:val="clear" w:pos="567"/>
          <w:tab w:val="left" w:pos="1276" w:leader="none"/>
        </w:tabs>
        <w:spacing w:lineRule="atLeast" w:line="300"/>
        <w:jc w:val="both"/>
        <w:rPr>
          <w:color w:val="000000"/>
        </w:rPr>
      </w:pPr>
      <w:r>
        <w:rPr>
          <w:color w:val="000000"/>
        </w:rPr>
      </w:r>
    </w:p>
    <w:p>
      <w:pPr>
        <w:pStyle w:val="Puces2"/>
        <w:numPr>
          <w:ilvl w:val="0"/>
          <w:numId w:val="0"/>
        </w:numPr>
        <w:tabs>
          <w:tab w:val="clear" w:pos="284"/>
        </w:tabs>
        <w:ind w:hanging="0" w:start="0"/>
        <w:rPr/>
      </w:pPr>
      <w:r>
        <w:rPr/>
        <w:t xml:space="preserve">Eventuellement, en fonction du site à équiper (type de voirie, espace disponible…) et des nécessités spécifiques, </w:t>
      </w:r>
    </w:p>
    <w:p>
      <w:pPr>
        <w:pStyle w:val="Puces2"/>
        <w:numPr>
          <w:ilvl w:val="0"/>
          <w:numId w:val="2"/>
        </w:numPr>
        <w:tabs>
          <w:tab w:val="clear" w:pos="284"/>
        </w:tabs>
        <w:ind w:hanging="0" w:start="0"/>
        <w:rPr/>
      </w:pPr>
      <w:r>
        <w:rPr/>
        <w:t>la classe de déplacement latéral (x1 à x3, y1 à y4)</w:t>
      </w:r>
    </w:p>
    <w:p>
      <w:pPr>
        <w:pStyle w:val="Puces2"/>
        <w:numPr>
          <w:ilvl w:val="0"/>
          <w:numId w:val="2"/>
        </w:numPr>
        <w:tabs>
          <w:tab w:val="clear" w:pos="284"/>
        </w:tabs>
        <w:ind w:hanging="0" w:start="0"/>
        <w:rPr/>
      </w:pPr>
      <w:r>
        <w:rPr/>
        <w:t>la classe de zone de sortie du véhicule (Z1 à Z4)</w:t>
      </w:r>
    </w:p>
    <w:p>
      <w:pPr>
        <w:pStyle w:val="Normal"/>
        <w:tabs>
          <w:tab w:val="clear" w:pos="567"/>
          <w:tab w:val="left" w:pos="1276" w:leader="none"/>
        </w:tabs>
        <w:spacing w:lineRule="atLeast" w:line="300"/>
        <w:jc w:val="both"/>
        <w:rPr>
          <w:b/>
          <w:caps/>
          <w:color w:val="000000"/>
        </w:rPr>
      </w:pPr>
      <w:r>
        <w:rPr>
          <w:b/>
          <w:caps/>
          <w:color w:val="000000"/>
        </w:rPr>
      </w:r>
    </w:p>
    <w:p>
      <w:pPr>
        <w:pStyle w:val="Normal"/>
        <w:tabs>
          <w:tab w:val="clear" w:pos="567"/>
          <w:tab w:val="left" w:pos="1276" w:leader="none"/>
        </w:tabs>
        <w:spacing w:lineRule="atLeast" w:line="300"/>
        <w:jc w:val="both"/>
        <w:rPr>
          <w:b/>
          <w:color w:val="000000"/>
        </w:rPr>
      </w:pPr>
      <w:r>
        <w:rPr>
          <w:b/>
          <w:color w:val="000000"/>
        </w:rPr>
        <w:t>H. 2.7.2.2.2. POSE</w:t>
      </w:r>
    </w:p>
    <w:p>
      <w:pPr>
        <w:pStyle w:val="Normal"/>
        <w:tabs>
          <w:tab w:val="clear" w:pos="567"/>
          <w:tab w:val="left" w:pos="1276" w:leader="none"/>
        </w:tabs>
        <w:spacing w:lineRule="atLeast" w:line="300"/>
        <w:jc w:val="both"/>
        <w:rPr>
          <w:b/>
          <w:color w:val="000000"/>
        </w:rPr>
      </w:pPr>
      <w:r>
        <w:rPr>
          <w:b/>
          <w:color w:val="000000"/>
        </w:rPr>
      </w:r>
    </w:p>
    <w:p>
      <w:pPr>
        <w:pStyle w:val="Normal"/>
        <w:pBdr>
          <w:top w:val="single" w:sz="12" w:space="1" w:color="000000"/>
          <w:left w:val="single" w:sz="12" w:space="4" w:color="000000"/>
          <w:bottom w:val="single" w:sz="12" w:space="1" w:color="000000"/>
          <w:right w:val="single" w:sz="12" w:space="4" w:color="000000"/>
        </w:pBdr>
        <w:tabs>
          <w:tab w:val="clear" w:pos="567"/>
          <w:tab w:val="left" w:pos="1276" w:leader="none"/>
        </w:tabs>
        <w:spacing w:lineRule="atLeast" w:line="300"/>
        <w:jc w:val="both"/>
        <w:rPr/>
      </w:pPr>
      <w:r>
        <w:rPr>
          <w:color w:val="000000"/>
        </w:rPr>
        <w:t>Définir les éventuelles exigences particulières du marché relatives à la pose des extrémités testées.</w:t>
      </w:r>
    </w:p>
    <w:p>
      <w:pPr>
        <w:pStyle w:val="Normal"/>
        <w:tabs>
          <w:tab w:val="clear" w:pos="567"/>
          <w:tab w:val="left" w:pos="1276" w:leader="none"/>
        </w:tabs>
        <w:spacing w:lineRule="atLeast" w:line="300"/>
        <w:jc w:val="both"/>
        <w:rPr>
          <w:color w:val="000000"/>
        </w:rPr>
      </w:pPr>
      <w:r>
        <w:rPr>
          <w:color w:val="000000"/>
        </w:rPr>
      </w:r>
    </w:p>
    <w:p>
      <w:pPr>
        <w:pStyle w:val="Normal"/>
        <w:tabs>
          <w:tab w:val="clear" w:pos="567"/>
          <w:tab w:val="left" w:pos="1276" w:leader="none"/>
        </w:tabs>
        <w:spacing w:lineRule="atLeast" w:line="300"/>
        <w:jc w:val="both"/>
        <w:rPr>
          <w:color w:val="000000"/>
        </w:rPr>
      </w:pPr>
      <w:r>
        <w:rPr>
          <w:color w:val="000000"/>
        </w:rPr>
      </w:r>
    </w:p>
    <w:p>
      <w:pPr>
        <w:pStyle w:val="Heading1"/>
        <w:ind w:hanging="0" w:start="0"/>
        <w:rPr/>
      </w:pPr>
      <w:r>
        <w:rPr/>
        <w:t>H. 2.7.3.1. reception technique prealable</w:t>
      </w:r>
    </w:p>
    <w:p>
      <w:pPr>
        <w:pStyle w:val="Normal"/>
        <w:rPr>
          <w:color w:val="000000"/>
        </w:rPr>
      </w:pPr>
      <w:r>
        <w:rPr>
          <w:color w:val="000000"/>
        </w:rPr>
      </w:r>
    </w:p>
    <w:p>
      <w:pPr>
        <w:pStyle w:val="Normal"/>
        <w:rPr/>
      </w:pPr>
      <w:r>
        <w:rPr>
          <w:i/>
          <w:color w:val="000000"/>
        </w:rPr>
        <w:t>L’attention est attirée sur les exigences du C. 36.4. notamment en ce qui concerne les documents à fournir par l’adjudicataire et le délai de fourniture de ces documents.</w:t>
      </w:r>
    </w:p>
    <w:p>
      <w:pPr>
        <w:pStyle w:val="Normal"/>
        <w:tabs>
          <w:tab w:val="clear" w:pos="567"/>
          <w:tab w:val="left" w:pos="0" w:leader="none"/>
          <w:tab w:val="left" w:pos="720" w:leader="none"/>
        </w:tabs>
        <w:spacing w:lineRule="atLeast" w:line="300"/>
        <w:jc w:val="both"/>
        <w:rPr>
          <w:i/>
          <w:color w:val="000000"/>
        </w:rPr>
      </w:pPr>
      <w:r>
        <w:rPr>
          <w:i/>
          <w:color w:val="000000"/>
        </w:rPr>
      </w:r>
    </w:p>
    <w:p>
      <w:pPr>
        <w:pStyle w:val="Normal"/>
        <w:tabs>
          <w:tab w:val="clear" w:pos="567"/>
          <w:tab w:val="left" w:pos="0" w:leader="none"/>
          <w:tab w:val="left" w:pos="720" w:leader="none"/>
        </w:tabs>
        <w:spacing w:lineRule="atLeast" w:line="300"/>
        <w:jc w:val="both"/>
        <w:rPr>
          <w:color w:val="000000"/>
        </w:rPr>
      </w:pPr>
      <w:r>
        <w:rPr>
          <w:color w:val="000000"/>
        </w:rPr>
      </w:r>
    </w:p>
    <w:p>
      <w:pPr>
        <w:pStyle w:val="Heading1"/>
        <w:ind w:hanging="0" w:start="0"/>
        <w:rPr/>
      </w:pPr>
      <w:r>
        <w:rPr/>
        <w:t>H. 2.8. ELEMENTS DE RACCORDEMENT</w:t>
      </w:r>
    </w:p>
    <w:p>
      <w:pPr>
        <w:pStyle w:val="Normal"/>
        <w:tabs>
          <w:tab w:val="clear" w:pos="567"/>
          <w:tab w:val="left" w:pos="1276" w:leader="none"/>
        </w:tabs>
        <w:spacing w:lineRule="atLeast" w:line="300"/>
        <w:jc w:val="both"/>
        <w:rPr>
          <w:color w:val="000000"/>
        </w:rPr>
      </w:pPr>
      <w:r>
        <w:rPr>
          <w:color w:val="000000"/>
        </w:rPr>
      </w:r>
    </w:p>
    <w:p>
      <w:pPr>
        <w:pStyle w:val="Normal"/>
        <w:tabs>
          <w:tab w:val="clear" w:pos="567"/>
          <w:tab w:val="left" w:pos="1276" w:leader="none"/>
        </w:tabs>
        <w:spacing w:lineRule="atLeast" w:line="300"/>
        <w:jc w:val="both"/>
        <w:rPr/>
      </w:pPr>
      <w:r>
        <w:rPr>
          <w:i/>
          <w:color w:val="000000"/>
        </w:rPr>
        <w:t>Voir commentaires généraux sous H. 2.</w:t>
      </w:r>
    </w:p>
    <w:p>
      <w:pPr>
        <w:pStyle w:val="Normal"/>
        <w:tabs>
          <w:tab w:val="clear" w:pos="567"/>
          <w:tab w:val="left" w:pos="1276" w:leader="none"/>
        </w:tabs>
        <w:spacing w:lineRule="atLeast" w:line="300"/>
        <w:jc w:val="both"/>
        <w:rPr>
          <w:i/>
          <w:color w:val="000000"/>
        </w:rPr>
      </w:pPr>
      <w:r>
        <w:rPr>
          <w:i/>
          <w:color w:val="000000"/>
        </w:rPr>
      </w:r>
    </w:p>
    <w:p>
      <w:pPr>
        <w:pStyle w:val="Normal"/>
        <w:tabs>
          <w:tab w:val="clear" w:pos="567"/>
          <w:tab w:val="left" w:pos="1276" w:leader="none"/>
        </w:tabs>
        <w:spacing w:lineRule="atLeast" w:line="300"/>
        <w:jc w:val="both"/>
        <w:rPr/>
      </w:pPr>
      <w:r>
        <w:rPr>
          <w:i/>
          <w:color w:val="000000"/>
        </w:rPr>
        <w:t>Pour les raccordements, comme le prévoit l’O.S.DGO1.20-17.1, les indices de choc A, B et C sont autorisés. Le niveau C est donc autorisé, la préférence allant aux raccordements de niveau A ou B.</w:t>
      </w:r>
    </w:p>
    <w:p>
      <w:pPr>
        <w:pStyle w:val="Normal"/>
        <w:tabs>
          <w:tab w:val="clear" w:pos="567"/>
          <w:tab w:val="left" w:pos="1276" w:leader="none"/>
        </w:tabs>
        <w:spacing w:lineRule="atLeast" w:line="300"/>
        <w:jc w:val="both"/>
        <w:rPr>
          <w:i/>
          <w:color w:val="000000"/>
        </w:rPr>
      </w:pPr>
      <w:r>
        <w:rPr>
          <w:i/>
          <w:color w:val="000000"/>
        </w:rPr>
      </w:r>
    </w:p>
    <w:p>
      <w:pPr>
        <w:pStyle w:val="Heading1"/>
        <w:ind w:hanging="0" w:start="0"/>
        <w:rPr/>
      </w:pPr>
      <w:r>
        <w:rPr/>
        <w:t>H. 2.8.1. descripTION</w:t>
      </w:r>
    </w:p>
    <w:p>
      <w:pPr>
        <w:pStyle w:val="Normal"/>
        <w:tabs>
          <w:tab w:val="clear" w:pos="567"/>
          <w:tab w:val="left" w:pos="1276" w:leader="none"/>
        </w:tabs>
        <w:spacing w:lineRule="atLeast" w:line="300"/>
        <w:jc w:val="both"/>
        <w:rPr>
          <w:color w:val="000000"/>
        </w:rPr>
      </w:pPr>
      <w:r>
        <w:rPr>
          <w:color w:val="000000"/>
        </w:rPr>
      </w:r>
    </w:p>
    <w:p>
      <w:pPr>
        <w:pStyle w:val="Puces2"/>
        <w:numPr>
          <w:ilvl w:val="0"/>
          <w:numId w:val="0"/>
        </w:numPr>
        <w:tabs>
          <w:tab w:val="clear" w:pos="284"/>
        </w:tabs>
        <w:ind w:hanging="0" w:start="0"/>
        <w:rPr/>
      </w:pPr>
      <w:r>
        <w:rPr/>
        <w:t>Définir les types de transitions nécessaires:</w:t>
      </w:r>
    </w:p>
    <w:p>
      <w:pPr>
        <w:pStyle w:val="Puces2"/>
        <w:numPr>
          <w:ilvl w:val="0"/>
          <w:numId w:val="2"/>
        </w:numPr>
        <w:tabs>
          <w:tab w:val="clear" w:pos="284"/>
        </w:tabs>
        <w:ind w:hanging="0" w:start="0"/>
        <w:rPr/>
      </w:pPr>
      <w:r>
        <w:rPr/>
        <w:t>acier – acier</w:t>
      </w:r>
    </w:p>
    <w:p>
      <w:pPr>
        <w:pStyle w:val="Puces2"/>
        <w:numPr>
          <w:ilvl w:val="0"/>
          <w:numId w:val="2"/>
        </w:numPr>
        <w:tabs>
          <w:tab w:val="clear" w:pos="284"/>
        </w:tabs>
        <w:ind w:hanging="0" w:start="0"/>
        <w:rPr/>
      </w:pPr>
      <w:r>
        <w:rPr/>
        <w:t>acier – béton préfabriqué</w:t>
      </w:r>
    </w:p>
    <w:p>
      <w:pPr>
        <w:pStyle w:val="Puces2"/>
        <w:numPr>
          <w:ilvl w:val="0"/>
          <w:numId w:val="2"/>
        </w:numPr>
        <w:tabs>
          <w:tab w:val="clear" w:pos="284"/>
        </w:tabs>
        <w:ind w:hanging="0" w:start="0"/>
        <w:rPr/>
      </w:pPr>
      <w:r>
        <w:rPr/>
        <w:t>acier – béton coulé en place</w:t>
      </w:r>
    </w:p>
    <w:p>
      <w:pPr>
        <w:pStyle w:val="Puces2"/>
        <w:numPr>
          <w:ilvl w:val="0"/>
          <w:numId w:val="2"/>
        </w:numPr>
        <w:tabs>
          <w:tab w:val="clear" w:pos="284"/>
        </w:tabs>
        <w:ind w:hanging="0" w:start="0"/>
        <w:rPr/>
      </w:pPr>
      <w:r>
        <w:rPr/>
        <w:t>béton préfabriqué – béton coulé en place</w:t>
      </w:r>
    </w:p>
    <w:p>
      <w:pPr>
        <w:pStyle w:val="Puces2"/>
        <w:numPr>
          <w:ilvl w:val="0"/>
          <w:numId w:val="0"/>
        </w:numPr>
        <w:tabs>
          <w:tab w:val="clear" w:pos="284"/>
        </w:tabs>
        <w:ind w:hanging="0" w:start="0"/>
        <w:rPr/>
      </w:pPr>
      <w:r>
        <w:rPr/>
      </w:r>
    </w:p>
    <w:p>
      <w:pPr>
        <w:pStyle w:val="Puces2"/>
        <w:numPr>
          <w:ilvl w:val="0"/>
          <w:numId w:val="0"/>
        </w:numPr>
        <w:tabs>
          <w:tab w:val="clear" w:pos="284"/>
        </w:tabs>
        <w:ind w:hanging="0" w:start="0"/>
        <w:rPr/>
      </w:pPr>
      <w:r>
        <w:rPr/>
        <w:t>Définir le matériau constitutif, le niveau de retenue et la déflexion dynamique du dispositif aval et du dispositif amont à raccorder (pour les dispositifs conformes aux normes NBN EN 1317).</w:t>
      </w:r>
    </w:p>
    <w:p>
      <w:pPr>
        <w:pStyle w:val="Puces2"/>
        <w:numPr>
          <w:ilvl w:val="0"/>
          <w:numId w:val="0"/>
        </w:numPr>
        <w:tabs>
          <w:tab w:val="clear" w:pos="284"/>
        </w:tabs>
        <w:ind w:hanging="0" w:start="0"/>
        <w:rPr/>
      </w:pPr>
      <w:r>
        <w:rPr/>
      </w:r>
    </w:p>
    <w:p>
      <w:pPr>
        <w:pStyle w:val="Normal"/>
        <w:rPr>
          <w:color w:val="000000"/>
        </w:rPr>
      </w:pPr>
      <w:r>
        <w:rPr>
          <w:color w:val="000000"/>
        </w:rPr>
      </w:r>
    </w:p>
    <w:p>
      <w:pPr>
        <w:pStyle w:val="Normal"/>
        <w:jc w:val="both"/>
        <w:rPr>
          <w:i/>
          <w:iCs/>
          <w:color w:val="FF0000"/>
        </w:rPr>
      </w:pPr>
      <w:r>
        <w:rPr>
          <w:i/>
          <w:iCs/>
          <w:color w:val="FF0000"/>
        </w:rPr>
        <w:t>Pour chaque transition, il est nécessaire que les documents du marché définissent de façon claire et complète les caractéristiques des deux dispositifs de retenue à raccorder en précisant celui qui sera à l’amont et celui qui sera à l’aval par rapport au sens de la circulation.</w:t>
      </w:r>
    </w:p>
    <w:p>
      <w:pPr>
        <w:pStyle w:val="Normal"/>
        <w:rPr>
          <w:i/>
          <w:iCs/>
          <w:color w:val="FF0000"/>
        </w:rPr>
      </w:pPr>
      <w:r>
        <w:rPr>
          <w:i/>
          <w:iCs/>
          <w:color w:val="FF0000"/>
        </w:rPr>
        <w:t>Sans cela, les soumissionnaires ne pourront pas valablement calculer leurs prix.</w:t>
      </w:r>
    </w:p>
    <w:p>
      <w:pPr>
        <w:pStyle w:val="Normal"/>
        <w:jc w:val="both"/>
        <w:rPr>
          <w:i/>
          <w:iCs/>
          <w:color w:val="FF0000"/>
        </w:rPr>
      </w:pPr>
      <w:r>
        <w:rPr>
          <w:i/>
          <w:iCs/>
          <w:color w:val="FF0000"/>
        </w:rPr>
        <w:t>En fonction des dispositifs à raccorder et de leur positions (amont ou aval), le prix d’une transition peut varier entre 300 et 11 000 euros. Une transition N2 amont vers H2 aval peut coûter dix fois plus cher qu’une transition H2 amont vers N2 aval.</w:t>
      </w:r>
    </w:p>
    <w:p>
      <w:pPr>
        <w:pStyle w:val="Normal"/>
        <w:rPr>
          <w:i/>
          <w:iCs/>
          <w:color w:val="000000"/>
        </w:rPr>
      </w:pPr>
      <w:r>
        <w:rPr>
          <w:i/>
          <w:iCs/>
          <w:color w:val="000000"/>
        </w:rPr>
      </w:r>
    </w:p>
    <w:p>
      <w:pPr>
        <w:pStyle w:val="Heading1"/>
        <w:ind w:hanging="0" w:start="0"/>
        <w:rPr/>
      </w:pPr>
      <w:r>
        <w:rPr/>
        <w:t>H. 2.9. catadioptre pour dispositifs de retenue</w:t>
      </w:r>
    </w:p>
    <w:p>
      <w:pPr>
        <w:pStyle w:val="Normal"/>
        <w:rPr>
          <w:color w:val="000000"/>
        </w:rPr>
      </w:pPr>
      <w:r>
        <w:rPr>
          <w:color w:val="000000"/>
        </w:rPr>
      </w:r>
    </w:p>
    <w:p>
      <w:pPr>
        <w:pStyle w:val="Heading1"/>
        <w:ind w:hanging="0" w:start="0"/>
        <w:rPr/>
      </w:pPr>
      <w:r>
        <w:rPr/>
        <w:t>H. 2.9.1. descripTION</w:t>
      </w:r>
    </w:p>
    <w:p>
      <w:pPr>
        <w:pStyle w:val="Normal"/>
        <w:tabs>
          <w:tab w:val="clear" w:pos="567"/>
          <w:tab w:val="left" w:pos="1276" w:leader="none"/>
        </w:tabs>
        <w:spacing w:lineRule="atLeast" w:line="300"/>
        <w:jc w:val="both"/>
        <w:rPr>
          <w:color w:val="000000"/>
        </w:rPr>
      </w:pPr>
      <w:r>
        <w:rPr>
          <w:color w:val="000000"/>
        </w:rPr>
      </w:r>
    </w:p>
    <w:p>
      <w:pPr>
        <w:pStyle w:val="Normal"/>
        <w:pBdr>
          <w:top w:val="single" w:sz="12" w:space="1" w:color="000000"/>
          <w:left w:val="single" w:sz="12" w:space="4" w:color="000000"/>
          <w:bottom w:val="single" w:sz="12" w:space="1" w:color="000000"/>
          <w:right w:val="single" w:sz="12" w:space="4" w:color="000000"/>
        </w:pBdr>
        <w:tabs>
          <w:tab w:val="clear" w:pos="567"/>
          <w:tab w:val="left" w:pos="1276" w:leader="none"/>
        </w:tabs>
        <w:spacing w:lineRule="atLeast" w:line="300"/>
        <w:jc w:val="both"/>
        <w:rPr/>
      </w:pPr>
      <w:r>
        <w:rPr>
          <w:color w:val="000000"/>
        </w:rPr>
        <w:t>Définir les éventuelles caractéristiques spécifiques au marché: dimensions, géométrie, fixations.</w:t>
      </w:r>
    </w:p>
    <w:p>
      <w:pPr>
        <w:pStyle w:val="Normal"/>
        <w:tabs>
          <w:tab w:val="clear" w:pos="567"/>
          <w:tab w:val="left" w:pos="1276" w:leader="none"/>
        </w:tabs>
        <w:spacing w:lineRule="atLeast" w:line="300"/>
        <w:jc w:val="both"/>
        <w:rPr>
          <w:color w:val="000000"/>
        </w:rPr>
      </w:pPr>
      <w:r>
        <w:rPr>
          <w:color w:val="000000"/>
        </w:rPr>
      </w:r>
    </w:p>
    <w:p>
      <w:pPr>
        <w:pStyle w:val="Heading1"/>
        <w:ind w:hanging="0" w:start="0"/>
        <w:rPr/>
      </w:pPr>
      <w:r>
        <w:rPr/>
        <w:t>H. 2.9.3. execution</w:t>
      </w:r>
    </w:p>
    <w:p>
      <w:pPr>
        <w:pStyle w:val="Normal"/>
        <w:tabs>
          <w:tab w:val="clear" w:pos="567"/>
          <w:tab w:val="left" w:pos="1276" w:leader="none"/>
        </w:tabs>
        <w:spacing w:lineRule="atLeast" w:line="300"/>
        <w:jc w:val="both"/>
        <w:rPr>
          <w:color w:val="000000"/>
        </w:rPr>
      </w:pPr>
      <w:r>
        <w:rPr>
          <w:color w:val="000000"/>
        </w:rPr>
      </w:r>
    </w:p>
    <w:p>
      <w:pPr>
        <w:pStyle w:val="Normal"/>
        <w:pBdr>
          <w:top w:val="single" w:sz="12" w:space="1" w:color="000000"/>
          <w:left w:val="single" w:sz="12" w:space="4" w:color="000000"/>
          <w:bottom w:val="single" w:sz="12" w:space="1" w:color="000000"/>
          <w:right w:val="single" w:sz="12" w:space="4" w:color="000000"/>
        </w:pBdr>
        <w:tabs>
          <w:tab w:val="clear" w:pos="567"/>
          <w:tab w:val="left" w:pos="1276" w:leader="none"/>
        </w:tabs>
        <w:spacing w:lineRule="atLeast" w:line="300"/>
        <w:jc w:val="both"/>
        <w:rPr/>
      </w:pPr>
      <w:r>
        <w:rPr>
          <w:color w:val="000000"/>
        </w:rPr>
        <w:t>Définir la distance entre catadioptres si elle est différente de la valeur par défaut reprise dans le CCT Qualiroutes.</w:t>
      </w:r>
    </w:p>
    <w:p>
      <w:pPr>
        <w:pStyle w:val="Normal"/>
        <w:tabs>
          <w:tab w:val="clear" w:pos="567"/>
          <w:tab w:val="left" w:pos="1276" w:leader="none"/>
        </w:tabs>
        <w:spacing w:lineRule="atLeast" w:line="300"/>
        <w:jc w:val="both"/>
        <w:rPr>
          <w:color w:val="000000"/>
        </w:rPr>
      </w:pPr>
      <w:r>
        <w:rPr>
          <w:color w:val="000000"/>
        </w:rPr>
      </w:r>
    </w:p>
    <w:p>
      <w:pPr>
        <w:pStyle w:val="Normal"/>
        <w:tabs>
          <w:tab w:val="clear" w:pos="567"/>
          <w:tab w:val="left" w:pos="0" w:leader="none"/>
          <w:tab w:val="left" w:pos="720" w:leader="none"/>
        </w:tabs>
        <w:spacing w:lineRule="atLeast" w:line="300"/>
        <w:jc w:val="both"/>
        <w:rPr>
          <w:color w:val="000000"/>
        </w:rPr>
      </w:pPr>
      <w:r>
        <w:rPr>
          <w:color w:val="000000"/>
        </w:rPr>
      </w:r>
    </w:p>
    <w:p>
      <w:pPr>
        <w:pStyle w:val="Normal"/>
        <w:tabs>
          <w:tab w:val="clear" w:pos="567"/>
          <w:tab w:val="left" w:pos="0" w:leader="none"/>
          <w:tab w:val="left" w:pos="720" w:leader="none"/>
        </w:tabs>
        <w:spacing w:lineRule="atLeast" w:line="300"/>
        <w:jc w:val="both"/>
        <w:rPr>
          <w:color w:val="000000"/>
        </w:rPr>
      </w:pPr>
      <w:r>
        <w:rPr>
          <w:color w:val="000000"/>
        </w:rPr>
      </w:r>
    </w:p>
    <w:p>
      <w:pPr>
        <w:pStyle w:val="Heading1"/>
        <w:ind w:hanging="0" w:start="0"/>
        <w:rPr/>
      </w:pPr>
      <w:r>
        <w:rPr/>
        <w:t>H. 2.10. ISSUES DE SECOURS</w:t>
      </w:r>
    </w:p>
    <w:p>
      <w:pPr>
        <w:pStyle w:val="Normal"/>
        <w:tabs>
          <w:tab w:val="clear" w:pos="567"/>
          <w:tab w:val="left" w:pos="1276" w:leader="none"/>
        </w:tabs>
        <w:spacing w:lineRule="atLeast" w:line="300"/>
        <w:jc w:val="both"/>
        <w:rPr>
          <w:color w:val="000000"/>
        </w:rPr>
      </w:pPr>
      <w:r>
        <w:rPr>
          <w:color w:val="000000"/>
        </w:rPr>
      </w:r>
    </w:p>
    <w:p>
      <w:pPr>
        <w:pStyle w:val="Normal"/>
        <w:tabs>
          <w:tab w:val="clear" w:pos="567"/>
          <w:tab w:val="left" w:pos="1276" w:leader="none"/>
        </w:tabs>
        <w:spacing w:lineRule="atLeast" w:line="300"/>
        <w:jc w:val="both"/>
        <w:rPr/>
      </w:pPr>
      <w:r>
        <w:rPr>
          <w:i/>
          <w:color w:val="000000"/>
        </w:rPr>
        <w:t>Le H. 2.10. concerne des issues de secours qui doivent être ménagées dans un dispositif de retenue pour permettre le passage des piétons. Il s’agit d’interrompre localement la continuité physique du dispositif avec une conception qui permet de maintenir la continuité de l’effet de retenue (par exemple, recouvrement de deux tronçons de glissière décalés).</w:t>
      </w:r>
    </w:p>
    <w:p>
      <w:pPr>
        <w:pStyle w:val="Normal"/>
        <w:tabs>
          <w:tab w:val="clear" w:pos="567"/>
          <w:tab w:val="left" w:pos="1276" w:leader="none"/>
        </w:tabs>
        <w:spacing w:lineRule="atLeast" w:line="300"/>
        <w:jc w:val="both"/>
        <w:rPr/>
      </w:pPr>
      <w:r>
        <w:rPr>
          <w:i/>
          <w:color w:val="000000"/>
        </w:rPr>
        <w:t>Les passages de police ne sont pas concernés. Ils font l’objet du H. 2.11.</w:t>
      </w:r>
    </w:p>
    <w:p>
      <w:pPr>
        <w:pStyle w:val="Normal"/>
        <w:tabs>
          <w:tab w:val="clear" w:pos="567"/>
          <w:tab w:val="left" w:pos="1276" w:leader="none"/>
        </w:tabs>
        <w:spacing w:lineRule="atLeast" w:line="300"/>
        <w:jc w:val="both"/>
        <w:rPr>
          <w:i/>
          <w:color w:val="000000"/>
        </w:rPr>
      </w:pPr>
      <w:r>
        <w:rPr>
          <w:i/>
          <w:color w:val="000000"/>
        </w:rPr>
      </w:r>
    </w:p>
    <w:p>
      <w:pPr>
        <w:pStyle w:val="Heading1"/>
        <w:ind w:hanging="0" w:start="0"/>
        <w:rPr/>
      </w:pPr>
      <w:r>
        <w:rPr/>
        <w:t>H. 2.10.1. descripTION</w:t>
      </w:r>
    </w:p>
    <w:p>
      <w:pPr>
        <w:pStyle w:val="Normal"/>
        <w:tabs>
          <w:tab w:val="clear" w:pos="567"/>
          <w:tab w:val="left" w:pos="1276" w:leader="none"/>
        </w:tabs>
        <w:spacing w:lineRule="atLeast" w:line="300"/>
        <w:jc w:val="both"/>
        <w:rPr>
          <w:color w:val="000000"/>
        </w:rPr>
      </w:pPr>
      <w:r>
        <w:rPr>
          <w:color w:val="000000"/>
        </w:rPr>
      </w:r>
    </w:p>
    <w:p>
      <w:pPr>
        <w:pStyle w:val="Puces2"/>
        <w:numPr>
          <w:ilvl w:val="0"/>
          <w:numId w:val="0"/>
        </w:numPr>
        <w:tabs>
          <w:tab w:val="clear" w:pos="284"/>
        </w:tabs>
        <w:ind w:hanging="0" w:start="0"/>
        <w:rPr/>
      </w:pPr>
      <w:r>
        <w:rPr/>
        <w:t>Définir et décrire la nature, les dimensions, la géométrie et la localisation des issues de secours.</w:t>
      </w:r>
    </w:p>
    <w:p>
      <w:pPr>
        <w:pStyle w:val="Normal"/>
        <w:rPr>
          <w:color w:val="000000"/>
        </w:rPr>
      </w:pPr>
      <w:r>
        <w:rPr>
          <w:color w:val="000000"/>
        </w:rPr>
      </w:r>
    </w:p>
    <w:p>
      <w:pPr>
        <w:pStyle w:val="Heading1"/>
        <w:ind w:hanging="0" w:start="0"/>
        <w:rPr/>
      </w:pPr>
      <w:r>
        <w:rPr/>
        <w:t>H. 2.10.2. clauses techniques</w:t>
      </w:r>
    </w:p>
    <w:p>
      <w:pPr>
        <w:pStyle w:val="Normal"/>
        <w:tabs>
          <w:tab w:val="clear" w:pos="567"/>
          <w:tab w:val="left" w:pos="1276" w:leader="none"/>
        </w:tabs>
        <w:spacing w:lineRule="atLeast" w:line="300"/>
        <w:jc w:val="both"/>
        <w:rPr>
          <w:color w:val="000000"/>
        </w:rPr>
      </w:pPr>
      <w:r>
        <w:rPr>
          <w:color w:val="000000"/>
        </w:rPr>
      </w:r>
    </w:p>
    <w:p>
      <w:pPr>
        <w:pStyle w:val="Puces2"/>
        <w:numPr>
          <w:ilvl w:val="0"/>
          <w:numId w:val="0"/>
        </w:numPr>
        <w:tabs>
          <w:tab w:val="clear" w:pos="284"/>
        </w:tabs>
        <w:ind w:hanging="0" w:start="0"/>
        <w:rPr/>
      </w:pPr>
      <w:r>
        <w:rPr/>
        <w:t>Définir les prescriptions techniques relatives aux issues de secours et aux éléments qui les composent.</w:t>
      </w:r>
    </w:p>
    <w:p>
      <w:pPr>
        <w:pStyle w:val="Normal"/>
        <w:rPr>
          <w:color w:val="000000"/>
        </w:rPr>
      </w:pPr>
      <w:r>
        <w:rPr>
          <w:color w:val="000000"/>
        </w:rPr>
      </w:r>
    </w:p>
    <w:p>
      <w:pPr>
        <w:pStyle w:val="Normal"/>
        <w:tabs>
          <w:tab w:val="clear" w:pos="567"/>
          <w:tab w:val="left" w:pos="0" w:leader="none"/>
          <w:tab w:val="left" w:pos="720" w:leader="none"/>
        </w:tabs>
        <w:spacing w:lineRule="atLeast" w:line="300"/>
        <w:jc w:val="both"/>
        <w:rPr>
          <w:color w:val="000000"/>
        </w:rPr>
      </w:pPr>
      <w:r>
        <w:rPr>
          <w:color w:val="000000"/>
        </w:rPr>
      </w:r>
    </w:p>
    <w:p>
      <w:pPr>
        <w:pStyle w:val="Heading1"/>
        <w:ind w:hanging="0" w:start="0"/>
        <w:rPr/>
      </w:pPr>
      <w:r>
        <w:rPr/>
        <w:t>H. 2.11. passages de police amovibles</w:t>
      </w:r>
    </w:p>
    <w:p>
      <w:pPr>
        <w:pStyle w:val="Normal"/>
        <w:tabs>
          <w:tab w:val="clear" w:pos="567"/>
          <w:tab w:val="left" w:pos="1276" w:leader="none"/>
        </w:tabs>
        <w:spacing w:lineRule="atLeast" w:line="300"/>
        <w:jc w:val="both"/>
        <w:rPr>
          <w:color w:val="000000"/>
        </w:rPr>
      </w:pPr>
      <w:r>
        <w:rPr>
          <w:color w:val="000000"/>
        </w:rPr>
      </w:r>
    </w:p>
    <w:p>
      <w:pPr>
        <w:pStyle w:val="Normal"/>
        <w:tabs>
          <w:tab w:val="clear" w:pos="567"/>
          <w:tab w:val="left" w:pos="1276" w:leader="none"/>
        </w:tabs>
        <w:spacing w:lineRule="atLeast" w:line="300"/>
        <w:jc w:val="both"/>
        <w:rPr/>
      </w:pPr>
      <w:r>
        <w:rPr>
          <w:i/>
          <w:color w:val="000000"/>
        </w:rPr>
        <w:t>Le H. 2.11. concerne les passages de police conçus de telle façon qu’ils soient facilement amovibles: barrières métalliques spécialement conçues pour être rapidement ouvertes, etc.</w:t>
      </w:r>
    </w:p>
    <w:p>
      <w:pPr>
        <w:pStyle w:val="Normal"/>
        <w:tabs>
          <w:tab w:val="clear" w:pos="567"/>
          <w:tab w:val="left" w:pos="1276" w:leader="none"/>
        </w:tabs>
        <w:spacing w:lineRule="atLeast" w:line="300"/>
        <w:jc w:val="both"/>
        <w:rPr/>
      </w:pPr>
      <w:r>
        <w:rPr>
          <w:i/>
          <w:color w:val="000000"/>
        </w:rPr>
        <w:t>Pour de simples passages statiques constitués d’éléments courants, par exemple en béton préfabriqué, on utilise les prescriptions et les modes de paiement relatifs au dispositif de retenue correspondant.</w:t>
      </w:r>
    </w:p>
    <w:p>
      <w:pPr>
        <w:pStyle w:val="Normal"/>
        <w:tabs>
          <w:tab w:val="clear" w:pos="567"/>
          <w:tab w:val="left" w:pos="1276" w:leader="none"/>
        </w:tabs>
        <w:spacing w:lineRule="atLeast" w:line="300"/>
        <w:jc w:val="both"/>
        <w:rPr>
          <w:i/>
          <w:color w:val="000000"/>
        </w:rPr>
      </w:pPr>
      <w:r>
        <w:rPr>
          <w:i/>
          <w:color w:val="000000"/>
        </w:rPr>
      </w:r>
    </w:p>
    <w:p>
      <w:pPr>
        <w:pStyle w:val="Heading1"/>
        <w:ind w:hanging="0" w:start="0"/>
        <w:rPr/>
      </w:pPr>
      <w:r>
        <w:rPr/>
        <w:t>H. 2.11.1. descripTION</w:t>
      </w:r>
    </w:p>
    <w:p>
      <w:pPr>
        <w:pStyle w:val="Normal"/>
        <w:tabs>
          <w:tab w:val="clear" w:pos="567"/>
          <w:tab w:val="left" w:pos="1276" w:leader="none"/>
        </w:tabs>
        <w:spacing w:lineRule="atLeast" w:line="300"/>
        <w:jc w:val="both"/>
        <w:rPr>
          <w:color w:val="000000"/>
        </w:rPr>
      </w:pPr>
      <w:r>
        <w:rPr>
          <w:color w:val="000000"/>
        </w:rPr>
      </w:r>
    </w:p>
    <w:p>
      <w:pPr>
        <w:pStyle w:val="Puces2"/>
        <w:numPr>
          <w:ilvl w:val="0"/>
          <w:numId w:val="0"/>
        </w:numPr>
        <w:tabs>
          <w:tab w:val="clear" w:pos="284"/>
        </w:tabs>
        <w:ind w:hanging="0" w:start="0"/>
        <w:rPr/>
      </w:pPr>
      <w:r>
        <w:rPr/>
        <w:t>Définir et décrire la nature, les dimensions, la géométrie et la localisation des passages de police amovibles.</w:t>
      </w:r>
    </w:p>
    <w:p>
      <w:pPr>
        <w:pStyle w:val="Normal"/>
        <w:rPr>
          <w:color w:val="000000"/>
        </w:rPr>
      </w:pPr>
      <w:r>
        <w:rPr>
          <w:color w:val="000000"/>
        </w:rPr>
      </w:r>
    </w:p>
    <w:p>
      <w:pPr>
        <w:pStyle w:val="Heading1"/>
        <w:ind w:hanging="0" w:start="0"/>
        <w:rPr/>
      </w:pPr>
      <w:r>
        <w:rPr/>
        <w:t>H. 2.11.2. clauses techniques</w:t>
      </w:r>
    </w:p>
    <w:p>
      <w:pPr>
        <w:pStyle w:val="Normal"/>
        <w:tabs>
          <w:tab w:val="clear" w:pos="567"/>
          <w:tab w:val="left" w:pos="1276" w:leader="none"/>
        </w:tabs>
        <w:spacing w:lineRule="atLeast" w:line="300"/>
        <w:jc w:val="both"/>
        <w:rPr>
          <w:color w:val="000000"/>
        </w:rPr>
      </w:pPr>
      <w:r>
        <w:rPr>
          <w:color w:val="000000"/>
        </w:rPr>
      </w:r>
    </w:p>
    <w:p>
      <w:pPr>
        <w:pStyle w:val="Puces2"/>
        <w:numPr>
          <w:ilvl w:val="0"/>
          <w:numId w:val="0"/>
        </w:numPr>
        <w:tabs>
          <w:tab w:val="clear" w:pos="284"/>
        </w:tabs>
        <w:ind w:hanging="0" w:start="0"/>
        <w:rPr/>
      </w:pPr>
      <w:r>
        <w:rPr/>
        <w:t>Définir les prescriptions techniques relatives aux passages de police amovibles et aux éléments qui les composent.</w:t>
      </w:r>
    </w:p>
    <w:sectPr>
      <w:headerReference w:type="default" r:id="rId2"/>
      <w:footerReference w:type="default" r:id="rId3"/>
      <w:type w:val="nextPage"/>
      <w:pgSz w:w="11906" w:h="16838"/>
      <w:pgMar w:left="1304" w:right="1304" w:gutter="0" w:header="720" w:top="1134" w:footer="720"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ourier New">
    <w:charset w:val="00" w:characterSet="windows-1252"/>
    <w:family w:val="modern"/>
    <w:pitch w:val="default"/>
  </w:font>
  <w:font w:name="Wingdings">
    <w:charset w:val="02"/>
    <w:family w:val="auto"/>
    <w:pitch w:val="variable"/>
  </w:font>
  <w:font w:name="Segoe UI">
    <w:charset w:val="00" w:characterSet="windows-1252"/>
    <w:family w:val="swiss"/>
    <w:pitch w:val="variable"/>
  </w:font>
  <w:font w:name="Liberation Sans">
    <w:altName w:val="Arial"/>
    <w:charset w:val="01" w:characterSet="utf-8"/>
    <w:family w:val="swiss"/>
    <w:pitch w:val="variable"/>
  </w:font>
  <w:font w:name="Elite">
    <w:altName w:val="Courier New"/>
    <w:charset w:val="00" w:characterSet="windows-125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r>
      <w:rPr>
        <w:rFonts w:cs="Arial" w:ascii="Arial" w:hAnsi="Arial"/>
        <w:color w:val="000000"/>
        <w:sz w:val="20"/>
      </w:rPr>
      <w:t xml:space="preserve">Modèle de CSC du Chapitre H – Version du 01/01/2024 – </w:t>
    </w:r>
    <w:r>
      <w:rPr>
        <w:rFonts w:cs="Arial" w:ascii="Arial" w:hAnsi="Arial"/>
        <w:color w:val="000000"/>
        <w:sz w:val="20"/>
      </w:rPr>
      <w:fldChar w:fldCharType="begin"/>
    </w:r>
    <w:r>
      <w:rPr>
        <w:rFonts w:cs="Arial" w:ascii="Arial" w:hAnsi="Arial"/>
        <w:color w:val="000000"/>
        <w:sz w:val="20"/>
      </w:rPr>
      <w:instrText xml:space="preserve"> PAGE </w:instrText>
    </w:r>
    <w:r>
      <w:rPr>
        <w:rFonts w:cs="Arial" w:ascii="Arial" w:hAnsi="Arial"/>
        <w:color w:val="000000"/>
        <w:sz w:val="20"/>
      </w:rPr>
      <w:fldChar w:fldCharType="separate"/>
    </w:r>
    <w:r>
      <w:rPr>
        <w:rFonts w:cs="Arial" w:ascii="Arial" w:hAnsi="Arial"/>
        <w:color w:val="000000"/>
        <w:sz w:val="20"/>
      </w:rPr>
      <w:t>10</w:t>
    </w:r>
    <w:r>
      <w:rPr>
        <w:rFonts w:cs="Arial" w:ascii="Arial" w:hAnsi="Arial"/>
        <w:color w:val="000000"/>
        <w:sz w:val="20"/>
      </w:rPr>
      <w:fldChar w:fldCharType="end"/>
    </w:r>
    <w:r>
      <w:rPr>
        <w:rFonts w:cs="Arial" w:ascii="Arial" w:hAnsi="Arial"/>
        <w:color w:val="000000"/>
        <w:sz w:val="20"/>
      </w:rPr>
      <w:t xml:space="preserve"> </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lineRule="auto" w:line="240" w:before="0" w:after="0"/>
      <w:jc w:val="both"/>
      <w:rPr>
        <w:rFonts w:ascii="Times New Roman" w:hAnsi="Times New Roman" w:cs="Times New Roman"/>
      </w:rPr>
    </w:pPr>
    <w:r>
      <w:rPr>
        <w:rFonts w:cs="Times New Roman" w:ascii="Times New Roman" w:hAnsi="Times New Roman"/>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pStyle w:val="Heading5"/>
      <w:suff w:val="nothing"/>
      <w:lvlText w:val=""/>
      <w:lvlJc w:val="start"/>
      <w:pPr>
        <w:tabs>
          <w:tab w:val="num" w:pos="0"/>
        </w:tabs>
        <w:ind w:start="0" w:hanging="0"/>
      </w:pPr>
    </w:lvl>
    <w:lvl w:ilvl="5">
      <w:start w:val="1"/>
      <w:numFmt w:val="none"/>
      <w:pStyle w:val="Heading6"/>
      <w:suff w:val="nothing"/>
      <w:lvlText w:val=""/>
      <w:lvlJc w:val="start"/>
      <w:pPr>
        <w:tabs>
          <w:tab w:val="num" w:pos="0"/>
        </w:tabs>
        <w:ind w:start="0" w:hanging="0"/>
      </w:pPr>
    </w:lvl>
    <w:lvl w:ilvl="6">
      <w:start w:val="1"/>
      <w:numFmt w:val="none"/>
      <w:pStyle w:val="Heading7"/>
      <w:suff w:val="nothing"/>
      <w:lvlText w:val=""/>
      <w:lvlJc w:val="start"/>
      <w:pPr>
        <w:tabs>
          <w:tab w:val="num" w:pos="0"/>
        </w:tabs>
        <w:ind w:start="0" w:hanging="0"/>
      </w:pPr>
    </w:lvl>
    <w:lvl w:ilvl="7">
      <w:start w:val="1"/>
      <w:numFmt w:val="none"/>
      <w:pStyle w:val="Heading8"/>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numFmt w:val="bullet"/>
      <w:lvlText w:val="–"/>
      <w:lvlJc w:val="start"/>
      <w:pPr>
        <w:tabs>
          <w:tab w:val="num" w:pos="360"/>
        </w:tabs>
        <w:ind w:start="360" w:hanging="360"/>
      </w:pPr>
      <w:rPr>
        <w:rFonts w:ascii="Arial" w:hAnsi="Arial" w:cs="Arial" w:hint="default"/>
      </w:rPr>
    </w:lvl>
  </w:abstractNum>
  <w:abstractNum w:abstractNumId="3">
    <w:lvl w:ilvl="0">
      <w:start w:val="8"/>
      <w:numFmt w:val="bullet"/>
      <w:lvlText w:val="-"/>
      <w:lvlJc w:val="start"/>
      <w:pPr>
        <w:tabs>
          <w:tab w:val="num" w:pos="0"/>
        </w:tabs>
        <w:ind w:start="720" w:hanging="360"/>
      </w:pPr>
      <w:rPr>
        <w:rFonts w:ascii="Times New Roman" w:hAnsi="Times New Roman" w:cs="Times New Roman" w:hint="default"/>
      </w:r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val="bestFit" w:percent="20"/>
  <w:defaultTabStop w:val="567"/>
  <w:autoHyphenation w:val="true"/>
  <w:hyphenationZone w:val="0"/>
  <w:compat>
    <w:usePrinterMetrics/>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fr-FR" w:eastAsia="zh-CN" w:bidi="hi-IN"/>
      </w:rPr>
    </w:rPrDefault>
    <w:pPrDefault>
      <w:pPr>
        <w:suppressAutoHyphens w:val="true"/>
      </w:pPr>
    </w:pPrDefault>
  </w:docDefaults>
  <w:style w:type="paragraph" w:styleId="Normal">
    <w:name w:val="Normal"/>
    <w:qFormat/>
    <w:pPr>
      <w:widowControl/>
      <w:bidi w:val="0"/>
      <w:spacing w:lineRule="exact" w:line="312"/>
    </w:pPr>
    <w:rPr>
      <w:rFonts w:ascii="Times New Roman" w:hAnsi="Times New Roman" w:eastAsia="Times New Roman" w:cs="Times New Roman"/>
      <w:color w:val="00FFFF"/>
      <w:sz w:val="24"/>
      <w:szCs w:val="20"/>
      <w:lang w:val="fr-FR" w:bidi="ar-SA" w:eastAsia="zh-CN"/>
    </w:rPr>
  </w:style>
  <w:style w:type="paragraph" w:styleId="Heading1">
    <w:name w:val="heading 1"/>
    <w:basedOn w:val="Normal"/>
    <w:next w:val="Normal"/>
    <w:qFormat/>
    <w:pPr>
      <w:numPr>
        <w:ilvl w:val="0"/>
        <w:numId w:val="1"/>
      </w:numPr>
      <w:spacing w:lineRule="atLeast" w:line="300"/>
      <w:jc w:val="both"/>
      <w:outlineLvl w:val="0"/>
    </w:pPr>
    <w:rPr>
      <w:b/>
      <w:caps/>
      <w:color w:val="auto"/>
    </w:rPr>
  </w:style>
  <w:style w:type="paragraph" w:styleId="Heading2">
    <w:name w:val="heading 2"/>
    <w:basedOn w:val="Normal"/>
    <w:next w:val="Normal"/>
    <w:qFormat/>
    <w:pPr>
      <w:keepNext w:val="true"/>
      <w:numPr>
        <w:ilvl w:val="1"/>
        <w:numId w:val="1"/>
      </w:numPr>
      <w:jc w:val="both"/>
      <w:outlineLvl w:val="1"/>
    </w:pPr>
    <w:rPr>
      <w:b/>
      <w:color w:val="auto"/>
    </w:rPr>
  </w:style>
  <w:style w:type="paragraph" w:styleId="Heading3">
    <w:name w:val="heading 3"/>
    <w:basedOn w:val="Normal"/>
    <w:next w:val="Normal"/>
    <w:qFormat/>
    <w:pPr>
      <w:keepNext w:val="true"/>
      <w:numPr>
        <w:ilvl w:val="2"/>
        <w:numId w:val="1"/>
      </w:numPr>
      <w:pBdr>
        <w:top w:val="single" w:sz="12" w:space="1" w:color="000000"/>
        <w:left w:val="single" w:sz="12" w:space="4" w:color="000000"/>
        <w:bottom w:val="single" w:sz="12" w:space="1" w:color="000000"/>
        <w:right w:val="single" w:sz="12" w:space="4" w:color="000000"/>
      </w:pBdr>
      <w:jc w:val="both"/>
      <w:outlineLvl w:val="2"/>
    </w:pPr>
    <w:rPr>
      <w:b/>
      <w:color w:val="auto"/>
      <w:u w:val="single"/>
    </w:rPr>
  </w:style>
  <w:style w:type="paragraph" w:styleId="Heading4">
    <w:name w:val="heading 4"/>
    <w:basedOn w:val="Normal"/>
    <w:next w:val="Normal"/>
    <w:qFormat/>
    <w:pPr>
      <w:keepNext w:val="true"/>
      <w:numPr>
        <w:ilvl w:val="3"/>
        <w:numId w:val="1"/>
      </w:numPr>
      <w:outlineLvl w:val="3"/>
    </w:pPr>
    <w:rPr>
      <w:b/>
      <w:color w:val="auto"/>
    </w:rPr>
  </w:style>
  <w:style w:type="paragraph" w:styleId="Heading5">
    <w:name w:val="heading 5"/>
    <w:basedOn w:val="Normal"/>
    <w:next w:val="Normal"/>
    <w:qFormat/>
    <w:pPr>
      <w:keepNext w:val="true"/>
      <w:numPr>
        <w:ilvl w:val="4"/>
        <w:numId w:val="1"/>
      </w:numPr>
      <w:outlineLvl w:val="4"/>
    </w:pPr>
    <w:rPr>
      <w:i/>
      <w:color w:val="auto"/>
      <w:u w:val="single"/>
    </w:rPr>
  </w:style>
  <w:style w:type="paragraph" w:styleId="Heading6">
    <w:name w:val="heading 6"/>
    <w:basedOn w:val="Normal"/>
    <w:next w:val="Normal"/>
    <w:qFormat/>
    <w:pPr>
      <w:keepNext w:val="true"/>
      <w:numPr>
        <w:ilvl w:val="5"/>
        <w:numId w:val="1"/>
      </w:numPr>
      <w:jc w:val="both"/>
      <w:outlineLvl w:val="5"/>
    </w:pPr>
    <w:rPr>
      <w:i/>
      <w:color w:val="auto"/>
      <w:u w:val="single"/>
    </w:rPr>
  </w:style>
  <w:style w:type="paragraph" w:styleId="Heading7">
    <w:name w:val="heading 7"/>
    <w:basedOn w:val="Normal"/>
    <w:next w:val="Normal"/>
    <w:qFormat/>
    <w:pPr>
      <w:keepNext w:val="true"/>
      <w:numPr>
        <w:ilvl w:val="6"/>
        <w:numId w:val="1"/>
      </w:numPr>
      <w:jc w:val="center"/>
      <w:outlineLvl w:val="6"/>
    </w:pPr>
    <w:rPr>
      <w:b/>
      <w:color w:val="auto"/>
    </w:rPr>
  </w:style>
  <w:style w:type="paragraph" w:styleId="Heading8">
    <w:name w:val="heading 8"/>
    <w:basedOn w:val="Normal"/>
    <w:next w:val="Normal"/>
    <w:qFormat/>
    <w:pPr>
      <w:keepNext w:val="true"/>
      <w:numPr>
        <w:ilvl w:val="7"/>
        <w:numId w:val="1"/>
      </w:numPr>
      <w:tabs>
        <w:tab w:val="clear" w:pos="567"/>
        <w:tab w:val="left" w:pos="1843" w:leader="none"/>
        <w:tab w:val="left" w:pos="6521" w:leader="none"/>
      </w:tabs>
      <w:spacing w:lineRule="atLeast" w:line="300"/>
      <w:outlineLvl w:val="7"/>
    </w:pPr>
    <w:rPr>
      <w:i/>
      <w:color w:val="auto"/>
    </w:rPr>
  </w:style>
  <w:style w:type="character" w:styleId="WW8Num2z0">
    <w:name w:val="WW8Num2z0"/>
    <w:qFormat/>
    <w:rPr>
      <w:rFonts w:ascii="Times New Roman" w:hAnsi="Times New Roman" w:eastAsia="Times New Roman" w:cs="Times New Roman"/>
    </w:rPr>
  </w:style>
  <w:style w:type="character" w:styleId="WW8Num2z1">
    <w:name w:val="WW8Num2z1"/>
    <w:qFormat/>
    <w:rPr>
      <w:rFonts w:ascii="Courier New" w:hAnsi="Courier New" w:cs="Wingdings"/>
    </w:rPr>
  </w:style>
  <w:style w:type="character" w:styleId="WW8Num2z2">
    <w:name w:val="WW8Num2z2"/>
    <w:qFormat/>
    <w:rPr>
      <w:rFonts w:ascii="Wingdings" w:hAnsi="Wingdings" w:cs="Wingdings"/>
    </w:rPr>
  </w:style>
  <w:style w:type="character" w:styleId="WW8Num2z3">
    <w:name w:val="WW8Num2z3"/>
    <w:qFormat/>
    <w:rPr>
      <w:rFonts w:ascii="Symbol" w:hAnsi="Symbol" w:cs="Symbol"/>
    </w:rPr>
  </w:style>
  <w:style w:type="character" w:styleId="WW8Num3z0">
    <w:name w:val="WW8Num3z0"/>
    <w:qFormat/>
    <w:rPr>
      <w:rFonts w:ascii="Symbol" w:hAnsi="Symbol" w:cs="Symbol"/>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WW8Num4z0">
    <w:name w:val="WW8Num4z0"/>
    <w:qFormat/>
    <w:rPr>
      <w:rFonts w:ascii="Times New Roman" w:hAnsi="Times New Roman" w:eastAsia="Times New Roman" w:cs="Times New Roman"/>
    </w:rPr>
  </w:style>
  <w:style w:type="character" w:styleId="WW8Num4z1">
    <w:name w:val="WW8Num4z1"/>
    <w:qFormat/>
    <w:rPr>
      <w:rFonts w:ascii="Courier New" w:hAnsi="Courier New" w:cs="Wingdings"/>
    </w:rPr>
  </w:style>
  <w:style w:type="character" w:styleId="WW8Num4z2">
    <w:name w:val="WW8Num4z2"/>
    <w:qFormat/>
    <w:rPr>
      <w:rFonts w:ascii="Wingdings" w:hAnsi="Wingdings" w:cs="Wingdings"/>
    </w:rPr>
  </w:style>
  <w:style w:type="character" w:styleId="WW8Num4z3">
    <w:name w:val="WW8Num4z3"/>
    <w:qFormat/>
    <w:rPr>
      <w:rFonts w:ascii="Symbol" w:hAnsi="Symbol" w:cs="Symbol"/>
    </w:rPr>
  </w:style>
  <w:style w:type="character" w:styleId="WW8Num5z0">
    <w:name w:val="WW8Num5z0"/>
    <w:qFormat/>
    <w:rPr>
      <w:rFonts w:ascii="Arial" w:hAnsi="Arial" w:cs="Arial"/>
      <w:sz w:val="20"/>
    </w:rPr>
  </w:style>
  <w:style w:type="character" w:styleId="WW8Num6z0">
    <w:name w:val="WW8Num6z0"/>
    <w:qFormat/>
    <w:rPr/>
  </w:style>
  <w:style w:type="character" w:styleId="WW8Num6z1">
    <w:name w:val="WW8Num6z1"/>
    <w:qFormat/>
    <w:rPr>
      <w:rFonts w:ascii="Courier New" w:hAnsi="Courier New" w:cs="Courier New"/>
    </w:rPr>
  </w:style>
  <w:style w:type="character" w:styleId="WW8Num6z2">
    <w:name w:val="WW8Num6z2"/>
    <w:qFormat/>
    <w:rPr>
      <w:rFonts w:ascii="Wingdings" w:hAnsi="Wingdings" w:cs="Wingdings"/>
    </w:rPr>
  </w:style>
  <w:style w:type="character" w:styleId="WW8Num6z3">
    <w:name w:val="WW8Num6z3"/>
    <w:qFormat/>
    <w:rPr>
      <w:rFonts w:ascii="Symbol" w:hAnsi="Symbol" w:cs="Symbol"/>
    </w:rPr>
  </w:style>
  <w:style w:type="character" w:styleId="WW8Num7z0">
    <w:name w:val="WW8Num7z0"/>
    <w:qFormat/>
    <w:rPr/>
  </w:style>
  <w:style w:type="character" w:styleId="WW8Num7z1">
    <w:name w:val="WW8Num7z1"/>
    <w:qFormat/>
    <w:rPr>
      <w:rFonts w:ascii="Courier New" w:hAnsi="Courier New" w:cs="Courier New"/>
    </w:rPr>
  </w:style>
  <w:style w:type="character" w:styleId="WW8Num7z2">
    <w:name w:val="WW8Num7z2"/>
    <w:qFormat/>
    <w:rPr>
      <w:rFonts w:ascii="Wingdings" w:hAnsi="Wingdings" w:cs="Wingdings"/>
    </w:rPr>
  </w:style>
  <w:style w:type="character" w:styleId="WW8Num7z3">
    <w:name w:val="WW8Num7z3"/>
    <w:qFormat/>
    <w:rPr>
      <w:rFonts w:ascii="Symbol" w:hAnsi="Symbol" w:cs="Symbol"/>
    </w:rPr>
  </w:style>
  <w:style w:type="character" w:styleId="WW8Num8z0">
    <w:name w:val="WW8Num8z0"/>
    <w:qFormat/>
    <w:rPr/>
  </w:style>
  <w:style w:type="character" w:styleId="WW8Num9z0">
    <w:name w:val="WW8Num9z0"/>
    <w:qFormat/>
    <w:rPr/>
  </w:style>
  <w:style w:type="character" w:styleId="WW8Num10z0">
    <w:name w:val="WW8Num10z0"/>
    <w:qFormat/>
    <w:rPr>
      <w:rFonts w:ascii="Arial" w:hAnsi="Arial" w:cs="Arial"/>
    </w:rPr>
  </w:style>
  <w:style w:type="character" w:styleId="WW8Num11z0">
    <w:name w:val="WW8Num11z0"/>
    <w:qFormat/>
    <w:rPr/>
  </w:style>
  <w:style w:type="character" w:styleId="WW8Num12z0">
    <w:name w:val="WW8Num12z0"/>
    <w:qFormat/>
    <w:rPr/>
  </w:style>
  <w:style w:type="character" w:styleId="WW8Num13z0">
    <w:name w:val="WW8Num13z0"/>
    <w:qFormat/>
    <w:rPr/>
  </w:style>
  <w:style w:type="character" w:styleId="WW8Num13z1">
    <w:name w:val="WW8Num13z1"/>
    <w:qFormat/>
    <w:rPr>
      <w:rFonts w:ascii="Courier New" w:hAnsi="Courier New" w:cs="Courier New"/>
    </w:rPr>
  </w:style>
  <w:style w:type="character" w:styleId="WW8Num13z2">
    <w:name w:val="WW8Num13z2"/>
    <w:qFormat/>
    <w:rPr>
      <w:rFonts w:ascii="Wingdings" w:hAnsi="Wingdings" w:cs="Wingdings"/>
    </w:rPr>
  </w:style>
  <w:style w:type="character" w:styleId="WW8Num13z3">
    <w:name w:val="WW8Num13z3"/>
    <w:qFormat/>
    <w:rPr>
      <w:rFonts w:ascii="Symbol" w:hAnsi="Symbol" w:cs="Symbol"/>
    </w:rPr>
  </w:style>
  <w:style w:type="character" w:styleId="WW8Num15z0">
    <w:name w:val="WW8Num15z0"/>
    <w:qFormat/>
    <w:rPr/>
  </w:style>
  <w:style w:type="character" w:styleId="WW8Num15z2">
    <w:name w:val="WW8Num15z2"/>
    <w:qFormat/>
    <w:rPr>
      <w:rFonts w:ascii="Wingdings" w:hAnsi="Wingdings" w:cs="Wingdings"/>
    </w:rPr>
  </w:style>
  <w:style w:type="character" w:styleId="WW8Num15z3">
    <w:name w:val="WW8Num15z3"/>
    <w:qFormat/>
    <w:rPr>
      <w:rFonts w:ascii="Symbol" w:hAnsi="Symbol" w:cs="Symbol"/>
    </w:rPr>
  </w:style>
  <w:style w:type="character" w:styleId="WW8Num15z4">
    <w:name w:val="WW8Num15z4"/>
    <w:qFormat/>
    <w:rPr>
      <w:rFonts w:ascii="Courier New" w:hAnsi="Courier New" w:cs="Courier New"/>
    </w:rPr>
  </w:style>
  <w:style w:type="character" w:styleId="WW8Num16z0">
    <w:name w:val="WW8Num16z0"/>
    <w:qFormat/>
    <w:rPr/>
  </w:style>
  <w:style w:type="character" w:styleId="WW8Num16z1">
    <w:name w:val="WW8Num16z1"/>
    <w:qFormat/>
    <w:rPr>
      <w:rFonts w:ascii="Courier New" w:hAnsi="Courier New" w:cs="Courier New"/>
    </w:rPr>
  </w:style>
  <w:style w:type="character" w:styleId="WW8Num16z2">
    <w:name w:val="WW8Num16z2"/>
    <w:qFormat/>
    <w:rPr>
      <w:rFonts w:ascii="Wingdings" w:hAnsi="Wingdings" w:cs="Wingdings"/>
    </w:rPr>
  </w:style>
  <w:style w:type="character" w:styleId="WW8Num16z3">
    <w:name w:val="WW8Num16z3"/>
    <w:qFormat/>
    <w:rPr>
      <w:rFonts w:ascii="Symbol" w:hAnsi="Symbol" w:cs="Symbol"/>
    </w:rPr>
  </w:style>
  <w:style w:type="character" w:styleId="WW8Num17z0">
    <w:name w:val="WW8Num17z0"/>
    <w:qFormat/>
    <w:rPr>
      <w:rFonts w:ascii="Symbol" w:hAnsi="Symbol" w:cs="Symbol"/>
    </w:rPr>
  </w:style>
  <w:style w:type="character" w:styleId="WW8Num17z1">
    <w:name w:val="WW8Num17z1"/>
    <w:qFormat/>
    <w:rPr>
      <w:rFonts w:ascii="Courier New" w:hAnsi="Courier New" w:cs="Courier New"/>
    </w:rPr>
  </w:style>
  <w:style w:type="character" w:styleId="WW8Num17z2">
    <w:name w:val="WW8Num17z2"/>
    <w:qFormat/>
    <w:rPr>
      <w:rFonts w:ascii="Wingdings" w:hAnsi="Wingdings" w:cs="Wingdings"/>
    </w:rPr>
  </w:style>
  <w:style w:type="character" w:styleId="WW8Num18z0">
    <w:name w:val="WW8Num18z0"/>
    <w:qFormat/>
    <w:rPr>
      <w:rFonts w:ascii="Times New Roman" w:hAnsi="Times New Roman" w:eastAsia="Times New Roman" w:cs="Times New Roman"/>
    </w:rPr>
  </w:style>
  <w:style w:type="character" w:styleId="WW8Num18z1">
    <w:name w:val="WW8Num18z1"/>
    <w:qFormat/>
    <w:rPr>
      <w:rFonts w:ascii="Courier New" w:hAnsi="Courier New" w:cs="Courier New"/>
    </w:rPr>
  </w:style>
  <w:style w:type="character" w:styleId="WW8Num18z2">
    <w:name w:val="WW8Num18z2"/>
    <w:qFormat/>
    <w:rPr>
      <w:rFonts w:ascii="Wingdings" w:hAnsi="Wingdings" w:cs="Wingdings"/>
    </w:rPr>
  </w:style>
  <w:style w:type="character" w:styleId="WW8Num18z3">
    <w:name w:val="WW8Num18z3"/>
    <w:qFormat/>
    <w:rPr>
      <w:rFonts w:ascii="Symbol" w:hAnsi="Symbol" w:cs="Symbol"/>
    </w:rPr>
  </w:style>
  <w:style w:type="character" w:styleId="WW8Num19z0">
    <w:name w:val="WW8Num19z0"/>
    <w:qFormat/>
    <w:rPr>
      <w:rFonts w:ascii="Arial" w:hAnsi="Arial" w:cs="Arial"/>
    </w:rPr>
  </w:style>
  <w:style w:type="character" w:styleId="WW8Num20z0">
    <w:name w:val="WW8Num20z0"/>
    <w:qFormat/>
    <w:rPr>
      <w:rFonts w:ascii="Arial" w:hAnsi="Arial" w:cs="Arial"/>
    </w:rPr>
  </w:style>
  <w:style w:type="character" w:styleId="WW8Num21z0">
    <w:name w:val="WW8Num21z0"/>
    <w:qFormat/>
    <w:rPr>
      <w:rFonts w:ascii="Symbol" w:hAnsi="Symbol" w:cs="Symbol"/>
    </w:rPr>
  </w:style>
  <w:style w:type="character" w:styleId="WW8Num21z1">
    <w:name w:val="WW8Num21z1"/>
    <w:qFormat/>
    <w:rPr>
      <w:rFonts w:ascii="Courier New" w:hAnsi="Courier New" w:cs="Wingdings"/>
    </w:rPr>
  </w:style>
  <w:style w:type="character" w:styleId="WW8Num21z2">
    <w:name w:val="WW8Num21z2"/>
    <w:qFormat/>
    <w:rPr>
      <w:rFonts w:ascii="Wingdings" w:hAnsi="Wingdings" w:cs="Wingdings"/>
    </w:rPr>
  </w:style>
  <w:style w:type="character" w:styleId="WW8Num22z0">
    <w:name w:val="WW8Num22z0"/>
    <w:qFormat/>
    <w:rPr>
      <w:rFonts w:ascii="Arial" w:hAnsi="Arial" w:cs="Arial"/>
      <w:sz w:val="20"/>
    </w:rPr>
  </w:style>
  <w:style w:type="character" w:styleId="WW8Num23z0">
    <w:name w:val="WW8Num23z0"/>
    <w:qFormat/>
    <w:rPr/>
  </w:style>
  <w:style w:type="character" w:styleId="WW8Num24z0">
    <w:name w:val="WW8Num24z0"/>
    <w:qFormat/>
    <w:rPr/>
  </w:style>
  <w:style w:type="character" w:styleId="WW8Num24z1">
    <w:name w:val="WW8Num24z1"/>
    <w:qFormat/>
    <w:rPr>
      <w:rFonts w:ascii="Courier New" w:hAnsi="Courier New" w:cs="Courier New"/>
    </w:rPr>
  </w:style>
  <w:style w:type="character" w:styleId="WW8Num24z2">
    <w:name w:val="WW8Num24z2"/>
    <w:qFormat/>
    <w:rPr>
      <w:rFonts w:ascii="Wingdings" w:hAnsi="Wingdings" w:cs="Wingdings"/>
    </w:rPr>
  </w:style>
  <w:style w:type="character" w:styleId="WW8Num24z3">
    <w:name w:val="WW8Num24z3"/>
    <w:qFormat/>
    <w:rPr>
      <w:rFonts w:ascii="Symbol" w:hAnsi="Symbol" w:cs="Symbol"/>
    </w:rPr>
  </w:style>
  <w:style w:type="character" w:styleId="WW8Num25z0">
    <w:name w:val="WW8Num25z0"/>
    <w:qFormat/>
    <w:rPr>
      <w:rFonts w:ascii="Symbol" w:hAnsi="Symbol" w:cs="Symbol"/>
    </w:rPr>
  </w:style>
  <w:style w:type="character" w:styleId="WW8Num25z1">
    <w:name w:val="WW8Num25z1"/>
    <w:qFormat/>
    <w:rPr>
      <w:rFonts w:ascii="Courier New" w:hAnsi="Courier New" w:cs="Courier New"/>
    </w:rPr>
  </w:style>
  <w:style w:type="character" w:styleId="WW8Num25z2">
    <w:name w:val="WW8Num25z2"/>
    <w:qFormat/>
    <w:rPr>
      <w:rFonts w:ascii="Wingdings" w:hAnsi="Wingdings" w:cs="Wingdings"/>
    </w:rPr>
  </w:style>
  <w:style w:type="character" w:styleId="WW8Num26z0">
    <w:name w:val="WW8Num26z0"/>
    <w:qFormat/>
    <w:rPr>
      <w:rFonts w:ascii="Times New Roman" w:hAnsi="Times New Roman" w:eastAsia="Times New Roman" w:cs="Times New Roman"/>
    </w:rPr>
  </w:style>
  <w:style w:type="character" w:styleId="WW8Num26z1">
    <w:name w:val="WW8Num26z1"/>
    <w:qFormat/>
    <w:rPr>
      <w:rFonts w:ascii="Courier New" w:hAnsi="Courier New" w:cs="Courier New"/>
    </w:rPr>
  </w:style>
  <w:style w:type="character" w:styleId="WW8Num26z2">
    <w:name w:val="WW8Num26z2"/>
    <w:qFormat/>
    <w:rPr>
      <w:rFonts w:ascii="Wingdings" w:hAnsi="Wingdings" w:cs="Wingdings"/>
    </w:rPr>
  </w:style>
  <w:style w:type="character" w:styleId="WW8Num26z3">
    <w:name w:val="WW8Num26z3"/>
    <w:qFormat/>
    <w:rPr>
      <w:rFonts w:ascii="Symbol" w:hAnsi="Symbol" w:cs="Symbol"/>
    </w:rPr>
  </w:style>
  <w:style w:type="character" w:styleId="WW8Num27z0">
    <w:name w:val="WW8Num27z0"/>
    <w:qFormat/>
    <w:rPr/>
  </w:style>
  <w:style w:type="character" w:styleId="WW8Num28z0">
    <w:name w:val="WW8Num28z0"/>
    <w:qFormat/>
    <w:rPr>
      <w:rFonts w:ascii="Symbol" w:hAnsi="Symbol" w:cs="Symbol"/>
    </w:rPr>
  </w:style>
  <w:style w:type="character" w:styleId="WW8Num29z0">
    <w:name w:val="WW8Num29z0"/>
    <w:qFormat/>
    <w:rPr>
      <w:rFonts w:ascii="Arial" w:hAnsi="Arial" w:cs="Arial"/>
      <w:sz w:val="20"/>
    </w:rPr>
  </w:style>
  <w:style w:type="character" w:styleId="WW8Num30z0">
    <w:name w:val="WW8Num30z0"/>
    <w:qFormat/>
    <w:rPr/>
  </w:style>
  <w:style w:type="character" w:styleId="WW8Num30z1">
    <w:name w:val="WW8Num30z1"/>
    <w:qFormat/>
    <w:rPr>
      <w:rFonts w:ascii="Courier New" w:hAnsi="Courier New" w:cs="Courier New"/>
    </w:rPr>
  </w:style>
  <w:style w:type="character" w:styleId="WW8Num30z2">
    <w:name w:val="WW8Num30z2"/>
    <w:qFormat/>
    <w:rPr>
      <w:rFonts w:ascii="Wingdings" w:hAnsi="Wingdings" w:cs="Wingdings"/>
    </w:rPr>
  </w:style>
  <w:style w:type="character" w:styleId="WW8Num30z3">
    <w:name w:val="WW8Num30z3"/>
    <w:qFormat/>
    <w:rPr>
      <w:rFonts w:ascii="Symbol" w:hAnsi="Symbol" w:cs="Symbol"/>
    </w:rPr>
  </w:style>
  <w:style w:type="character" w:styleId="WW8Num31z0">
    <w:name w:val="WW8Num31z0"/>
    <w:qFormat/>
    <w:rPr/>
  </w:style>
  <w:style w:type="character" w:styleId="WW8Num31z1">
    <w:name w:val="WW8Num31z1"/>
    <w:qFormat/>
    <w:rPr>
      <w:rFonts w:ascii="Courier New" w:hAnsi="Courier New" w:cs="Courier New"/>
    </w:rPr>
  </w:style>
  <w:style w:type="character" w:styleId="WW8Num31z2">
    <w:name w:val="WW8Num31z2"/>
    <w:qFormat/>
    <w:rPr>
      <w:rFonts w:ascii="Wingdings" w:hAnsi="Wingdings" w:cs="Wingdings"/>
    </w:rPr>
  </w:style>
  <w:style w:type="character" w:styleId="WW8Num31z3">
    <w:name w:val="WW8Num31z3"/>
    <w:qFormat/>
    <w:rPr>
      <w:rFonts w:ascii="Symbol" w:hAnsi="Symbol" w:cs="Symbol"/>
    </w:rPr>
  </w:style>
  <w:style w:type="character" w:styleId="WW8Num32z0">
    <w:name w:val="WW8Num32z0"/>
    <w:qFormat/>
    <w:rPr>
      <w:rFonts w:ascii="Symbol" w:hAnsi="Symbol" w:cs="Symbol"/>
    </w:rPr>
  </w:style>
  <w:style w:type="character" w:styleId="WW8Num33z0">
    <w:name w:val="WW8Num33z0"/>
    <w:qFormat/>
    <w:rPr>
      <w:rFonts w:ascii="Symbol" w:hAnsi="Symbol" w:cs="Symbol"/>
      <w:sz w:val="16"/>
    </w:rPr>
  </w:style>
  <w:style w:type="character" w:styleId="WW8Num34z0">
    <w:name w:val="WW8Num34z0"/>
    <w:qFormat/>
    <w:rPr>
      <w:rFonts w:ascii="Times New Roman" w:hAnsi="Times New Roman" w:eastAsia="Times New Roman" w:cs="Times New Roman"/>
    </w:rPr>
  </w:style>
  <w:style w:type="character" w:styleId="WW8Num34z1">
    <w:name w:val="WW8Num34z1"/>
    <w:qFormat/>
    <w:rPr>
      <w:rFonts w:ascii="Courier New" w:hAnsi="Courier New" w:cs="Wingdings"/>
    </w:rPr>
  </w:style>
  <w:style w:type="character" w:styleId="WW8Num34z2">
    <w:name w:val="WW8Num34z2"/>
    <w:qFormat/>
    <w:rPr>
      <w:rFonts w:ascii="Wingdings" w:hAnsi="Wingdings" w:cs="Wingdings"/>
    </w:rPr>
  </w:style>
  <w:style w:type="character" w:styleId="WW8Num34z3">
    <w:name w:val="WW8Num34z3"/>
    <w:qFormat/>
    <w:rPr>
      <w:rFonts w:ascii="Symbol" w:hAnsi="Symbol" w:cs="Symbol"/>
    </w:rPr>
  </w:style>
  <w:style w:type="character" w:styleId="WW8Num35z0">
    <w:name w:val="WW8Num35z0"/>
    <w:qFormat/>
    <w:rPr/>
  </w:style>
  <w:style w:type="character" w:styleId="WW8Num35z1">
    <w:name w:val="WW8Num35z1"/>
    <w:qFormat/>
    <w:rPr>
      <w:rFonts w:ascii="Courier New" w:hAnsi="Courier New" w:cs="Courier New"/>
    </w:rPr>
  </w:style>
  <w:style w:type="character" w:styleId="WW8Num35z2">
    <w:name w:val="WW8Num35z2"/>
    <w:qFormat/>
    <w:rPr>
      <w:rFonts w:ascii="Wingdings" w:hAnsi="Wingdings" w:cs="Wingdings"/>
    </w:rPr>
  </w:style>
  <w:style w:type="character" w:styleId="WW8Num35z3">
    <w:name w:val="WW8Num35z3"/>
    <w:qFormat/>
    <w:rPr>
      <w:rFonts w:ascii="Symbol" w:hAnsi="Symbol" w:cs="Symbol"/>
    </w:rPr>
  </w:style>
  <w:style w:type="character" w:styleId="WW8Num36z0">
    <w:name w:val="WW8Num36z0"/>
    <w:qFormat/>
    <w:rPr/>
  </w:style>
  <w:style w:type="character" w:styleId="WW8Num36z1">
    <w:name w:val="WW8Num36z1"/>
    <w:qFormat/>
    <w:rPr>
      <w:rFonts w:ascii="Courier New" w:hAnsi="Courier New" w:cs="Courier New"/>
    </w:rPr>
  </w:style>
  <w:style w:type="character" w:styleId="WW8Num36z2">
    <w:name w:val="WW8Num36z2"/>
    <w:qFormat/>
    <w:rPr>
      <w:rFonts w:ascii="Wingdings" w:hAnsi="Wingdings" w:cs="Wingdings"/>
    </w:rPr>
  </w:style>
  <w:style w:type="character" w:styleId="WW8Num36z3">
    <w:name w:val="WW8Num36z3"/>
    <w:qFormat/>
    <w:rPr>
      <w:rFonts w:ascii="Symbol" w:hAnsi="Symbol" w:cs="Symbol"/>
    </w:rPr>
  </w:style>
  <w:style w:type="character" w:styleId="WW8Num38z0">
    <w:name w:val="WW8Num38z0"/>
    <w:qFormat/>
    <w:rPr/>
  </w:style>
  <w:style w:type="character" w:styleId="WW8Num38z1">
    <w:name w:val="WW8Num38z1"/>
    <w:qFormat/>
    <w:rPr>
      <w:rFonts w:ascii="Courier New" w:hAnsi="Courier New" w:cs="Courier New"/>
    </w:rPr>
  </w:style>
  <w:style w:type="character" w:styleId="WW8Num38z2">
    <w:name w:val="WW8Num38z2"/>
    <w:qFormat/>
    <w:rPr>
      <w:rFonts w:ascii="Wingdings" w:hAnsi="Wingdings" w:cs="Wingdings"/>
    </w:rPr>
  </w:style>
  <w:style w:type="character" w:styleId="WW8Num38z3">
    <w:name w:val="WW8Num38z3"/>
    <w:qFormat/>
    <w:rPr>
      <w:rFonts w:ascii="Symbol" w:hAnsi="Symbol" w:cs="Symbol"/>
    </w:rPr>
  </w:style>
  <w:style w:type="character" w:styleId="WW8NumSt1z0">
    <w:name w:val="WW8NumSt1z0"/>
    <w:qFormat/>
    <w:rPr>
      <w:rFonts w:ascii="Symbol" w:hAnsi="Symbol" w:cs="Symbol"/>
    </w:rPr>
  </w:style>
  <w:style w:type="character" w:styleId="WW8NumSt7z0">
    <w:name w:val="WW8NumSt7z0"/>
    <w:qFormat/>
    <w:rPr>
      <w:rFonts w:ascii="Symbol" w:hAnsi="Symbol" w:cs="Symbol"/>
    </w:rPr>
  </w:style>
  <w:style w:type="character" w:styleId="Policepardfaut">
    <w:name w:val="Police par défaut"/>
    <w:qFormat/>
    <w:rPr/>
  </w:style>
  <w:style w:type="character" w:styleId="FootnoteCharacters">
    <w:name w:val="Footnote Characters"/>
    <w:qFormat/>
    <w:rPr>
      <w:vertAlign w:val="superscript"/>
    </w:rPr>
  </w:style>
  <w:style w:type="character" w:styleId="PageNumber">
    <w:name w:val="page number"/>
    <w:basedOn w:val="Policepardfaut"/>
    <w:rPr/>
  </w:style>
  <w:style w:type="character" w:styleId="PieddepageCar">
    <w:name w:val="Pied de page Car"/>
    <w:qFormat/>
    <w:rPr>
      <w:color w:val="00FFFF"/>
      <w:sz w:val="24"/>
      <w:lang w:val="fr-FR"/>
    </w:rPr>
  </w:style>
  <w:style w:type="character" w:styleId="Hyperlink">
    <w:name w:val="Hyperlink"/>
    <w:rPr>
      <w:color w:val="0000FF"/>
      <w:u w:val="single"/>
    </w:rPr>
  </w:style>
  <w:style w:type="character" w:styleId="TextedebullesCar">
    <w:name w:val="Texte de bulles Car"/>
    <w:qFormat/>
    <w:rPr>
      <w:rFonts w:ascii="Segoe UI" w:hAnsi="Segoe UI" w:cs="Segoe UI"/>
      <w:color w:val="00FFFF"/>
      <w:sz w:val="18"/>
      <w:szCs w:val="18"/>
      <w:lang w:val="fr-FR"/>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jc w:val="both"/>
    </w:pPr>
    <w:rPr>
      <w:i/>
      <w:color w:val="auto"/>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suppressLineNumbers/>
      <w:tabs>
        <w:tab w:val="clear" w:pos="567"/>
        <w:tab w:val="center" w:pos="4819" w:leader="none"/>
        <w:tab w:val="right" w:pos="9638" w:leader="none"/>
      </w:tabs>
    </w:pPr>
    <w:rPr/>
  </w:style>
  <w:style w:type="paragraph" w:styleId="Header">
    <w:name w:val="header"/>
    <w:next w:val="Normal"/>
    <w:pPr>
      <w:widowControl/>
      <w:bidi w:val="0"/>
      <w:spacing w:lineRule="exact" w:line="240" w:before="0" w:after="480"/>
      <w:jc w:val="center"/>
    </w:pPr>
    <w:rPr>
      <w:rFonts w:ascii="Elite;Courier New" w:hAnsi="Elite;Courier New" w:eastAsia="Times New Roman" w:cs="Elite;Courier New"/>
      <w:color w:val="auto"/>
      <w:sz w:val="24"/>
      <w:szCs w:val="20"/>
      <w:lang w:val="fr-FR" w:bidi="ar-SA" w:eastAsia="zh-CN"/>
    </w:rPr>
  </w:style>
  <w:style w:type="paragraph" w:styleId="concerne">
    <w:name w:val="concerne"/>
    <w:basedOn w:val="Normal"/>
    <w:qFormat/>
    <w:pPr>
      <w:spacing w:before="1440" w:after="0"/>
      <w:ind w:hanging="1134" w:start="1134" w:end="0"/>
    </w:pPr>
    <w:rPr>
      <w:b/>
    </w:rPr>
  </w:style>
  <w:style w:type="paragraph" w:styleId="texte">
    <w:name w:val="texte"/>
    <w:basedOn w:val="Normal"/>
    <w:qFormat/>
    <w:pPr>
      <w:ind w:firstLine="1134" w:start="0" w:end="0"/>
      <w:jc w:val="both"/>
    </w:pPr>
    <w:rPr/>
  </w:style>
  <w:style w:type="paragraph" w:styleId="adresse">
    <w:name w:val="adresse"/>
    <w:basedOn w:val="Normal"/>
    <w:qFormat/>
    <w:pPr>
      <w:tabs>
        <w:tab w:val="clear" w:pos="567"/>
        <w:tab w:val="left" w:pos="4820" w:leader="none"/>
      </w:tabs>
      <w:spacing w:before="1920" w:after="0"/>
      <w:ind w:hanging="0" w:start="4820" w:end="0"/>
    </w:pPr>
    <w:rPr/>
  </w:style>
  <w:style w:type="paragraph" w:styleId="signature">
    <w:name w:val="signature"/>
    <w:basedOn w:val="Normal"/>
    <w:qFormat/>
    <w:pPr>
      <w:tabs>
        <w:tab w:val="clear" w:pos="567"/>
        <w:tab w:val="left" w:pos="5670" w:leader="none"/>
      </w:tabs>
      <w:ind w:hanging="0" w:start="5670" w:end="0"/>
    </w:pPr>
    <w:rPr/>
  </w:style>
  <w:style w:type="paragraph" w:styleId="rfrence">
    <w:name w:val="référence"/>
    <w:basedOn w:val="Normal"/>
    <w:qFormat/>
    <w:pPr/>
    <w:rPr/>
  </w:style>
  <w:style w:type="paragraph" w:styleId="rapport">
    <w:name w:val="rapport"/>
    <w:basedOn w:val="Normal"/>
    <w:qFormat/>
    <w:pPr>
      <w:ind w:hanging="0" w:start="567" w:end="0"/>
    </w:pPr>
    <w:rPr/>
  </w:style>
  <w:style w:type="paragraph" w:styleId="FootnoteText">
    <w:name w:val="footnote text"/>
    <w:basedOn w:val="Normal"/>
    <w:pPr/>
    <w:rPr>
      <w:sz w:val="20"/>
    </w:rPr>
  </w:style>
  <w:style w:type="paragraph" w:styleId="Footer">
    <w:name w:val="footer"/>
    <w:basedOn w:val="Normal"/>
    <w:pPr>
      <w:tabs>
        <w:tab w:val="clear" w:pos="567"/>
        <w:tab w:val="center" w:pos="4536" w:leader="none"/>
        <w:tab w:val="right" w:pos="9072" w:leader="none"/>
      </w:tabs>
    </w:pPr>
    <w:rPr/>
  </w:style>
  <w:style w:type="paragraph" w:styleId="Corpsdetexte2">
    <w:name w:val="Corps de texte 2"/>
    <w:basedOn w:val="Normal"/>
    <w:qFormat/>
    <w:pPr>
      <w:pBdr>
        <w:top w:val="single" w:sz="12" w:space="1" w:color="000000"/>
        <w:left w:val="single" w:sz="12" w:space="1" w:color="000000"/>
        <w:bottom w:val="single" w:sz="12" w:space="1" w:color="000000"/>
        <w:right w:val="single" w:sz="12" w:space="1" w:color="000000"/>
      </w:pBdr>
      <w:jc w:val="both"/>
    </w:pPr>
    <w:rPr>
      <w:b/>
      <w:color w:val="auto"/>
    </w:rPr>
  </w:style>
  <w:style w:type="paragraph" w:styleId="Corpsdetexte3">
    <w:name w:val="Corps de texte 3"/>
    <w:basedOn w:val="Normal"/>
    <w:qFormat/>
    <w:pPr/>
    <w:rPr>
      <w:i/>
      <w:color w:val="auto"/>
    </w:rPr>
  </w:style>
  <w:style w:type="paragraph" w:styleId="BodyTextIndent">
    <w:name w:val="Body Text Indent"/>
    <w:basedOn w:val="Normal"/>
    <w:pPr>
      <w:tabs>
        <w:tab w:val="clear" w:pos="567"/>
        <w:tab w:val="left" w:pos="142" w:leader="none"/>
      </w:tabs>
      <w:spacing w:lineRule="atLeast" w:line="300"/>
      <w:ind w:hanging="0" w:start="360" w:end="0"/>
      <w:jc w:val="both"/>
    </w:pPr>
    <w:rPr>
      <w:i/>
      <w:color w:val="auto"/>
    </w:rPr>
  </w:style>
  <w:style w:type="paragraph" w:styleId="Puces1">
    <w:name w:val="Puces 1"/>
    <w:basedOn w:val="Normal"/>
    <w:qFormat/>
    <w:pPr>
      <w:tabs>
        <w:tab w:val="clear" w:pos="567"/>
        <w:tab w:val="left" w:pos="284" w:leader="none"/>
      </w:tabs>
      <w:spacing w:lineRule="atLeast" w:line="300"/>
      <w:jc w:val="both"/>
    </w:pPr>
    <w:rPr>
      <w:i/>
      <w:color w:val="auto"/>
    </w:rPr>
  </w:style>
  <w:style w:type="paragraph" w:styleId="Retraitcorpsdetexte2">
    <w:name w:val="Retrait corps de texte 2"/>
    <w:basedOn w:val="Normal"/>
    <w:qFormat/>
    <w:pPr>
      <w:tabs>
        <w:tab w:val="clear" w:pos="567"/>
        <w:tab w:val="left" w:pos="142" w:leader="none"/>
        <w:tab w:val="left" w:pos="284" w:leader="none"/>
      </w:tabs>
      <w:spacing w:lineRule="atLeast" w:line="300"/>
      <w:ind w:hanging="0" w:start="284" w:end="0"/>
      <w:jc w:val="both"/>
    </w:pPr>
    <w:rPr>
      <w:i/>
      <w:color w:val="auto"/>
    </w:rPr>
  </w:style>
  <w:style w:type="paragraph" w:styleId="Retraitcorpsdetexte3">
    <w:name w:val="Retrait corps de texte 3"/>
    <w:basedOn w:val="Normal"/>
    <w:qFormat/>
    <w:pPr>
      <w:tabs>
        <w:tab w:val="clear" w:pos="567"/>
        <w:tab w:val="left" w:pos="180" w:leader="none"/>
      </w:tabs>
      <w:spacing w:lineRule="atLeast" w:line="300"/>
      <w:ind w:hanging="0" w:start="357" w:end="0"/>
      <w:jc w:val="both"/>
    </w:pPr>
    <w:rPr>
      <w:i/>
      <w:color w:val="auto"/>
    </w:rPr>
  </w:style>
  <w:style w:type="paragraph" w:styleId="Puces2">
    <w:name w:val="Puces 2"/>
    <w:basedOn w:val="Puces1"/>
    <w:qFormat/>
    <w:pPr>
      <w:numPr>
        <w:ilvl w:val="0"/>
        <w:numId w:val="2"/>
      </w:numPr>
      <w:pBdr>
        <w:top w:val="single" w:sz="12" w:space="1" w:color="000000"/>
        <w:left w:val="single" w:sz="12" w:space="4" w:color="000000"/>
        <w:bottom w:val="single" w:sz="12" w:space="1" w:color="000000"/>
        <w:right w:val="single" w:sz="12" w:space="4" w:color="000000"/>
      </w:pBdr>
    </w:pPr>
    <w:rPr>
      <w:i w:val="false"/>
    </w:rPr>
  </w:style>
  <w:style w:type="paragraph" w:styleId="cadre">
    <w:name w:val="cadre"/>
    <w:basedOn w:val="Normal"/>
    <w:qFormat/>
    <w:pPr>
      <w:pBdr>
        <w:top w:val="single" w:sz="12" w:space="1" w:color="000000"/>
        <w:left w:val="single" w:sz="12" w:space="4" w:color="000000"/>
        <w:bottom w:val="single" w:sz="12" w:space="1" w:color="000000"/>
        <w:right w:val="single" w:sz="12" w:space="4" w:color="000000"/>
      </w:pBdr>
      <w:spacing w:lineRule="atLeast" w:line="300"/>
      <w:jc w:val="both"/>
    </w:pPr>
    <w:rPr>
      <w:color w:val="auto"/>
    </w:rPr>
  </w:style>
  <w:style w:type="paragraph" w:styleId="Textedebulles">
    <w:name w:val="Texte de bulles"/>
    <w:basedOn w:val="Normal"/>
    <w:qFormat/>
    <w:pPr>
      <w:spacing w:lineRule="auto" w:line="240"/>
    </w:pPr>
    <w:rPr>
      <w:rFonts w:ascii="Segoe UI" w:hAnsi="Segoe UI" w:cs="Segoe UI"/>
      <w:sz w:val="18"/>
      <w:szCs w:val="18"/>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 w:type="numbering" w:styleId="WW8Num30">
    <w:name w:val="WW8Num30"/>
    <w:qFormat/>
  </w:style>
  <w:style w:type="numbering" w:styleId="WW8Num31">
    <w:name w:val="WW8Num31"/>
    <w:qFormat/>
  </w:style>
  <w:style w:type="numbering" w:styleId="WW8Num32">
    <w:name w:val="WW8Num32"/>
    <w:qFormat/>
  </w:style>
  <w:style w:type="numbering" w:styleId="WW8Num33">
    <w:name w:val="WW8Num33"/>
    <w:qFormat/>
  </w:style>
  <w:style w:type="numbering" w:styleId="WW8Num34">
    <w:name w:val="WW8Num34"/>
    <w:qFormat/>
  </w:style>
  <w:style w:type="numbering" w:styleId="WW8Num35">
    <w:name w:val="WW8Num35"/>
    <w:qFormat/>
  </w:style>
  <w:style w:type="numbering" w:styleId="WW8Num36">
    <w:name w:val="WW8Num36"/>
    <w:qFormat/>
  </w:style>
  <w:style w:type="numbering" w:styleId="WW8Num37">
    <w:name w:val="WW8Num37"/>
    <w:qFormat/>
  </w:style>
  <w:style w:type="numbering" w:styleId="WW8Num38">
    <w:name w:val="WW8Num38"/>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LibreOffice/25.8.6.2$Linux_X86_64 LibreOffice_project/580$Build-2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2023-12-12T15:51:00Z</dcterms:created>
  <dc:creator>MRW</dc:creator>
  <dc:description/>
  <cp:keywords/>
  <dc:language>fr-FR</dc:language>
  <cp:lastModifiedBy>MICHAUX Gauthier</cp:lastModifiedBy>
  <cp:lastPrinted>2004-02-10T11:54:00Z</cp:lastPrinted>
  <dcterms:modified xsi:type="dcterms:W3CDTF">2023-12-27T17:47:00Z</dcterms:modified>
  <cp:revision>3</cp:revision>
  <dc:subject/>
  <dc:title>03.06.97</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72a09c5-6e26-4737-a926-47ef1ab198ae_ActionId">
    <vt:lpwstr>65be5f9c-5a1c-4673-b2ca-44be81b036cb</vt:lpwstr>
  </property>
  <property fmtid="{D5CDD505-2E9C-101B-9397-08002B2CF9AE}" pid="3" name="MSIP_Label_e72a09c5-6e26-4737-a926-47ef1ab198ae_ContentBits">
    <vt:lpwstr>8</vt:lpwstr>
  </property>
  <property fmtid="{D5CDD505-2E9C-101B-9397-08002B2CF9AE}" pid="4" name="MSIP_Label_e72a09c5-6e26-4737-a926-47ef1ab198ae_Enabled">
    <vt:lpwstr>true</vt:lpwstr>
  </property>
  <property fmtid="{D5CDD505-2E9C-101B-9397-08002B2CF9AE}" pid="5" name="MSIP_Label_e72a09c5-6e26-4737-a926-47ef1ab198ae_Method">
    <vt:lpwstr>Standard</vt:lpwstr>
  </property>
  <property fmtid="{D5CDD505-2E9C-101B-9397-08002B2CF9AE}" pid="6" name="MSIP_Label_e72a09c5-6e26-4737-a926-47ef1ab198ae_Name">
    <vt:lpwstr>e72a09c5-6e26-4737-a926-47ef1ab198ae</vt:lpwstr>
  </property>
  <property fmtid="{D5CDD505-2E9C-101B-9397-08002B2CF9AE}" pid="7" name="MSIP_Label_e72a09c5-6e26-4737-a926-47ef1ab198ae_SetDate">
    <vt:lpwstr>2021-04-01T14:56:38Z</vt:lpwstr>
  </property>
  <property fmtid="{D5CDD505-2E9C-101B-9397-08002B2CF9AE}" pid="8" name="MSIP_Label_e72a09c5-6e26-4737-a926-47ef1ab198ae_SiteId">
    <vt:lpwstr>1f816a84-7aa6-4a56-b22a-7b3452fa8681</vt:lpwstr>
  </property>
</Properties>
</file>