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atLeast" w:line="300"/>
        <w:jc w:val="center"/>
        <w:rPr>
          <w:b/>
          <w:color w:val="000000"/>
          <w:sz w:val="28"/>
        </w:rPr>
      </w:pPr>
      <w:r>
        <w:rPr>
          <w:b/>
          <w:caps/>
          <w:color w:val="000000"/>
          <w:sz w:val="28"/>
        </w:rPr>
        <w:t xml:space="preserve">Précisions et commentaires relatifs àU chapitre I </w:t>
        <w:br/>
        <w:t>– Drainage et égouttage du CCT QUALIROUTES</w:t>
      </w:r>
    </w:p>
    <w:p>
      <w:pPr>
        <w:pStyle w:val="Normal"/>
        <w:spacing w:lineRule="atLeast" w:line="300"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1.2.1. Drainage – Matériaux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 xml:space="preserve">Indiquer au </w:t>
      </w:r>
      <w:r>
        <w:rPr>
          <w:color w:val="0000FF"/>
        </w:rPr>
        <w:t>C. 38.2</w:t>
      </w:r>
      <w:r>
        <w:rPr/>
        <w:t xml:space="preserve"> si l’utilisation d’un ciment à haute résistance aux sulfates est obligatoire.</w:t>
      </w:r>
    </w:p>
    <w:p>
      <w:pPr>
        <w:pStyle w:val="Puces2"/>
        <w:numPr>
          <w:ilvl w:val="0"/>
          <w:numId w:val="3"/>
        </w:numPr>
        <w:rPr/>
      </w:pPr>
      <w:r>
        <w:rPr/>
        <w:t>Indiquer la nature et le diamètre des tuyaux drainants.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1.2.2.1. Drainage – Exécution – Type 1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2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où des tuyaux de drainage sont raccordés s’ils ne le sont pas dans les chambres de visite.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1.2.2.2 – Drainage – Exécution – type 2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2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la profondeur de pose du drain.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1.2.2.3. Drainage – Exécution – Type 3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>Indiquer si les matériaux de remblais sont différents des matériaux de déblais</w:t>
      </w:r>
    </w:p>
    <w:p>
      <w:pPr>
        <w:pStyle w:val="Puces2"/>
        <w:numPr>
          <w:ilvl w:val="0"/>
          <w:numId w:val="3"/>
        </w:numPr>
        <w:rPr/>
      </w:pPr>
      <w:r>
        <w:rPr/>
        <w:t>Indiquer, le cas échéant, le sens de pose des géocomposites.</w:t>
      </w:r>
    </w:p>
    <w:p>
      <w:pPr>
        <w:pStyle w:val="Puces2"/>
        <w:numPr>
          <w:ilvl w:val="0"/>
          <w:numId w:val="3"/>
        </w:numPr>
        <w:rPr/>
      </w:pPr>
      <w:r>
        <w:rPr/>
        <w:t xml:space="preserve">Indiquer au </w:t>
      </w:r>
      <w:r>
        <w:rPr>
          <w:color w:val="0000FF"/>
        </w:rPr>
        <w:t>C. 26.2.2</w:t>
      </w:r>
      <w:r>
        <w:rPr/>
        <w:t xml:space="preserve"> l’épaisseur et la masse surfacique du produit.</w:t>
      </w:r>
    </w:p>
    <w:p>
      <w:pPr>
        <w:pStyle w:val="Puces2"/>
        <w:numPr>
          <w:ilvl w:val="0"/>
          <w:numId w:val="3"/>
        </w:numPr>
        <w:rPr/>
      </w:pPr>
      <w:r>
        <w:rPr/>
        <w:t xml:space="preserve">Indiquer au </w:t>
      </w:r>
      <w:r>
        <w:rPr>
          <w:color w:val="0000FF"/>
        </w:rPr>
        <w:t>C. 26.2.3</w:t>
      </w:r>
      <w:r>
        <w:rPr/>
        <w:t xml:space="preserve"> les performances mécaniques des noyaux drainants.</w:t>
      </w:r>
    </w:p>
    <w:p>
      <w:pPr>
        <w:pStyle w:val="Puces2"/>
        <w:numPr>
          <w:ilvl w:val="0"/>
          <w:numId w:val="3"/>
        </w:numPr>
        <w:rPr/>
      </w:pPr>
      <w:r>
        <w:rPr/>
        <w:t xml:space="preserve">Indiquer au </w:t>
      </w:r>
      <w:r>
        <w:rPr>
          <w:color w:val="0000FF"/>
        </w:rPr>
        <w:t>C. 26.2.4</w:t>
      </w:r>
      <w:r>
        <w:rPr/>
        <w:t xml:space="preserve"> le nombre de faces recouvertes d’un filtre en géotextile et la présence éventuelle d’une membrane imperméable. Indiquer également la hauteur et l’épaisseur du géocomposite, ainsi que sa capacité d’écoulement d’eau.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2.2. Canalisations en tuyaux – Clauses techniques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Les points suivants de la norme NBN EN 1610 sont à préciser: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2.2. - 5.2. Composants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>Indiquer la nature du matériau, les diamètres nominaux des tuyaux, le type de tuyaux, leur classe de résistance.</w:t>
      </w:r>
    </w:p>
    <w:p>
      <w:pPr>
        <w:pStyle w:val="Puces2"/>
        <w:numPr>
          <w:ilvl w:val="0"/>
          <w:numId w:val="3"/>
        </w:numPr>
        <w:rPr/>
      </w:pPr>
      <w:r>
        <w:rPr/>
        <w:t xml:space="preserve">Indiquer au </w:t>
      </w:r>
      <w:r>
        <w:rPr>
          <w:color w:val="0000FF"/>
        </w:rPr>
        <w:t>C. 38.2</w:t>
      </w:r>
      <w:r>
        <w:rPr/>
        <w:t xml:space="preserve"> si l’utilisation d’un ciment à haute résistance aux sulfates est obligatoire.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I. 2.2. - 5.3. Matériaux utilisés pour l’enrobage</w:t>
      </w:r>
    </w:p>
    <w:p>
      <w:pPr>
        <w:pStyle w:val="Normal"/>
        <w:keepNext w:val="true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la nature du matériau d’enrobage.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2.2. - 5.3.3.2. Matériaux traités aux liants hydrauliques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le matériau utilisé pour le lit de pose si ce matériaux n’est pas du sable-ciment.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2.2. - 7.2. Types d’appui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le type d’appui et la valeur de b ou de k.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2.2. - 7.2.1. Types d’appui n° 1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l’épaisseur du lit de pose si celle-ci diffère de 150 mm.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2.2. - 8.5.2. Tracé et profil en long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En l’absence de plans, préciser les pentes et niveaux prescrits.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2.2. - 13.3. Essais à l’eau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le nombre d’essais.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2.2. - 13.4. Essai à l'air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la méthodologie de l’essai à l’air sur base des dispositions de la norme NBN EN 1610 13.2.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3.2.1. Raccordements – Matériaux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0"/>
        </w:numPr>
        <w:ind w:hanging="0" w:start="0"/>
        <w:rPr/>
      </w:pPr>
      <w:r>
        <w:rPr/>
        <w:t>Indiquer:</w:t>
      </w:r>
    </w:p>
    <w:p>
      <w:pPr>
        <w:pStyle w:val="Puces2"/>
        <w:numPr>
          <w:ilvl w:val="0"/>
          <w:numId w:val="3"/>
        </w:numPr>
        <w:rPr/>
      </w:pPr>
      <w:r>
        <w:rPr/>
        <w:t>la nature, la classe de résistance et le diamètre nominal des tuyaux</w:t>
      </w:r>
    </w:p>
    <w:p>
      <w:pPr>
        <w:pStyle w:val="Puces2"/>
        <w:numPr>
          <w:ilvl w:val="0"/>
          <w:numId w:val="3"/>
        </w:numPr>
        <w:rPr/>
      </w:pPr>
      <w:r>
        <w:rPr/>
        <w:t>la nature du matériau d’enrobage.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I. 3.2.2.3. Raccordements particuliers d’immeubles</w:t>
      </w:r>
    </w:p>
    <w:p>
      <w:pPr>
        <w:pStyle w:val="Normal"/>
        <w:keepNext w:val="true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au plan l’implantation des raccordements particuliers ainsi que les regards de visite en attente.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rPr/>
      </w:pPr>
      <w:r>
        <w:rPr/>
        <w:t>A défaut, l’implantation devra être fixée sur place par le fonctionnaire dirigeant.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Le cas échéant, indiquer la nature et la section du tuyau de regard ainsi que le type d’élément sur lequel il est placé.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rPr/>
      </w:pPr>
      <w:r>
        <w:rPr/>
        <w:t>Pour ce qui concerne le percement et pour autant que l’épaisseur du tuyau le permette, le forage peut être effectué au moyen d’une carotteuse à deux étages de façon que la collerette de la tubulure prenne appui sur toute la périphérie.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4.2. Mise en œuvre de tuyaux sans tranchées - Foncages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le cas échéant la technique d’exécution et le diamètre minimum.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4.2.1. Mise en œuvre de tuyaux sans tranchées – Description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>Indiquer si le fonçage est exécuté dans la nappe aquifère et dans ce cas, si l’utilisation de puits filtrants est autorisée.</w:t>
      </w:r>
    </w:p>
    <w:p>
      <w:pPr>
        <w:pStyle w:val="Puces2"/>
        <w:numPr>
          <w:ilvl w:val="0"/>
          <w:numId w:val="3"/>
        </w:numPr>
        <w:rPr/>
      </w:pPr>
      <w:r>
        <w:rPr/>
        <w:t>Fournir les essais géotechniques.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4.2.2.1. Mise en œuvre de tuyaux sans tranchées – Matériaux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>Indiquer, le cas échéant, la nature des tuyaux, le type de joints, la classe de résistance, les dimensions et la forme de la section d’écoulement.</w:t>
      </w:r>
    </w:p>
    <w:p>
      <w:pPr>
        <w:pStyle w:val="Puces2"/>
        <w:numPr>
          <w:ilvl w:val="0"/>
          <w:numId w:val="3"/>
        </w:numPr>
        <w:rPr/>
      </w:pPr>
      <w:r>
        <w:rPr/>
        <w:t>Indiquer si l’utilisation d’un anneau de répartition de poussée est imposée.</w:t>
      </w:r>
    </w:p>
    <w:p>
      <w:pPr>
        <w:pStyle w:val="Normal"/>
        <w:jc w:val="both"/>
        <w:rPr>
          <w:b/>
          <w:i/>
          <w:color w:val="000000"/>
        </w:rPr>
      </w:pPr>
      <w:r>
        <w:rPr>
          <w:b/>
          <w:i/>
          <w:color w:val="000000"/>
        </w:rPr>
      </w:r>
    </w:p>
    <w:p>
      <w:pPr>
        <w:pStyle w:val="Normal"/>
        <w:jc w:val="both"/>
        <w:rPr>
          <w:b/>
          <w:i/>
          <w:color w:val="000000"/>
        </w:rPr>
      </w:pPr>
      <w:r>
        <w:rPr>
          <w:b/>
          <w:i/>
          <w:color w:val="000000"/>
        </w:rPr>
      </w:r>
    </w:p>
    <w:p>
      <w:pPr>
        <w:pStyle w:val="Heading1"/>
        <w:ind w:hanging="0" w:start="0"/>
        <w:rPr/>
      </w:pPr>
      <w:r>
        <w:rPr/>
        <w:t>I. 4.2.3 MISE EN ŒUVRE DE TUYAUX SANS TRANCHEE – FONCAGE - SPECIFICATIONS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>Indiquer si le profil en long et/ou le tracé sont d’importance primordiale pour le bon fonctionnement de l’ouvrage.</w:t>
      </w:r>
    </w:p>
    <w:p>
      <w:pPr>
        <w:pStyle w:val="Puces2"/>
        <w:numPr>
          <w:ilvl w:val="0"/>
          <w:numId w:val="3"/>
        </w:numPr>
        <w:rPr/>
      </w:pPr>
      <w:r>
        <w:rPr/>
        <w:t xml:space="preserve">Indiquer les tolérances si elles diffèrent de celles du </w:t>
      </w:r>
      <w:r>
        <w:rPr>
          <w:color w:val="0000FF"/>
        </w:rPr>
        <w:t>I. 4.2.3</w:t>
      </w:r>
      <w:r>
        <w:rPr/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I. 4.2.5.1. MISE EN ŒUVRE DE TUYAUX SANS TRANCHEE – FONCAGE - MESURAGE</w:t>
      </w:r>
    </w:p>
    <w:p>
      <w:pPr>
        <w:pStyle w:val="Normal"/>
        <w:keepNext w:val="true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le cas échéant des postes de démolition de maçonnerie et/ou de démolition de béton et d’élément rocheux.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Heading1"/>
        <w:ind w:hanging="0" w:start="0"/>
        <w:rPr/>
      </w:pPr>
      <w:r>
        <w:rPr/>
        <w:t>I. 4.3.2.1. FORAGE DIRIGE - matériaux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la nature et les dimensions des tuyaux, la classe de résistance et le type de joints.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4.3.3.1. Forage dirigé – Vue en plan</w:t>
      </w:r>
    </w:p>
    <w:p>
      <w:pPr>
        <w:pStyle w:val="Normal"/>
        <w:jc w:val="both"/>
        <w:rPr>
          <w:b/>
          <w:i/>
          <w:color w:val="000000"/>
        </w:rPr>
      </w:pPr>
      <w:r>
        <w:rPr>
          <w:b/>
          <w:i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la tolérance si elle diffère d’1 m maximum.</w:t>
      </w:r>
    </w:p>
    <w:p>
      <w:pPr>
        <w:pStyle w:val="Normal"/>
        <w:jc w:val="both"/>
        <w:rPr>
          <w:b/>
          <w:i/>
          <w:color w:val="000000"/>
        </w:rPr>
      </w:pPr>
      <w:r>
        <w:rPr>
          <w:b/>
          <w:i/>
          <w:color w:val="000000"/>
        </w:rPr>
      </w:r>
    </w:p>
    <w:p>
      <w:pPr>
        <w:pStyle w:val="Normal"/>
        <w:jc w:val="both"/>
        <w:rPr>
          <w:b/>
          <w:i/>
          <w:color w:val="000000"/>
        </w:rPr>
      </w:pPr>
      <w:r>
        <w:rPr>
          <w:b/>
          <w:i/>
          <w:color w:val="000000"/>
        </w:rPr>
      </w:r>
    </w:p>
    <w:p>
      <w:pPr>
        <w:pStyle w:val="Heading1"/>
        <w:ind w:hanging="0" w:start="0"/>
        <w:rPr/>
      </w:pPr>
      <w:r>
        <w:rPr/>
        <w:t>I. 4.3.4.2. Forage dirigé – Réfactions pour manquements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Indiquer si la mise en conformité est acceptée.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6. Avaloirs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 xml:space="preserve">Préciser le type d’avaloir et ses caractéristiques. </w:t>
      </w:r>
    </w:p>
    <w:p>
      <w:pPr>
        <w:pStyle w:val="Puces2"/>
        <w:numPr>
          <w:ilvl w:val="0"/>
          <w:numId w:val="3"/>
        </w:numPr>
        <w:rPr/>
      </w:pPr>
      <w:r>
        <w:rPr/>
        <w:t>Préciser si les avaloirs connectés aux aqueducs sont munis ou non de coupe-odeur.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Heading1"/>
        <w:ind w:hanging="0" w:start="0"/>
        <w:rPr/>
      </w:pPr>
      <w:r>
        <w:rPr/>
        <w:t>I. 7.2.1. Caniveaux – Matériaux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 xml:space="preserve">Indiquer au </w:t>
      </w:r>
      <w:r>
        <w:rPr>
          <w:color w:val="0000FF"/>
        </w:rPr>
        <w:t>C. 35.1.2</w:t>
      </w:r>
      <w:r>
        <w:rPr/>
        <w:t xml:space="preserve"> les dimensions des caniveaux à fente.</w:t>
      </w:r>
    </w:p>
    <w:p>
      <w:pPr>
        <w:pStyle w:val="Puces2"/>
        <w:numPr>
          <w:ilvl w:val="0"/>
          <w:numId w:val="3"/>
        </w:numPr>
        <w:rPr/>
      </w:pPr>
      <w:r>
        <w:rPr/>
        <w:t xml:space="preserve">Indiquer au </w:t>
      </w:r>
      <w:r>
        <w:rPr>
          <w:color w:val="0000FF"/>
        </w:rPr>
        <w:t>C. 35.2</w:t>
      </w:r>
      <w:r>
        <w:rPr/>
        <w:t xml:space="preserve"> les dimensions de la coupe en travers, le type de fondation, et le cas échéant les caractéristiques des grilles et le type de joints entre éléments.</w:t>
      </w:r>
    </w:p>
    <w:p>
      <w:pPr>
        <w:pStyle w:val="Puces2"/>
        <w:numPr>
          <w:ilvl w:val="0"/>
          <w:numId w:val="3"/>
        </w:numPr>
        <w:rPr/>
      </w:pPr>
      <w:r>
        <w:rPr/>
        <w:t xml:space="preserve">Indiquer aux </w:t>
      </w:r>
      <w:r>
        <w:rPr>
          <w:color w:val="0000FF"/>
        </w:rPr>
        <w:t>C. 35.1.2.2</w:t>
      </w:r>
      <w:r>
        <w:rPr/>
        <w:t xml:space="preserve"> et </w:t>
      </w:r>
      <w:r>
        <w:rPr>
          <w:color w:val="0000FF"/>
        </w:rPr>
        <w:t>C. 35.2.2.3</w:t>
      </w:r>
      <w:r>
        <w:rPr/>
        <w:t xml:space="preserve"> les prescriptions relatives aux caniveaux en polyester armé.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Heading1"/>
        <w:ind w:hanging="0" w:start="0"/>
        <w:rPr/>
      </w:pPr>
      <w:r>
        <w:rPr/>
        <w:t>I. 8.4.2.2.1. Chemisage continu polymèrISe en place – confection de la chemise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les sollicitations mécaniques et hydrauliques auxquelles la chemise doit résister.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I. 8.4.2.2.2. Chemisage continu polymèrISe en place – Introduction de la chemise</w:t>
      </w:r>
    </w:p>
    <w:p>
      <w:pPr>
        <w:pStyle w:val="Normal"/>
        <w:keepNext w:val="true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keepNext w:val="true"/>
        <w:numPr>
          <w:ilvl w:val="0"/>
          <w:numId w:val="3"/>
        </w:numPr>
        <w:rPr/>
      </w:pPr>
      <w:r>
        <w:rPr/>
        <w:t xml:space="preserve">Préciser la technique de réouverture des raccordements particuliers si elle diffère de celle prévue au </w:t>
      </w:r>
      <w:r>
        <w:rPr>
          <w:color w:val="0000FF"/>
        </w:rPr>
        <w:t>I. 8.4.2.2.2</w:t>
      </w:r>
      <w:r>
        <w:rPr/>
        <w:t>.</w:t>
      </w:r>
    </w:p>
    <w:p>
      <w:pPr>
        <w:pStyle w:val="Puces2"/>
        <w:keepNext w:val="true"/>
        <w:numPr>
          <w:ilvl w:val="0"/>
          <w:numId w:val="3"/>
        </w:numPr>
        <w:rPr/>
      </w:pPr>
      <w:r>
        <w:rPr/>
        <w:t>Préciser l'utilisation d'un préliner en cas de fortes infiltrations d’eau dans la canalisation.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8.4.2.4. Chemisage continu polymèrISe en place – Vérifications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 cas échéant d’autres vérifications spécifiques.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8.4.2.5.2. Chemisage continu polymèrISE en place – PAIEMENT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>Prescrire le cas échéant les postes spécifiques aux opérations préalables (curage, fraisage et éléminitation d’obstacles, …).</w:t>
      </w:r>
    </w:p>
    <w:p>
      <w:pPr>
        <w:pStyle w:val="Puces2"/>
        <w:numPr>
          <w:ilvl w:val="0"/>
          <w:numId w:val="3"/>
        </w:numPr>
        <w:rPr/>
      </w:pPr>
      <w:r>
        <w:rPr/>
        <w:t>Prescrire le cas échéant un poste spécifique pour inspection visuelle de contrôle.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Heading1"/>
        <w:ind w:hanging="0" w:start="0"/>
        <w:rPr/>
      </w:pPr>
      <w:r>
        <w:rPr/>
        <w:t>I. 8.4.2.5.2. Chemisage continu polymère en place – Réfactions pour manquement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les réfactions éventuelles à appliquer.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8.5.2.2. CHEMISage PARTIEL POLYMERISE EN PLACE - Exécution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>Préciser les sollicitations mécaniques et hydrauliques auxquelles la chemise doit résister.</w:t>
      </w:r>
    </w:p>
    <w:p>
      <w:pPr>
        <w:pStyle w:val="Puces2"/>
        <w:numPr>
          <w:ilvl w:val="0"/>
          <w:numId w:val="3"/>
        </w:numPr>
        <w:rPr/>
      </w:pPr>
      <w:r>
        <w:rPr/>
        <w:t>Préciser si l’écoulement des effluents doit être maintenu.</w:t>
      </w:r>
    </w:p>
    <w:p>
      <w:pPr>
        <w:pStyle w:val="Puces2"/>
        <w:numPr>
          <w:ilvl w:val="0"/>
          <w:numId w:val="3"/>
        </w:numPr>
        <w:rPr/>
      </w:pPr>
      <w:r>
        <w:rPr/>
        <w:t xml:space="preserve">Préciser la technique de réouverture des raccordements particuliers si celle-ci diffère de celle prévue au </w:t>
      </w:r>
      <w:r>
        <w:rPr>
          <w:color w:val="0000FF"/>
        </w:rPr>
        <w:t>I. 8.5.2.2</w:t>
      </w:r>
      <w:r>
        <w:rPr/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8.5.2.4. CHEMISage PARTIEL POLYMERISE EN PLACE - VERIFICATIONS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 cas échéant d’autres vérifications spécifiques.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8.5.2.5.2. Chemisage PARTIEL polymèrISE en place – PAIEMENT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>Prescrire le cas échéant les postes spécifiques aux opérations préalables (curage, fraisage et élémination d’obstacles, …).</w:t>
      </w:r>
    </w:p>
    <w:p>
      <w:pPr>
        <w:pStyle w:val="Puces2"/>
        <w:numPr>
          <w:ilvl w:val="0"/>
          <w:numId w:val="3"/>
        </w:numPr>
        <w:rPr/>
      </w:pPr>
      <w:r>
        <w:rPr/>
        <w:t>Prescrire le cas échéant un poste spécifique pour inspection visuelle de contrôle.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Heading1"/>
        <w:ind w:hanging="0" w:start="0"/>
        <w:rPr/>
      </w:pPr>
      <w:r>
        <w:rPr/>
        <w:t>I. 8.4.2.5.2. Chemisage PARTIEL polymèrISe en place – Réfactions pour manquement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les réfactions éventuelles à appliquer.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8.6.2.2. COQUES ET CUNETTES EN POLYESTER ARME DE FIBRES DE VERRE – Exécution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>Préciser la classe du mortier.</w:t>
      </w:r>
    </w:p>
    <w:p>
      <w:pPr>
        <w:pStyle w:val="Puces2"/>
        <w:numPr>
          <w:ilvl w:val="0"/>
          <w:numId w:val="3"/>
        </w:numPr>
        <w:rPr/>
      </w:pPr>
      <w:r>
        <w:rPr/>
        <w:t>Préciser la technique de réouverture des raccordements particuliers.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8.6.2.3. COQUES ET CUNETTES EN POLYESTER ARME DE FIBRES DE VERRE – Spécifications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la dimension des éléments, leur longueur et épaisseur.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8.6.2.4. COQUES ET CUNETTES EN POLYESTER ARME DE FIBRES DE VERRE – VERIFIcations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 cas échéant d’autres vérifications spécifiques.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8.6.2.5. COQUES ET CUNETTES EN POLYESTER ARME DE FIBRES DE VERRE –  PAIEMENT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 cas échéant un poste spécifique pour inspection visuelle de contrôle.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Heading1"/>
        <w:ind w:hanging="0" w:start="0"/>
        <w:rPr/>
      </w:pPr>
      <w:r>
        <w:rPr/>
        <w:t>I. 8.7.2.2. Tubage avec espace annulaire pour enroulement hélicoïdale en PVC rigide – Exécution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la classe du grout.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8.7.2.4. Tubage avec espace annulaire pour enroulement hélicoïdale en PVC rigide – VERIFIcations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 cas échéant d’autres vérifications spécifiques.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8.7.2.5. Tubage avec espace annulaire pour enroulement hélicoïdale en PVC rigide – PAIEMENT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 cas échéant un poste spécifique pour inspection visuelle de contrôle.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Heading1"/>
        <w:ind w:hanging="0" w:start="0"/>
        <w:rPr/>
      </w:pPr>
      <w:r>
        <w:rPr/>
        <w:t>I. 8.8.1. Tubage avec espace annulaire au moyen de tuyaux continus ou courts – DESCRIPTION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éventuellement la technique de remplissage de l’espace entre la canalisation existante et le nouveau tuyau.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Heading1"/>
        <w:ind w:hanging="0" w:start="0"/>
        <w:rPr>
          <w:b w:val="false"/>
          <w:color w:val="000000"/>
        </w:rPr>
      </w:pPr>
      <w:r>
        <w:rPr>
          <w:b w:val="false"/>
          <w:color w:val="000000"/>
        </w:rPr>
      </w:r>
    </w:p>
    <w:p>
      <w:pPr>
        <w:pStyle w:val="Heading1"/>
        <w:ind w:hanging="0" w:start="0"/>
        <w:rPr/>
      </w:pPr>
      <w:r>
        <w:rPr/>
        <w:t>I. 8.8.2.1. Tubage avec espace annulaire au moyen de tuyaux continus ou courts – MATERIAUX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la classe du mortier et le type d’assemblage des tuyaux.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Heading1"/>
        <w:ind w:hanging="0" w:start="0"/>
        <w:rPr/>
      </w:pPr>
      <w:r>
        <w:rPr/>
        <w:t>I. 8.8.2.4. Tubage avec espace annulaire au moyen de tuyaux continus ou courts – VERIFIcations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 cas échéant d’autres vérifications spécifiques.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8.8.2.5. Tubage avec espace annulaire au moyen de tuyaux continus ou courts – PAIEMENT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>Prescrire le cas échéant un poste spécifique pour inspection visuelle de contrôle.</w:t>
      </w:r>
    </w:p>
    <w:p>
      <w:pPr>
        <w:pStyle w:val="Puces2"/>
        <w:numPr>
          <w:ilvl w:val="0"/>
          <w:numId w:val="3"/>
        </w:numPr>
        <w:rPr/>
      </w:pPr>
      <w:r>
        <w:rPr/>
        <w:t>Prévoir des postes spécifiques pour préparation des lieux et fosses de travail adaptée au procédé choisi.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Heading1"/>
        <w:ind w:hanging="0" w:start="0"/>
        <w:rPr/>
      </w:pPr>
      <w:r>
        <w:rPr/>
        <w:t>I. 8.9.2.2.2. Panneaux préfabriqués en grès (dalles céramiques) – Réalisation sans coffrage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Prévoir le cas échéant l’exécution de joints de dilatation, et préciser le pas de ceux-ci.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Heading1"/>
        <w:ind w:hanging="0" w:start="0"/>
        <w:rPr/>
      </w:pPr>
      <w:r>
        <w:rPr/>
        <w:t>I. 8.9.2.5. Panneaux préfabriqués en grès (dalles céramiques) – PAIEMENT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 cas échéant un poste spécifique pour inspection visuelle de contrôle.</w:t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Normal"/>
        <w:jc w:val="both"/>
        <w:rPr>
          <w:b/>
          <w:caps/>
          <w:color w:val="000000"/>
        </w:rPr>
      </w:pPr>
      <w:r>
        <w:rPr>
          <w:b/>
          <w:caps/>
          <w:color w:val="000000"/>
        </w:rPr>
      </w:r>
    </w:p>
    <w:p>
      <w:pPr>
        <w:pStyle w:val="Heading1"/>
        <w:ind w:hanging="0" w:start="0"/>
        <w:rPr/>
      </w:pPr>
      <w:r>
        <w:rPr/>
        <w:t>I. 8.10.2.3 RENOVATION DE CANALISATIONS PAR PROJECTION DE MATERIAUX HYDRAULIQUE – SPECIFICATIONS</w:t>
      </w:r>
    </w:p>
    <w:p>
      <w:pPr>
        <w:pStyle w:val="Retraitcorpsdetexte2"/>
        <w:ind w:start="0" w:end="0"/>
        <w:rPr/>
      </w:pPr>
      <w:r>
        <w:rPr/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Prévoir le cas échéant un lissage des parois.</w:t>
      </w:r>
    </w:p>
    <w:p>
      <w:pPr>
        <w:pStyle w:val="Normal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Normal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Heading1"/>
        <w:ind w:hanging="0" w:start="0"/>
        <w:rPr/>
      </w:pPr>
      <w:r>
        <w:rPr/>
        <w:t>I. 8.10.2.5. RENOVATION DE CANALISATIONS PAR PROJECTION DE MATERIAUX HYDRAULIQUE – PAIEMENT</w:t>
      </w:r>
    </w:p>
    <w:p>
      <w:pPr>
        <w:pStyle w:val="Retraitcorpsdetexte2"/>
        <w:ind w:start="0" w:end="0"/>
        <w:rPr/>
      </w:pPr>
      <w:r>
        <w:rPr/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Prévoir le cas échéant des postes pour contrôles spécifiques.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Heading1"/>
        <w:ind w:hanging="0" w:start="0"/>
        <w:rPr/>
      </w:pPr>
      <w:r>
        <w:rPr/>
        <w:t>I. 8.11.2.1. REPARATION OU RENOVATION DE CANALISATIONS AU MOYEN D'UN MORTIER– Matériaux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0"/>
        </w:numPr>
        <w:ind w:hanging="0" w:start="0"/>
        <w:rPr/>
      </w:pPr>
      <w:r>
        <w:rPr/>
        <w:t xml:space="preserve">Préciser: </w:t>
      </w:r>
    </w:p>
    <w:p>
      <w:pPr>
        <w:pStyle w:val="Puces2"/>
        <w:numPr>
          <w:ilvl w:val="0"/>
          <w:numId w:val="3"/>
        </w:numPr>
        <w:rPr/>
      </w:pPr>
      <w:r>
        <w:rPr/>
        <w:t>l'épaisseur de la couche de mortier</w:t>
      </w:r>
    </w:p>
    <w:p>
      <w:pPr>
        <w:pStyle w:val="Puces2"/>
        <w:numPr>
          <w:ilvl w:val="0"/>
          <w:numId w:val="3"/>
        </w:numPr>
        <w:rPr/>
      </w:pPr>
      <w:r>
        <w:rPr/>
        <w:t>le type de mortier</w:t>
      </w:r>
    </w:p>
    <w:p>
      <w:pPr>
        <w:pStyle w:val="Puces2"/>
        <w:numPr>
          <w:ilvl w:val="0"/>
          <w:numId w:val="3"/>
        </w:numPr>
        <w:rPr/>
      </w:pPr>
      <w:r>
        <w:rPr/>
        <w:t>la classe d'exposition (selon la la NBN EN 206-1, la NBN B 15-001 et son addendum)</w:t>
      </w:r>
    </w:p>
    <w:p>
      <w:pPr>
        <w:pStyle w:val="Puces2"/>
        <w:numPr>
          <w:ilvl w:val="0"/>
          <w:numId w:val="3"/>
        </w:numPr>
        <w:rPr/>
      </w:pPr>
      <w:r>
        <w:rPr/>
        <w:t>le cas échéant, le diamètre maximal des granulats D</w:t>
      </w:r>
      <w:r>
        <w:rPr>
          <w:vertAlign w:val="subscript"/>
        </w:rPr>
        <w:t>max</w:t>
      </w:r>
      <w:r>
        <w:rPr/>
        <w:t xml:space="preserve"> [le D</w:t>
      </w:r>
      <w:r>
        <w:rPr>
          <w:vertAlign w:val="subscript"/>
        </w:rPr>
        <w:t>max</w:t>
      </w:r>
      <w:r>
        <w:rPr/>
        <w:t xml:space="preserve"> est donné par l'ouverture de tamis pour lequel le refus maximum est de 2 % (D</w:t>
      </w:r>
      <w:r>
        <w:rPr>
          <w:vertAlign w:val="subscript"/>
        </w:rPr>
        <w:t>max</w:t>
      </w:r>
      <w:r>
        <w:rPr/>
        <w:t xml:space="preserve"> </w:t>
      </w:r>
      <w:r>
        <w:rPr>
          <w:rFonts w:eastAsia="Symbol" w:cs="Symbol" w:ascii="Symbol" w:hAnsi="Symbol"/>
        </w:rPr>
        <w:sym w:font="Symbol" w:char="f0a3"/>
      </w:r>
      <w:r>
        <w:rPr/>
        <w:t xml:space="preserve"> 2 mm), 5 % (D</w:t>
      </w:r>
      <w:r>
        <w:rPr>
          <w:vertAlign w:val="subscript"/>
        </w:rPr>
        <w:t>max</w:t>
      </w:r>
      <w:r>
        <w:rPr/>
        <w:t xml:space="preserve"> de 4 mm) ou 10 % (D</w:t>
      </w:r>
      <w:r>
        <w:rPr>
          <w:vertAlign w:val="subscript"/>
        </w:rPr>
        <w:t>max</w:t>
      </w:r>
      <w:r>
        <w:rPr/>
        <w:t xml:space="preserve"> </w:t>
      </w:r>
      <w:r>
        <w:rPr>
          <w:rFonts w:eastAsia="Symbol" w:cs="Symbol" w:ascii="Symbol" w:hAnsi="Symbol"/>
        </w:rPr>
        <w:sym w:font="Symbol" w:char="f0b3"/>
      </w:r>
      <w:r>
        <w:rPr/>
        <w:t xml:space="preserve"> 8 mm)].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8.11.2.2.2. REPARATION OU RENOVATION DE CANALISATIONS AU MOYEN D'UN MORTIER – Mise en place des mortiers de réparation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Prévoir le cas échéant le lissage des parois.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8.12.2.1. INJECTIONS PONCTUELLES D’ETANCHEMENT - MATERIAUX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les critères de performances et de qualité des produits mis en oeuvre.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8.12.2.3. INJECTIONS PONCTUELLES D’ETANCHEMENT - SPECIFICATIONS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le cas échéant des spécifications complémentaires de mise en œuvre.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8.13.1.2.2. PROTECTION CONTRE LA CORROSION AU MOYEN DE RESINE EPOXY ARMEE DE FIBRES - EXECUTION</w:t>
      </w:r>
    </w:p>
    <w:p>
      <w:pPr>
        <w:pStyle w:val="Normal"/>
        <w:jc w:val="both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le cas échéant l’épaisseur minimum.</w:t>
      </w:r>
    </w:p>
    <w:p>
      <w:pPr>
        <w:pStyle w:val="Normal"/>
        <w:jc w:val="both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p>
      <w:pPr>
        <w:pStyle w:val="Normal"/>
        <w:jc w:val="both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p>
      <w:pPr>
        <w:pStyle w:val="Heading1"/>
        <w:ind w:hanging="0" w:start="0"/>
        <w:rPr/>
      </w:pPr>
      <w:r>
        <w:rPr/>
        <w:t>I. 8.13.2. PROTECTION CONTRE LA CORROSION AU MOYEN DE CARREAUX ET PANNEAUX EN GRES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/>
      </w:pPr>
      <w:r>
        <w:rPr>
          <w:color w:val="000000"/>
        </w:rPr>
        <w:t xml:space="preserve">Voir chapitre </w:t>
      </w:r>
      <w:r>
        <w:rPr>
          <w:color w:val="0000FF"/>
        </w:rPr>
        <w:t>I. 8.9</w:t>
      </w:r>
      <w:r>
        <w:rPr>
          <w:color w:val="000000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8.13.3.2.3 PROTECTION CONTRE LA CORROSION AU MOYEN DE MORTIERS « ANTI CORROSION » - SPECIFICATION</w:t>
      </w:r>
    </w:p>
    <w:p>
      <w:pPr>
        <w:pStyle w:val="Normal"/>
        <w:jc w:val="both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Prévoir le cas échéant la réalisation d’un test de Darmstadt DIN EN 295-3.</w:t>
      </w:r>
    </w:p>
    <w:p>
      <w:pPr>
        <w:pStyle w:val="Normal"/>
        <w:jc w:val="both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p>
      <w:pPr>
        <w:pStyle w:val="Normal"/>
        <w:jc w:val="both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p>
      <w:pPr>
        <w:pStyle w:val="Heading1"/>
        <w:ind w:hanging="0" w:start="0"/>
        <w:rPr/>
      </w:pPr>
      <w:r>
        <w:rPr/>
        <w:t>I. 8.14.2.4. TECHNIQUES DESTRUCTIVES - VERIFICATIONS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 cas échéant d’autres vérifications spécifiques.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8.14.2.5. TECHNIQUES DESTRUCTIVES - PAIEMENT</w:t>
      </w:r>
    </w:p>
    <w:p>
      <w:pPr>
        <w:pStyle w:val="Normal"/>
        <w:jc w:val="both"/>
        <w:rPr>
          <w:b/>
          <w:color w:val="000000"/>
          <w:sz w:val="22"/>
        </w:rPr>
      </w:pPr>
      <w:r>
        <w:rPr>
          <w:b/>
          <w:color w:val="000000"/>
          <w:sz w:val="22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 cas échéant un poste spécifique pour inspection visuelle de contrôle.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8.15.1.2.5. TUBAGE SANS ESPACE ANNULAIRE AU MOYEN DE TUBES EN PEHD CONTINUS PRE DEFORMES (Close-Fit Lining) - PAIEMENT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Puces2"/>
        <w:numPr>
          <w:ilvl w:val="0"/>
          <w:numId w:val="3"/>
        </w:numPr>
        <w:rPr/>
      </w:pPr>
      <w:r>
        <w:rPr/>
        <w:t>Prescrire le cas échéant un poste spécifique pour la reprise des raccordements.</w:t>
      </w:r>
    </w:p>
    <w:p>
      <w:pPr>
        <w:pStyle w:val="Puces2"/>
        <w:numPr>
          <w:ilvl w:val="0"/>
          <w:numId w:val="3"/>
        </w:numPr>
        <w:rPr/>
      </w:pPr>
      <w:r>
        <w:rPr/>
        <w:t>Prescrire le cas échéant un poste spécifique pour inspection visuelle de contrôle.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Heading1"/>
        <w:ind w:hanging="0" w:start="0"/>
        <w:rPr/>
      </w:pPr>
      <w:r>
        <w:rPr/>
        <w:t>I. 8.15.2.2.1. TUBAGE SANS ESPACE ANNULAIRE AU MOYEN DE TUBES EN PEHD CONTINUS PRE DEFORMES (Close-Fit Lining) - MATERIAUX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les natures et les caractéristiques des matériaux.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8.15.2.2.5. TUBAGE SANS ESPACE ANNULAIRE AU MOYEN DE TUBES EN PEHD CONTINUS PRE DEFORMES (Close-Fit Lining) - PAIEMENT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Puces2"/>
        <w:numPr>
          <w:ilvl w:val="0"/>
          <w:numId w:val="2"/>
        </w:numPr>
        <w:ind w:hanging="357" w:start="357" w:end="0"/>
        <w:rPr/>
      </w:pPr>
      <w:r>
        <w:rPr/>
        <w:t>Prescrire le cas échéant un poste spécifique pour la reprise des raccordements.</w:t>
      </w:r>
    </w:p>
    <w:p>
      <w:pPr>
        <w:pStyle w:val="Puces2"/>
        <w:numPr>
          <w:ilvl w:val="0"/>
          <w:numId w:val="2"/>
        </w:numPr>
        <w:ind w:hanging="357" w:start="357" w:end="0"/>
        <w:rPr/>
      </w:pPr>
      <w:r>
        <w:rPr/>
        <w:t>Prescrire le cas échéant un poste spécifique pour inspection visuelle de contrôle.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I. 8.16.2.3. INJECTIONS POUR STABILISATION DU SOL ET/OU COMBLEMENT DE CAVITES AUTOUR DES OUVRAGES D’ASSAINISSEMENT - SPECIFICATIONS</w:t>
      </w:r>
    </w:p>
    <w:p>
      <w:pPr>
        <w:pStyle w:val="Normal"/>
        <w:keepNext w:val="true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keepNext w:val="true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le cas échéant des spécifications complémentaires de mise en œuvre.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8.17.2.5. REPARATION OU RENOVATION DES REGARDS DE VISITE (ET AUTRES OUVRAGES SIMILAIRES) - PAIEMENT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les caractéristiques géométriques des ouvrages à rénover ou réparer ainsi que leurs matériaux de construction.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8.18.2.5. REPARATION OU RENOVATION DES BRANCHEMENTS ET RACCORDEMENTS - PAIEMENT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Puces2"/>
        <w:numPr>
          <w:ilvl w:val="0"/>
          <w:numId w:val="2"/>
        </w:numPr>
        <w:ind w:hanging="357" w:start="357" w:end="0"/>
        <w:rPr/>
      </w:pPr>
      <w:r>
        <w:rPr/>
        <w:t>Préciser les diamètres des raccordements à réparer ou à rénover.</w:t>
      </w:r>
    </w:p>
    <w:p>
      <w:pPr>
        <w:pStyle w:val="Puces2"/>
        <w:numPr>
          <w:ilvl w:val="0"/>
          <w:numId w:val="2"/>
        </w:numPr>
        <w:ind w:hanging="357" w:start="357" w:end="0"/>
        <w:rPr/>
      </w:pPr>
      <w:r>
        <w:rPr/>
        <w:t>Prescrire le cas échéant un poste spécifique pour inspection visuelle de contrôle.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8.19.2.3. REPARATION des radiers par pistonnage de mortier - SPECIFICATIONS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Préciser le cas échéant la tolérance sur le profil en long du radier.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8.18.2.5. REPARATION des radiers par pistonnage de mortier - PAIEMENT</w:t>
      </w:r>
    </w:p>
    <w:p>
      <w:pPr>
        <w:pStyle w:val="Normal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Prescrire le cas échéant un poste spécifique pour inspection visuelle de contrôle.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9. RECONSTITUTION DE VOIRIE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/>
      </w:pPr>
      <w:r>
        <w:rPr>
          <w:color w:val="000000"/>
        </w:rPr>
        <w:t xml:space="preserve">Voir </w:t>
      </w:r>
      <w:r>
        <w:rPr>
          <w:color w:val="0000FF"/>
        </w:rPr>
        <w:t>chapitre M</w:t>
      </w:r>
      <w:r>
        <w:rPr>
          <w:color w:val="000000"/>
        </w:rPr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10. EXAMEN VISUEL DES OUVRAGES.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/>
      </w:pPr>
      <w:r>
        <w:rPr>
          <w:color w:val="000000"/>
          <w:lang w:val="fr-BE"/>
        </w:rPr>
        <w:t>Les documents d’adjudication définissent le but et les critères de réalisation de l’examen visuel des ouvrages, qui sera réalisé conformément à la « Méthodologie pour l’établissement des cadastres des réseaux d’assainissement en Région wallonne », et en particulier le Cahier technique C « </w:t>
      </w:r>
      <w:r>
        <w:rPr>
          <w:color w:val="000000"/>
        </w:rPr>
        <w:t>Méthodologie pour l’exécution des opérations d’examens visuels des réseaux d’assainissement ».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I. 11 Curage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jc w:val="both"/>
        <w:rPr>
          <w:color w:val="000000"/>
        </w:rPr>
      </w:pPr>
      <w:r>
        <w:rPr>
          <w:color w:val="000000"/>
        </w:rPr>
        <w:t>Le curage des ouvrages est réalisé conformément à la « Méthodologie pour l’établissement des cadastres des réseaux d’assainissement en Région wallonne », et en particulier le Cahier technique B « Méthodologie pour l’exécution des opérations de curage des réseaux d’assainissement ».</w:t>
      </w:r>
    </w:p>
    <w:p>
      <w:pPr>
        <w:pStyle w:val="Normal"/>
        <w:jc w:val="both"/>
        <w:rPr>
          <w:color w:val="000000"/>
          <w:lang w:val="fr-BE"/>
        </w:rPr>
      </w:pPr>
      <w:r>
        <w:rPr>
          <w:color w:val="000000"/>
          <w:lang w:val="fr-BE"/>
        </w:rPr>
      </w:r>
    </w:p>
    <w:sectPr>
      <w:headerReference w:type="default" r:id="rId2"/>
      <w:footerReference w:type="default" r:id="rId3"/>
      <w:type w:val="nextPage"/>
      <w:pgSz w:w="11906" w:h="16838"/>
      <w:pgMar w:left="1304" w:right="1304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Elite">
    <w:altName w:val="Courier New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Arial" w:ascii="Arial" w:hAnsi="Arial"/>
        <w:color w:val="000000"/>
        <w:sz w:val="20"/>
      </w:rPr>
      <w:t xml:space="preserve">Modèle de CSC du Chapitre I – Version du 01/07/2014 – </w:t>
    </w:r>
    <w:r>
      <w:rPr>
        <w:rFonts w:cs="Arial" w:ascii="Arial" w:hAnsi="Arial"/>
        <w:color w:val="000000"/>
        <w:sz w:val="20"/>
      </w:rPr>
      <w:fldChar w:fldCharType="begin"/>
    </w:r>
    <w:r>
      <w:rPr>
        <w:rFonts w:cs="Arial" w:ascii="Arial" w:hAnsi="Arial"/>
        <w:color w:val="000000"/>
        <w:sz w:val="20"/>
      </w:rPr>
      <w:instrText xml:space="preserve"> PAGE </w:instrText>
    </w:r>
    <w:r>
      <w:rPr>
        <w:rFonts w:cs="Arial" w:ascii="Arial" w:hAnsi="Arial"/>
        <w:color w:val="000000"/>
        <w:sz w:val="20"/>
      </w:rPr>
      <w:fldChar w:fldCharType="separate"/>
    </w:r>
    <w:r>
      <w:rPr>
        <w:rFonts w:cs="Arial" w:ascii="Arial" w:hAnsi="Arial"/>
        <w:color w:val="000000"/>
        <w:sz w:val="20"/>
      </w:rPr>
      <w:t>11</w:t>
    </w:r>
    <w:r>
      <w:rPr>
        <w:rFonts w:cs="Arial" w:ascii="Arial" w:hAnsi="Arial"/>
        <w:color w:val="000000"/>
        <w:sz w:val="20"/>
      </w:rPr>
      <w:fldChar w:fldCharType="end"/>
    </w:r>
    <w:r>
      <w:rPr>
        <w:rFonts w:cs="Arial" w:ascii="Arial" w:hAnsi="Arial"/>
        <w:color w:val="000000"/>
        <w:sz w:val="20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0"/>
      <w:jc w:val="both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–"/>
      <w:lvlJc w:val="start"/>
      <w:pPr>
        <w:tabs>
          <w:tab w:val="num" w:pos="360"/>
        </w:tabs>
        <w:ind w:start="360" w:hanging="360"/>
      </w:pPr>
      <w:rPr>
        <w:rFonts w:ascii="Arial" w:hAnsi="Arial" w:cs="Arial" w:hint="default"/>
      </w:rPr>
    </w:lvl>
  </w:abstractNum>
  <w:abstractNum w:abstractNumId="3">
    <w:lvl w:ilvl="0">
      <w:start w:val="1"/>
      <w:numFmt w:val="bullet"/>
      <w:lvlText w:val="–"/>
      <w:lvlJc w:val="start"/>
      <w:pPr>
        <w:tabs>
          <w:tab w:val="num" w:pos="360"/>
        </w:tabs>
        <w:ind w:start="360" w:hanging="360"/>
      </w:pPr>
      <w:rPr>
        <w:rFonts w:ascii="Arial" w:hAnsi="Arial" w:cs="Aria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567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12"/>
    </w:pPr>
    <w:rPr>
      <w:rFonts w:ascii="Times New Roman" w:hAnsi="Times New Roman" w:eastAsia="Times New Roman" w:cs="Times New Roman"/>
      <w:color w:val="00FFFF"/>
      <w:sz w:val="24"/>
      <w:szCs w:val="20"/>
      <w:lang w:val="fr-FR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lineRule="atLeast" w:line="300"/>
      <w:jc w:val="both"/>
      <w:outlineLvl w:val="0"/>
    </w:pPr>
    <w:rPr>
      <w:b/>
      <w:caps/>
      <w:color w:val="auto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color w:val="auto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jc w:val="both"/>
      <w:outlineLvl w:val="2"/>
    </w:pPr>
    <w:rPr>
      <w:b/>
      <w:color w:val="auto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color w:val="auto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i/>
      <w:color w:val="auto"/>
      <w:u w:val="single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i/>
      <w:color w:val="auto"/>
      <w:u w:val="single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color w:val="auto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567"/>
        <w:tab w:val="left" w:pos="1843" w:leader="none"/>
        <w:tab w:val="left" w:pos="6521" w:leader="none"/>
      </w:tabs>
      <w:spacing w:lineRule="atLeast" w:line="300"/>
      <w:outlineLvl w:val="7"/>
    </w:pPr>
    <w:rPr>
      <w:i/>
      <w:color w:val="auto"/>
    </w:rPr>
  </w:style>
  <w:style w:type="character" w:styleId="WW8Num1z0">
    <w:name w:val="WW8Num1z0"/>
    <w:qFormat/>
    <w:rPr>
      <w:rFonts w:ascii="Arial" w:hAnsi="Arial" w:cs="Arial"/>
    </w:rPr>
  </w:style>
  <w:style w:type="character" w:styleId="WW8Num2z0">
    <w:name w:val="WW8Num2z0"/>
    <w:qFormat/>
    <w:rPr>
      <w:rFonts w:ascii="Arial" w:hAnsi="Arial" w:cs="Arial"/>
    </w:rPr>
  </w:style>
  <w:style w:type="character" w:styleId="Policepardfaut">
    <w:name w:val="Police par défau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Policepardfaut"/>
    <w:rPr/>
  </w:style>
  <w:style w:type="character" w:styleId="PieddepageCar">
    <w:name w:val="Pied de page Car"/>
    <w:qFormat/>
    <w:rPr>
      <w:color w:val="00FFFF"/>
      <w:sz w:val="24"/>
      <w:lang w:val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i/>
      <w:color w:val="auto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next w:val="Normal"/>
    <w:pPr>
      <w:widowControl/>
      <w:bidi w:val="0"/>
      <w:spacing w:lineRule="exact" w:line="240" w:before="0" w:after="480"/>
      <w:jc w:val="center"/>
    </w:pPr>
    <w:rPr>
      <w:rFonts w:ascii="Elite;Courier New" w:hAnsi="Elite;Courier New" w:eastAsia="Times New Roman" w:cs="Elite;Courier New"/>
      <w:color w:val="auto"/>
      <w:sz w:val="24"/>
      <w:szCs w:val="20"/>
      <w:lang w:val="fr-FR" w:bidi="ar-SA" w:eastAsia="zh-CN"/>
    </w:rPr>
  </w:style>
  <w:style w:type="paragraph" w:styleId="concerne">
    <w:name w:val="concerne"/>
    <w:basedOn w:val="Normal"/>
    <w:qFormat/>
    <w:pPr>
      <w:spacing w:before="1440" w:after="0"/>
      <w:ind w:hanging="1134" w:start="1134" w:end="0"/>
    </w:pPr>
    <w:rPr>
      <w:b/>
    </w:rPr>
  </w:style>
  <w:style w:type="paragraph" w:styleId="texte">
    <w:name w:val="texte"/>
    <w:basedOn w:val="Normal"/>
    <w:qFormat/>
    <w:pPr>
      <w:ind w:firstLine="1134" w:start="0" w:end="0"/>
      <w:jc w:val="both"/>
    </w:pPr>
    <w:rPr/>
  </w:style>
  <w:style w:type="paragraph" w:styleId="adresse">
    <w:name w:val="adresse"/>
    <w:basedOn w:val="Normal"/>
    <w:qFormat/>
    <w:pPr>
      <w:tabs>
        <w:tab w:val="clear" w:pos="567"/>
        <w:tab w:val="left" w:pos="4820" w:leader="none"/>
      </w:tabs>
      <w:spacing w:before="1920" w:after="0"/>
      <w:ind w:hanging="0" w:start="4820" w:end="0"/>
    </w:pPr>
    <w:rPr/>
  </w:style>
  <w:style w:type="paragraph" w:styleId="signature">
    <w:name w:val="signature"/>
    <w:basedOn w:val="Normal"/>
    <w:qFormat/>
    <w:pPr>
      <w:tabs>
        <w:tab w:val="clear" w:pos="567"/>
        <w:tab w:val="left" w:pos="5670" w:leader="none"/>
      </w:tabs>
      <w:ind w:hanging="0" w:start="5670" w:end="0"/>
    </w:pPr>
    <w:rPr/>
  </w:style>
  <w:style w:type="paragraph" w:styleId="rfrence">
    <w:name w:val="référence"/>
    <w:basedOn w:val="Normal"/>
    <w:qFormat/>
    <w:pPr/>
    <w:rPr/>
  </w:style>
  <w:style w:type="paragraph" w:styleId="rapport">
    <w:name w:val="rapport"/>
    <w:basedOn w:val="Normal"/>
    <w:qFormat/>
    <w:pPr>
      <w:ind w:hanging="0" w:start="567" w:end="0"/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oter">
    <w:name w:val="footer"/>
    <w:basedOn w:val="Normal"/>
    <w:pPr>
      <w:tabs>
        <w:tab w:val="clear" w:pos="567"/>
        <w:tab w:val="center" w:pos="4536" w:leader="none"/>
        <w:tab w:val="right" w:pos="9072" w:leader="none"/>
      </w:tabs>
    </w:pPr>
    <w:rPr/>
  </w:style>
  <w:style w:type="paragraph" w:styleId="Corpsdetexte2">
    <w:name w:val="Corps de texte 2"/>
    <w:basedOn w:val="Normal"/>
    <w:qFormat/>
    <w:pPr>
      <w:pBdr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Bdr>
      <w:jc w:val="both"/>
    </w:pPr>
    <w:rPr>
      <w:b/>
      <w:color w:val="auto"/>
    </w:rPr>
  </w:style>
  <w:style w:type="paragraph" w:styleId="Corpsdetexte3">
    <w:name w:val="Corps de texte 3"/>
    <w:basedOn w:val="Normal"/>
    <w:qFormat/>
    <w:pPr/>
    <w:rPr>
      <w:i/>
      <w:color w:val="auto"/>
    </w:rPr>
  </w:style>
  <w:style w:type="paragraph" w:styleId="BodyTextIndent">
    <w:name w:val="Body Text Indent"/>
    <w:basedOn w:val="Normal"/>
    <w:pPr>
      <w:tabs>
        <w:tab w:val="clear" w:pos="567"/>
        <w:tab w:val="left" w:pos="142" w:leader="none"/>
      </w:tabs>
      <w:spacing w:lineRule="atLeast" w:line="300"/>
      <w:ind w:hanging="0" w:start="360" w:end="0"/>
      <w:jc w:val="both"/>
    </w:pPr>
    <w:rPr>
      <w:i/>
      <w:color w:val="auto"/>
    </w:rPr>
  </w:style>
  <w:style w:type="paragraph" w:styleId="Puces1">
    <w:name w:val="Puces 1"/>
    <w:basedOn w:val="Normal"/>
    <w:qFormat/>
    <w:pPr>
      <w:numPr>
        <w:ilvl w:val="0"/>
        <w:numId w:val="2"/>
      </w:numPr>
      <w:tabs>
        <w:tab w:val="clear" w:pos="567"/>
        <w:tab w:val="left" w:pos="284" w:leader="none"/>
      </w:tabs>
      <w:spacing w:lineRule="atLeast" w:line="300"/>
      <w:jc w:val="both"/>
    </w:pPr>
    <w:rPr>
      <w:i/>
      <w:color w:val="auto"/>
    </w:rPr>
  </w:style>
  <w:style w:type="paragraph" w:styleId="Retraitcorpsdetexte2">
    <w:name w:val="Retrait corps de texte 2"/>
    <w:basedOn w:val="Normal"/>
    <w:qFormat/>
    <w:pPr>
      <w:tabs>
        <w:tab w:val="clear" w:pos="567"/>
        <w:tab w:val="left" w:pos="142" w:leader="none"/>
        <w:tab w:val="left" w:pos="284" w:leader="none"/>
      </w:tabs>
      <w:spacing w:lineRule="atLeast" w:line="300"/>
      <w:ind w:hanging="0" w:start="284" w:end="0"/>
      <w:jc w:val="both"/>
    </w:pPr>
    <w:rPr>
      <w:i/>
      <w:color w:val="auto"/>
    </w:rPr>
  </w:style>
  <w:style w:type="paragraph" w:styleId="Retraitcorpsdetexte3">
    <w:name w:val="Retrait corps de texte 3"/>
    <w:basedOn w:val="Normal"/>
    <w:qFormat/>
    <w:pPr>
      <w:tabs>
        <w:tab w:val="clear" w:pos="567"/>
        <w:tab w:val="left" w:pos="180" w:leader="none"/>
      </w:tabs>
      <w:spacing w:lineRule="atLeast" w:line="300"/>
      <w:ind w:hanging="0" w:start="357" w:end="0"/>
      <w:jc w:val="both"/>
    </w:pPr>
    <w:rPr>
      <w:i/>
      <w:color w:val="auto"/>
    </w:rPr>
  </w:style>
  <w:style w:type="paragraph" w:styleId="Puces2">
    <w:name w:val="Puces 2"/>
    <w:basedOn w:val="Puces1"/>
    <w:qFormat/>
    <w:pPr>
      <w:numPr>
        <w:ilvl w:val="0"/>
        <w:numId w:val="3"/>
      </w:num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tabs>
        <w:tab w:val="clear" w:pos="284"/>
        <w:tab w:val="left" w:pos="360" w:leader="none"/>
      </w:tabs>
      <w:ind w:hanging="357" w:start="357" w:end="0"/>
    </w:pPr>
    <w:rPr>
      <w:i w:val="false"/>
    </w:rPr>
  </w:style>
  <w:style w:type="paragraph" w:styleId="puces11">
    <w:name w:val="puces 11"/>
    <w:basedOn w:val="Normal"/>
    <w:qFormat/>
    <w:pPr>
      <w:numPr>
        <w:ilvl w:val="0"/>
        <w:numId w:val="2"/>
      </w:numPr>
      <w:spacing w:lineRule="auto" w:line="240"/>
      <w:jc w:val="both"/>
    </w:pPr>
    <w:rPr>
      <w:rFonts w:ascii="Arial" w:hAnsi="Arial" w:cs="Arial"/>
      <w:color w:val="auto"/>
      <w:sz w:val="20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2010-05-26T09:19:00Z</dcterms:created>
  <dc:creator>MRW</dc:creator>
  <dc:description/>
  <cp:keywords/>
  <dc:language>fr-FR</dc:language>
  <cp:lastModifiedBy>MICHAUX Gauthier</cp:lastModifiedBy>
  <cp:lastPrinted>2004-02-10T11:54:00Z</cp:lastPrinted>
  <dcterms:modified xsi:type="dcterms:W3CDTF">2019-11-27T16:23:00Z</dcterms:modified>
  <cp:revision>10</cp:revision>
  <dc:subject/>
  <dc:title>03.06.97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ActionId">
    <vt:lpwstr>00b2b0d6-145d-4dc9-b431-3285dbbe6304</vt:lpwstr>
  </property>
  <property fmtid="{D5CDD505-2E9C-101B-9397-08002B2CF9AE}" pid="3" name="MSIP_Label_e72a09c5-6e26-4737-a926-47ef1ab198ae_Application">
    <vt:lpwstr>Microsoft Azure Information Protection</vt:lpwstr>
  </property>
  <property fmtid="{D5CDD505-2E9C-101B-9397-08002B2CF9AE}" pid="4" name="MSIP_Label_e72a09c5-6e26-4737-a926-47ef1ab198ae_Enabled">
    <vt:lpwstr>True</vt:lpwstr>
  </property>
  <property fmtid="{D5CDD505-2E9C-101B-9397-08002B2CF9AE}" pid="5" name="MSIP_Label_e72a09c5-6e26-4737-a926-47ef1ab198ae_Extended_MSFT_Method">
    <vt:lpwstr>Automatic</vt:lpwstr>
  </property>
  <property fmtid="{D5CDD505-2E9C-101B-9397-08002B2CF9AE}" pid="6" name="MSIP_Label_e72a09c5-6e26-4737-a926-47ef1ab198ae_Name">
    <vt:lpwstr>Confidentiel</vt:lpwstr>
  </property>
  <property fmtid="{D5CDD505-2E9C-101B-9397-08002B2CF9AE}" pid="7" name="MSIP_Label_e72a09c5-6e26-4737-a926-47ef1ab198ae_Owner">
    <vt:lpwstr>gauthier.michaux@spw.wallonie.be</vt:lpwstr>
  </property>
  <property fmtid="{D5CDD505-2E9C-101B-9397-08002B2CF9AE}" pid="8" name="MSIP_Label_e72a09c5-6e26-4737-a926-47ef1ab198ae_SetDate">
    <vt:lpwstr>2019-11-27T14:23:52.0289186Z</vt:lpwstr>
  </property>
  <property fmtid="{D5CDD505-2E9C-101B-9397-08002B2CF9AE}" pid="9" name="MSIP_Label_e72a09c5-6e26-4737-a926-47ef1ab198ae_SiteId">
    <vt:lpwstr>1f816a84-7aa6-4a56-b22a-7b3452fa8681</vt:lpwstr>
  </property>
  <property fmtid="{D5CDD505-2E9C-101B-9397-08002B2CF9AE}" pid="10" name="Sensitivity">
    <vt:lpwstr>Confidentiel</vt:lpwstr>
  </property>
</Properties>
</file>