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rpsdetexte3"/>
        <w:rPr/>
      </w:pPr>
      <w:r>
        <w:rPr/>
        <w:t xml:space="preserve">Précisions et commentaires relatifs àU </w:t>
      </w:r>
    </w:p>
    <w:p>
      <w:pPr>
        <w:pStyle w:val="Corpsdetexte3"/>
        <w:rPr/>
      </w:pPr>
      <w:r>
        <w:rPr/>
        <w:t xml:space="preserve">chapitre J – Petits ouvrages </w:t>
      </w:r>
    </w:p>
    <w:p>
      <w:pPr>
        <w:pStyle w:val="Corpsdetexte3"/>
        <w:rPr/>
      </w:pPr>
      <w:r>
        <w:rPr/>
        <w:t>du CCT QUALIROUTES</w:t>
      </w:r>
    </w:p>
    <w:p>
      <w:pPr>
        <w:pStyle w:val="Normal"/>
        <w:spacing w:lineRule="atLeast" w:line="300"/>
        <w:rPr>
          <w:sz w:val="24"/>
        </w:rPr>
      </w:pPr>
      <w:r>
        <w:rPr>
          <w:sz w:val="24"/>
        </w:rPr>
      </w:r>
    </w:p>
    <w:p>
      <w:pPr>
        <w:pStyle w:val="Normal"/>
        <w:spacing w:lineRule="atLeast" w:line="300"/>
        <w:rPr>
          <w:sz w:val="24"/>
        </w:rPr>
      </w:pPr>
      <w:r>
        <w:rPr>
          <w:sz w:val="24"/>
        </w:rPr>
      </w:r>
    </w:p>
    <w:p>
      <w:pPr>
        <w:pStyle w:val="Heading1"/>
        <w:ind w:hanging="0" w:start="0"/>
        <w:rPr/>
      </w:pPr>
      <w:r>
        <w:rPr/>
        <w:t>J. 1.1. CHAMBRES DE VISITE ET D’APPAREILS - DESCRIPTION</w:t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tabs>
          <w:tab w:val="clear" w:pos="709"/>
          <w:tab w:val="left" w:pos="497" w:leader="none"/>
        </w:tabs>
        <w:spacing w:lineRule="atLeast" w:line="300"/>
        <w:rPr>
          <w:sz w:val="24"/>
        </w:rPr>
      </w:pPr>
      <w:r>
        <w:rPr>
          <w:sz w:val="24"/>
        </w:rPr>
        <w:t>Indiquer:</w:t>
      </w:r>
    </w:p>
    <w:p>
      <w:pPr>
        <w:pStyle w:val="Normalcentr"/>
        <w:numPr>
          <w:ilvl w:val="0"/>
          <w:numId w:val="7"/>
        </w:numPr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tLeast" w:line="300" w:before="0" w:after="0"/>
        <w:ind w:hanging="340" w:start="340" w:end="0"/>
        <w:rPr/>
      </w:pPr>
      <w:r>
        <w:rPr/>
        <w:t>les caractéristiques géométriques des chambres et de leur fondation</w:t>
      </w:r>
    </w:p>
    <w:p>
      <w:pPr>
        <w:pStyle w:val="Normal"/>
        <w:numPr>
          <w:ilvl w:val="0"/>
          <w:numId w:val="7"/>
        </w:numPr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tabs>
          <w:tab w:val="clear" w:pos="709"/>
          <w:tab w:val="left" w:pos="497" w:leader="none"/>
        </w:tabs>
        <w:spacing w:lineRule="atLeast" w:line="300"/>
        <w:rPr>
          <w:sz w:val="24"/>
        </w:rPr>
      </w:pPr>
      <w:r>
        <w:rPr>
          <w:sz w:val="24"/>
        </w:rPr>
        <w:t>les dispositions pour en assurer l'étanchéité (colmatage et lissage des joints de maçonnerie, cimentage, imperméabilisation, ...)</w:t>
      </w:r>
    </w:p>
    <w:p>
      <w:pPr>
        <w:pStyle w:val="Normal"/>
        <w:numPr>
          <w:ilvl w:val="0"/>
          <w:numId w:val="7"/>
        </w:numPr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tabs>
          <w:tab w:val="clear" w:pos="709"/>
          <w:tab w:val="left" w:pos="497" w:leader="none"/>
        </w:tabs>
        <w:spacing w:lineRule="atLeast" w:line="300"/>
        <w:rPr>
          <w:sz w:val="24"/>
        </w:rPr>
      </w:pPr>
      <w:r>
        <w:rPr>
          <w:sz w:val="24"/>
        </w:rPr>
        <w:t>les éléments limitant la vitesse de l'eau ou ses effets (dispositifs brise-jets, revêtement ou renforcement du radier, ...)</w:t>
      </w:r>
    </w:p>
    <w:p>
      <w:pPr>
        <w:pStyle w:val="Puces1"/>
        <w:numPr>
          <w:ilvl w:val="0"/>
          <w:numId w:val="7"/>
        </w:numPr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rPr>
          <w:rFonts w:ascii="Times New Roman" w:hAnsi="Times New Roman" w:cs="Times New Roman"/>
          <w:sz w:val="24"/>
          <w:szCs w:val="26"/>
          <w:lang w:eastAsia="fr-FR"/>
        </w:rPr>
      </w:pPr>
      <w:r>
        <w:rPr>
          <w:rFonts w:cs="Times New Roman" w:ascii="Times New Roman" w:hAnsi="Times New Roman"/>
          <w:sz w:val="24"/>
          <w:szCs w:val="26"/>
          <w:lang w:eastAsia="fr-FR"/>
        </w:rPr>
        <w:t xml:space="preserve">les dispositifs d'accès (échelles ou échelons) et de fermeture </w:t>
      </w:r>
    </w:p>
    <w:p>
      <w:pPr>
        <w:pStyle w:val="Puces1"/>
        <w:numPr>
          <w:ilvl w:val="0"/>
          <w:numId w:val="7"/>
        </w:numPr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rPr>
          <w:rFonts w:ascii="Times New Roman" w:hAnsi="Times New Roman" w:cs="Times New Roman"/>
          <w:sz w:val="24"/>
          <w:szCs w:val="26"/>
          <w:lang w:eastAsia="fr-FR"/>
        </w:rPr>
      </w:pPr>
      <w:r>
        <w:rPr>
          <w:rFonts w:cs="Times New Roman" w:ascii="Times New Roman" w:hAnsi="Times New Roman"/>
          <w:sz w:val="24"/>
          <w:szCs w:val="26"/>
          <w:lang w:eastAsia="fr-FR"/>
        </w:rPr>
        <w:t>le cas échéant, les caractéristiques d'un revêtement spécial du fond de chambre la classe de trafic au sens de la NBN B 21-101.</w:t>
      </w:r>
    </w:p>
    <w:p>
      <w:pPr>
        <w:pStyle w:val="Puces1"/>
        <w:numPr>
          <w:ilvl w:val="0"/>
          <w:numId w:val="7"/>
        </w:numPr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rPr>
          <w:rFonts w:ascii="Times New Roman" w:hAnsi="Times New Roman" w:cs="Times New Roman"/>
          <w:sz w:val="24"/>
          <w:szCs w:val="26"/>
          <w:lang w:eastAsia="fr-FR"/>
        </w:rPr>
      </w:pPr>
      <w:r>
        <w:rPr>
          <w:rFonts w:cs="Times New Roman" w:ascii="Times New Roman" w:hAnsi="Times New Roman"/>
          <w:sz w:val="24"/>
          <w:szCs w:val="26"/>
          <w:lang w:eastAsia="fr-FR"/>
        </w:rPr>
        <w:t>les prescriptions relatives aux dalles de couverture.</w:t>
      </w:r>
    </w:p>
    <w:p>
      <w:pPr>
        <w:pStyle w:val="Normal"/>
        <w:spacing w:lineRule="atLeast" w:line="300"/>
        <w:ind w:hanging="993" w:start="993" w:end="0"/>
        <w:rPr>
          <w:rFonts w:ascii="Times New Roman" w:hAnsi="Times New Roman" w:cs="Times New Roman"/>
          <w:sz w:val="24"/>
          <w:szCs w:val="26"/>
          <w:lang w:eastAsia="fr-FR"/>
        </w:rPr>
      </w:pPr>
      <w:r>
        <w:rPr>
          <w:rFonts w:cs="Times New Roman"/>
          <w:sz w:val="24"/>
          <w:szCs w:val="26"/>
          <w:lang w:eastAsia="fr-FR"/>
        </w:rPr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Heading1"/>
        <w:ind w:hanging="0" w:start="0"/>
        <w:rPr/>
      </w:pPr>
      <w:r>
        <w:rPr/>
        <w:t>J. 1.2.2. Chambres de visite et d’appareils – Matériaux</w:t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Normal"/>
        <w:spacing w:lineRule="atLeast" w:line="300"/>
        <w:rPr>
          <w:i/>
          <w:sz w:val="24"/>
        </w:rPr>
      </w:pPr>
      <w:r>
        <w:rPr>
          <w:i/>
          <w:sz w:val="24"/>
        </w:rPr>
        <w:t>Si le taux d’armatures est supérieur au taux normal d’environ 100 kg/m³, il y a lieu de prévoir des postes séparés au métré pour le béton et les armatures.</w:t>
      </w:r>
    </w:p>
    <w:p>
      <w:pPr>
        <w:pStyle w:val="Normal"/>
        <w:spacing w:lineRule="atLeast" w:line="300"/>
        <w:ind w:hanging="993" w:start="993" w:end="0"/>
        <w:rPr>
          <w:i/>
          <w:sz w:val="24"/>
        </w:rPr>
      </w:pPr>
      <w:r>
        <w:rPr>
          <w:i/>
          <w:sz w:val="24"/>
        </w:rPr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Heading1"/>
        <w:ind w:hanging="0" w:start="0"/>
        <w:rPr/>
      </w:pPr>
      <w:r>
        <w:rPr/>
        <w:t>J. 1.2.3. Chambres de visite et d’appareils – Exécution</w:t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Normalcentr"/>
        <w:numPr>
          <w:ilvl w:val="0"/>
          <w:numId w:val="7"/>
        </w:numPr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tLeast" w:line="300" w:before="0" w:after="0"/>
        <w:ind w:hanging="340" w:start="340" w:end="0"/>
        <w:rPr/>
      </w:pPr>
      <w:r>
        <w:rPr/>
        <w:t>Le cas échéant, préciser les autres éléments préfabriqués.</w:t>
      </w:r>
    </w:p>
    <w:p>
      <w:pPr>
        <w:pStyle w:val="Normal"/>
        <w:numPr>
          <w:ilvl w:val="0"/>
          <w:numId w:val="7"/>
        </w:numPr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tabs>
          <w:tab w:val="clear" w:pos="709"/>
          <w:tab w:val="left" w:pos="497" w:leader="none"/>
        </w:tabs>
        <w:spacing w:lineRule="atLeast" w:line="300"/>
        <w:rPr>
          <w:sz w:val="24"/>
        </w:rPr>
      </w:pPr>
      <w:r>
        <w:rPr>
          <w:sz w:val="24"/>
        </w:rPr>
        <w:t>Indiquer si le radier des chambres est construit sur une couche de béton maigre et en fixer l’épaisseur.</w:t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Heading1"/>
        <w:spacing w:lineRule="atLeast" w:line="300"/>
        <w:ind w:hanging="0" w:start="0"/>
        <w:rPr/>
      </w:pPr>
      <w:r>
        <w:rPr/>
        <w:t>J. 3.1. PETITS OUVRAGES EN BETON ET BETON ARME – DESCRIPTION</w:t>
      </w:r>
    </w:p>
    <w:p>
      <w:pPr>
        <w:pStyle w:val="Normal"/>
        <w:spacing w:lineRule="atLeast" w:line="300"/>
        <w:rPr>
          <w:sz w:val="24"/>
        </w:rPr>
      </w:pPr>
      <w:r>
        <w:rPr>
          <w:sz w:val="24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tLeast" w:line="300"/>
        <w:rPr>
          <w:sz w:val="24"/>
        </w:rPr>
      </w:pPr>
      <w:r>
        <w:rPr>
          <w:sz w:val="24"/>
        </w:rPr>
        <w:t>Indiquer:</w:t>
      </w:r>
    </w:p>
    <w:p>
      <w:pPr>
        <w:pStyle w:val="Normal"/>
        <w:numPr>
          <w:ilvl w:val="0"/>
          <w:numId w:val="10"/>
        </w:numPr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tabs>
          <w:tab w:val="clear" w:pos="709"/>
          <w:tab w:val="left" w:pos="497" w:leader="none"/>
        </w:tabs>
        <w:spacing w:lineRule="atLeast" w:line="300"/>
        <w:rPr>
          <w:sz w:val="24"/>
        </w:rPr>
      </w:pPr>
      <w:r>
        <w:rPr>
          <w:sz w:val="24"/>
        </w:rPr>
        <w:t>les caractéristiques géométriques des ouvrages et de leur fondation.</w:t>
      </w:r>
    </w:p>
    <w:p>
      <w:pPr>
        <w:pStyle w:val="Normal"/>
        <w:numPr>
          <w:ilvl w:val="0"/>
          <w:numId w:val="10"/>
        </w:numPr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tabs>
          <w:tab w:val="clear" w:pos="709"/>
          <w:tab w:val="left" w:pos="497" w:leader="none"/>
        </w:tabs>
        <w:spacing w:lineRule="atLeast" w:line="300"/>
        <w:rPr>
          <w:sz w:val="24"/>
        </w:rPr>
      </w:pPr>
      <w:r>
        <w:rPr>
          <w:sz w:val="24"/>
        </w:rPr>
        <w:t>la classe de résistance à la compression et la dimension maximale des granulats pour chaque béton.</w:t>
      </w:r>
    </w:p>
    <w:p>
      <w:pPr>
        <w:pStyle w:val="Normal"/>
        <w:numPr>
          <w:ilvl w:val="0"/>
          <w:numId w:val="10"/>
        </w:numPr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tabs>
          <w:tab w:val="clear" w:pos="709"/>
          <w:tab w:val="left" w:pos="497" w:leader="none"/>
        </w:tabs>
        <w:spacing w:lineRule="atLeast" w:line="300"/>
        <w:rPr>
          <w:sz w:val="24"/>
        </w:rPr>
      </w:pPr>
      <w:r>
        <w:rPr>
          <w:sz w:val="24"/>
        </w:rPr>
        <w:t>le cas échéant, la classe d'exposition de chaque béton (à défaut, celle-ci est de la classe 3).</w:t>
      </w:r>
    </w:p>
    <w:p>
      <w:pPr>
        <w:pStyle w:val="Normal"/>
        <w:numPr>
          <w:ilvl w:val="0"/>
          <w:numId w:val="10"/>
        </w:numPr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tabs>
          <w:tab w:val="clear" w:pos="709"/>
          <w:tab w:val="left" w:pos="497" w:leader="none"/>
        </w:tabs>
        <w:spacing w:lineRule="atLeast" w:line="300"/>
        <w:rPr>
          <w:sz w:val="24"/>
        </w:rPr>
      </w:pPr>
      <w:r>
        <w:rPr>
          <w:sz w:val="24"/>
        </w:rPr>
        <w:t>l'apparence de chaque béton (L ou R).</w:t>
      </w:r>
    </w:p>
    <w:p>
      <w:pPr>
        <w:pStyle w:val="Normal"/>
        <w:spacing w:lineRule="atLeast" w:line="300"/>
        <w:ind w:hanging="993" w:start="993" w:end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lineRule="atLeast" w:line="300"/>
        <w:ind w:hanging="993" w:start="993" w:end="0"/>
        <w:rPr>
          <w:b/>
          <w:sz w:val="24"/>
        </w:rPr>
      </w:pPr>
      <w:r>
        <w:rPr>
          <w:b/>
          <w:sz w:val="24"/>
        </w:rPr>
      </w:r>
    </w:p>
    <w:p>
      <w:pPr>
        <w:pStyle w:val="Heading1"/>
        <w:ind w:hanging="0" w:start="0"/>
        <w:rPr/>
      </w:pPr>
      <w:r>
        <w:rPr/>
        <w:t>J. 3.2.1. Petits ouvrages en béton et béton armé – Matériaux</w:t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Normal"/>
        <w:spacing w:lineRule="atLeast" w:line="300"/>
        <w:ind w:hanging="993" w:start="993" w:end="0"/>
        <w:rPr/>
      </w:pPr>
      <w:r>
        <w:rPr>
          <w:i/>
          <w:sz w:val="24"/>
        </w:rPr>
        <w:t xml:space="preserve">Voir </w:t>
      </w:r>
      <w:r>
        <w:rPr>
          <w:i/>
          <w:color w:val="0000FF"/>
          <w:sz w:val="24"/>
        </w:rPr>
        <w:t>commentaire du</w:t>
      </w:r>
      <w:r>
        <w:rPr>
          <w:i/>
          <w:sz w:val="24"/>
        </w:rPr>
        <w:t xml:space="preserve"> </w:t>
      </w:r>
      <w:r>
        <w:rPr>
          <w:i/>
          <w:color w:val="0000FF"/>
          <w:sz w:val="24"/>
        </w:rPr>
        <w:t>J. 1.2.2</w:t>
      </w:r>
      <w:r>
        <w:rPr>
          <w:i/>
          <w:sz w:val="24"/>
        </w:rPr>
        <w:t>.</w:t>
      </w:r>
    </w:p>
    <w:p>
      <w:pPr>
        <w:pStyle w:val="Normal"/>
        <w:spacing w:lineRule="atLeast" w:line="300"/>
        <w:ind w:hanging="993" w:start="993" w:end="0"/>
        <w:rPr>
          <w:i/>
          <w:sz w:val="24"/>
        </w:rPr>
      </w:pPr>
      <w:r>
        <w:rPr>
          <w:i/>
          <w:sz w:val="24"/>
        </w:rPr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  <w:r>
        <w:br w:type="page"/>
      </w:r>
    </w:p>
    <w:p>
      <w:pPr>
        <w:pStyle w:val="Heading1"/>
        <w:spacing w:lineRule="atLeast" w:line="300"/>
        <w:ind w:hanging="0" w:start="0"/>
        <w:rPr/>
      </w:pPr>
      <w:r>
        <w:rPr/>
        <w:t>J. 4.2.1. PETITS OUVRAGES EN ELEMENTS PREFABRIQUES EN BETON ARME – CLAUSES TECHNIQUES - MATERIAUX</w:t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tLeast" w:line="300"/>
        <w:rPr/>
      </w:pPr>
      <w:r>
        <w:rPr>
          <w:sz w:val="24"/>
        </w:rPr>
        <w:t xml:space="preserve">Si les surcharges à prendre en compte diffèrent de celles qui sont prévues aux points </w:t>
      </w:r>
      <w:r>
        <w:rPr>
          <w:color w:val="0000FF"/>
          <w:sz w:val="24"/>
        </w:rPr>
        <w:t>C. 44.3</w:t>
      </w:r>
      <w:r>
        <w:rPr>
          <w:sz w:val="24"/>
        </w:rPr>
        <w:t xml:space="preserve"> ou </w:t>
      </w:r>
      <w:r>
        <w:rPr>
          <w:color w:val="0000FF"/>
          <w:sz w:val="24"/>
        </w:rPr>
        <w:t>C. 44.4</w:t>
      </w:r>
      <w:r>
        <w:rPr>
          <w:sz w:val="24"/>
        </w:rPr>
        <w:t>, il y a lieu de préciser celles-ci.</w:t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Normal"/>
        <w:spacing w:lineRule="atLeast" w:line="300"/>
        <w:rPr/>
      </w:pPr>
      <w:r>
        <w:rPr>
          <w:i/>
          <w:sz w:val="24"/>
        </w:rPr>
        <w:t xml:space="preserve">Indiquer au </w:t>
      </w:r>
      <w:r>
        <w:rPr>
          <w:i/>
          <w:color w:val="0000FF"/>
          <w:sz w:val="24"/>
        </w:rPr>
        <w:t>C. 44.3</w:t>
      </w:r>
      <w:r>
        <w:rPr>
          <w:i/>
          <w:sz w:val="24"/>
        </w:rPr>
        <w:t xml:space="preserve"> (éléments préfabriqués en L) et/ou au </w:t>
      </w:r>
      <w:r>
        <w:rPr>
          <w:i/>
          <w:color w:val="0000FF"/>
          <w:sz w:val="24"/>
        </w:rPr>
        <w:t>C. 44.4</w:t>
      </w:r>
      <w:r>
        <w:rPr>
          <w:i/>
          <w:sz w:val="24"/>
        </w:rPr>
        <w:t xml:space="preserve"> (éléments de pertuis préfabriques) les dimensions.</w:t>
      </w:r>
    </w:p>
    <w:p>
      <w:pPr>
        <w:pStyle w:val="Normal"/>
        <w:rPr>
          <w:i/>
          <w:sz w:val="24"/>
        </w:rPr>
      </w:pPr>
      <w:r>
        <w:rPr>
          <w:i/>
          <w:sz w:val="24"/>
        </w:rPr>
      </w:r>
    </w:p>
    <w:p>
      <w:pPr>
        <w:pStyle w:val="Header"/>
        <w:tabs>
          <w:tab w:val="clear" w:pos="4820"/>
          <w:tab w:val="clear" w:pos="9639"/>
        </w:tabs>
        <w:rPr/>
      </w:pPr>
      <w:r>
        <w:rPr/>
      </w:r>
    </w:p>
    <w:p>
      <w:pPr>
        <w:pStyle w:val="Heading1"/>
        <w:spacing w:lineRule="atLeast" w:line="300"/>
        <w:ind w:hanging="0" w:start="0"/>
        <w:rPr/>
      </w:pPr>
      <w:r>
        <w:rPr/>
        <w:t>J. 4.2.2. PETITS OUVRAGES EN ELEMENTS PREFABRIQUES EN BETON ARME – CLAUSES TECHNIQUES – EXECUTION</w:t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tLeast" w:line="300"/>
        <w:rPr>
          <w:sz w:val="24"/>
        </w:rPr>
      </w:pPr>
      <w:r>
        <w:rPr>
          <w:sz w:val="24"/>
        </w:rPr>
        <w:t>Indiquer:</w:t>
      </w:r>
    </w:p>
    <w:p>
      <w:pPr>
        <w:pStyle w:val="Normal"/>
        <w:numPr>
          <w:ilvl w:val="0"/>
          <w:numId w:val="13"/>
        </w:numPr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tabs>
          <w:tab w:val="clear" w:pos="709"/>
          <w:tab w:val="left" w:pos="497" w:leader="none"/>
        </w:tabs>
        <w:spacing w:lineRule="atLeast" w:line="300"/>
        <w:rPr>
          <w:sz w:val="24"/>
        </w:rPr>
      </w:pPr>
      <w:r>
        <w:rPr>
          <w:sz w:val="24"/>
        </w:rPr>
        <w:t>la classe de résistance du béton de la fondation</w:t>
      </w:r>
    </w:p>
    <w:p>
      <w:pPr>
        <w:pStyle w:val="Normal"/>
        <w:numPr>
          <w:ilvl w:val="0"/>
          <w:numId w:val="12"/>
        </w:numPr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tabs>
          <w:tab w:val="clear" w:pos="709"/>
          <w:tab w:val="left" w:pos="497" w:leader="none"/>
        </w:tabs>
        <w:spacing w:lineRule="atLeast" w:line="300"/>
        <w:rPr>
          <w:sz w:val="24"/>
        </w:rPr>
      </w:pPr>
      <w:r>
        <w:rPr>
          <w:sz w:val="24"/>
        </w:rPr>
        <w:t>les caractéristiques géométriques de la fondation</w:t>
      </w:r>
    </w:p>
    <w:p>
      <w:pPr>
        <w:pStyle w:val="Normal"/>
        <w:numPr>
          <w:ilvl w:val="0"/>
          <w:numId w:val="6"/>
        </w:numPr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tabs>
          <w:tab w:val="clear" w:pos="709"/>
          <w:tab w:val="left" w:pos="497" w:leader="none"/>
        </w:tabs>
        <w:spacing w:lineRule="atLeast" w:line="300"/>
        <w:rPr>
          <w:sz w:val="24"/>
        </w:rPr>
      </w:pPr>
      <w:r>
        <w:rPr>
          <w:sz w:val="24"/>
        </w:rPr>
        <w:t>le procédé d'imperméabilisation des joints entre éléments du côté des remblais.</w:t>
      </w:r>
    </w:p>
    <w:p>
      <w:pPr>
        <w:pStyle w:val="Normal"/>
        <w:spacing w:lineRule="atLeast" w:line="300"/>
        <w:ind w:hanging="993" w:start="993" w:end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lineRule="atLeast" w:line="300"/>
        <w:rPr/>
      </w:pPr>
      <w:r>
        <w:rPr>
          <w:i/>
          <w:sz w:val="24"/>
        </w:rPr>
        <w:t xml:space="preserve">Indiquer au </w:t>
      </w:r>
      <w:r>
        <w:rPr>
          <w:i/>
          <w:color w:val="0000FF"/>
          <w:sz w:val="24"/>
        </w:rPr>
        <w:t>C. 44.3</w:t>
      </w:r>
      <w:r>
        <w:rPr>
          <w:i/>
          <w:sz w:val="24"/>
        </w:rPr>
        <w:t xml:space="preserve"> (éléments préfabriqués en L) et/ou au </w:t>
      </w:r>
      <w:r>
        <w:rPr>
          <w:i/>
          <w:color w:val="0000FF"/>
          <w:sz w:val="24"/>
        </w:rPr>
        <w:t>C. 44.4</w:t>
      </w:r>
      <w:r>
        <w:rPr>
          <w:i/>
          <w:sz w:val="24"/>
        </w:rPr>
        <w:t xml:space="preserve"> (éléments de pertuis préfabriqués) les charges à prévoir.</w:t>
      </w:r>
    </w:p>
    <w:p>
      <w:pPr>
        <w:pStyle w:val="Normal"/>
        <w:spacing w:lineRule="atLeast" w:line="300"/>
        <w:ind w:hanging="993" w:start="993" w:end="0"/>
        <w:rPr>
          <w:b/>
          <w:i/>
          <w:sz w:val="24"/>
        </w:rPr>
      </w:pPr>
      <w:r>
        <w:rPr>
          <w:b/>
          <w:i/>
          <w:sz w:val="24"/>
        </w:rPr>
      </w:r>
    </w:p>
    <w:p>
      <w:pPr>
        <w:pStyle w:val="Normal"/>
        <w:spacing w:lineRule="atLeast" w:line="300"/>
        <w:ind w:hanging="993" w:start="993" w:end="0"/>
        <w:rPr>
          <w:b/>
          <w:sz w:val="24"/>
        </w:rPr>
      </w:pPr>
      <w:r>
        <w:rPr>
          <w:b/>
          <w:sz w:val="24"/>
        </w:rPr>
      </w:r>
    </w:p>
    <w:p>
      <w:pPr>
        <w:pStyle w:val="Heading1"/>
        <w:spacing w:lineRule="atLeast" w:line="300"/>
        <w:ind w:hanging="0" w:start="0"/>
        <w:rPr>
          <w:b w:val="false"/>
        </w:rPr>
      </w:pPr>
      <w:r>
        <w:rPr/>
        <w:t>J. 4.3.</w:t>
      </w:r>
      <w:r>
        <w:rPr>
          <w:b w:val="false"/>
        </w:rPr>
        <w:t xml:space="preserve"> </w:t>
      </w:r>
      <w:r>
        <w:rPr/>
        <w:t>PETITS OUVRAGES EN ELEMENTS PREFABRIQUES EN BETON ARME – SPECIFICATIONS</w:t>
      </w:r>
    </w:p>
    <w:p>
      <w:pPr>
        <w:pStyle w:val="Normal"/>
        <w:spacing w:lineRule="atLeast" w:line="300"/>
        <w:ind w:hanging="993" w:start="993" w:end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tLeast" w:line="300"/>
        <w:rPr/>
      </w:pPr>
      <w:r>
        <w:rPr>
          <w:sz w:val="24"/>
        </w:rPr>
        <w:t>Pour les éléments en L, préciser les tolérances de niveaux et d'alignements.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tLeast" w:line="300"/>
        <w:rPr>
          <w:sz w:val="24"/>
        </w:rPr>
      </w:pPr>
      <w:r>
        <w:rPr>
          <w:sz w:val="24"/>
        </w:rPr>
        <w:t>Pour les pertuis, préciser les pentes et les niveaux.</w:t>
      </w:r>
    </w:p>
    <w:p>
      <w:pPr>
        <w:pStyle w:val="Normal"/>
        <w:spacing w:lineRule="atLeast" w:line="300"/>
        <w:ind w:hanging="993" w:start="993" w:end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lineRule="atLeast" w:line="300"/>
        <w:ind w:hanging="993" w:start="993" w:end="0"/>
        <w:rPr>
          <w:b/>
          <w:sz w:val="24"/>
        </w:rPr>
      </w:pPr>
      <w:r>
        <w:rPr>
          <w:b/>
          <w:sz w:val="24"/>
        </w:rPr>
      </w:r>
    </w:p>
    <w:p>
      <w:pPr>
        <w:pStyle w:val="Heading1"/>
        <w:spacing w:lineRule="atLeast" w:line="300"/>
        <w:ind w:hanging="0" w:start="0"/>
        <w:rPr/>
      </w:pPr>
      <w:r>
        <w:rPr/>
        <w:t>J. 5.1. MACONNERIE EN BRIQUES DE TERRE CUITE ET EN MATERIAUX AGGLOMERES – DESCRIPTION</w:t>
      </w:r>
    </w:p>
    <w:p>
      <w:pPr>
        <w:pStyle w:val="Normal"/>
        <w:spacing w:lineRule="atLeast" w:line="300"/>
        <w:ind w:hanging="993" w:start="993" w:end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numPr>
          <w:ilvl w:val="0"/>
          <w:numId w:val="3"/>
        </w:numPr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tLeast" w:line="300"/>
        <w:rPr>
          <w:sz w:val="24"/>
        </w:rPr>
      </w:pPr>
      <w:r>
        <w:rPr>
          <w:sz w:val="24"/>
        </w:rPr>
        <w:t>Indiquer les caractéristiques géométriques (épaisseurs, hauteurs, ...) des maçonneries.</w:t>
      </w:r>
    </w:p>
    <w:p>
      <w:pPr>
        <w:pStyle w:val="Normal"/>
        <w:numPr>
          <w:ilvl w:val="0"/>
          <w:numId w:val="15"/>
        </w:numPr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tLeast" w:line="300"/>
        <w:rPr>
          <w:sz w:val="24"/>
        </w:rPr>
      </w:pPr>
      <w:r>
        <w:rPr>
          <w:sz w:val="24"/>
        </w:rPr>
        <w:t xml:space="preserve">Indiquer au </w:t>
      </w:r>
      <w:r>
        <w:rPr>
          <w:color w:val="0000FF"/>
          <w:sz w:val="24"/>
        </w:rPr>
        <w:t>C. 4.5</w:t>
      </w:r>
      <w:r>
        <w:rPr>
          <w:sz w:val="24"/>
        </w:rPr>
        <w:t>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tabs>
          <w:tab w:val="clear" w:pos="709"/>
          <w:tab w:val="left" w:pos="357" w:leader="none"/>
        </w:tabs>
        <w:spacing w:lineRule="atLeast" w:line="300"/>
        <w:rPr>
          <w:sz w:val="24"/>
        </w:rPr>
      </w:pPr>
      <w:r>
        <w:rPr>
          <w:sz w:val="24"/>
        </w:rPr>
        <w:tab/>
        <w:t>- le type de briques ou blocs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tabs>
          <w:tab w:val="clear" w:pos="709"/>
          <w:tab w:val="left" w:pos="357" w:leader="none"/>
        </w:tabs>
        <w:spacing w:lineRule="atLeast" w:line="300"/>
        <w:rPr>
          <w:sz w:val="24"/>
        </w:rPr>
      </w:pPr>
      <w:r>
        <w:rPr>
          <w:sz w:val="24"/>
        </w:rPr>
        <w:tab/>
        <w:t>- les caractéristiques géométriques</w:t>
      </w:r>
    </w:p>
    <w:p>
      <w:pPr>
        <w:pStyle w:val="Corpsdetexte2"/>
        <w:tabs>
          <w:tab w:val="clear" w:pos="709"/>
          <w:tab w:val="left" w:pos="357" w:leader="none"/>
        </w:tabs>
        <w:rPr/>
      </w:pPr>
      <w:r>
        <w:rPr/>
        <w:tab/>
        <w:t>- la couleur des maçonneries de parement.</w:t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Heading1"/>
        <w:spacing w:lineRule="atLeast" w:line="300"/>
        <w:ind w:hanging="0" w:start="0"/>
        <w:rPr/>
      </w:pPr>
      <w:r>
        <w:rPr/>
        <w:t>J. 6.1. MACONNERIE ARMEE – DESCRIPTION</w:t>
      </w:r>
    </w:p>
    <w:p>
      <w:pPr>
        <w:pStyle w:val="Normal"/>
        <w:spacing w:lineRule="atLeast" w:line="300"/>
        <w:ind w:hanging="993" w:start="993" w:end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tLeast" w:line="300"/>
        <w:rPr>
          <w:sz w:val="24"/>
        </w:rPr>
      </w:pPr>
      <w:r>
        <w:rPr>
          <w:sz w:val="24"/>
        </w:rPr>
        <w:t>Indiquer les caractéristiques géométriques des blocs coffrants (épaisseurs, hauteurs, ...).</w:t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  <w:r>
        <w:br w:type="page"/>
      </w:r>
    </w:p>
    <w:p>
      <w:pPr>
        <w:pStyle w:val="Heading1"/>
        <w:spacing w:lineRule="atLeast" w:line="300"/>
        <w:ind w:hanging="0" w:start="0"/>
        <w:rPr/>
      </w:pPr>
      <w:r>
        <w:rPr/>
        <w:t>J. 6.2.2. MACONNERIE ARMEE – CLAUSES TECHNIQUES –</w:t>
      </w:r>
      <w:r>
        <w:rPr>
          <w:b w:val="false"/>
        </w:rPr>
        <w:t xml:space="preserve"> </w:t>
      </w:r>
      <w:r>
        <w:rPr/>
        <w:t>EXECUTION</w:t>
      </w:r>
    </w:p>
    <w:p>
      <w:pPr>
        <w:pStyle w:val="Normal"/>
        <w:spacing w:lineRule="atLeast" w:line="300"/>
        <w:ind w:hanging="993" w:start="993" w:end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tLeast" w:line="300"/>
        <w:rPr>
          <w:sz w:val="24"/>
        </w:rPr>
      </w:pPr>
      <w:r>
        <w:rPr>
          <w:sz w:val="24"/>
        </w:rPr>
        <w:t>Le cas échéant, indiquer les hypothèses de charges et de calcul imposées sur le plan de la stabilité.</w:t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Heading1"/>
        <w:spacing w:lineRule="atLeast" w:line="300"/>
        <w:ind w:hanging="0" w:start="0"/>
        <w:rPr/>
      </w:pPr>
      <w:r>
        <w:rPr/>
        <w:t>J. 7.1. MACONNERIE EN PIERRE NATURELLE – DESCRIPTION</w:t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tLeast" w:line="300"/>
        <w:rPr/>
      </w:pPr>
      <w:r>
        <w:rPr>
          <w:sz w:val="24"/>
        </w:rPr>
        <w:t>Indiquer les caractéristiques géométriques des maçonneries (épaisseurs, hauteurs, ...).</w:t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Heading1"/>
        <w:spacing w:lineRule="atLeast" w:line="300"/>
        <w:ind w:hanging="0" w:start="0"/>
        <w:rPr/>
      </w:pPr>
      <w:r>
        <w:rPr/>
        <w:t>J. 7.2.1. MACONNERIE EN PIERRE NATURELLE – CLAUSES TECHNIQUES – MATERIAUX</w:t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Corpsdetexte2"/>
        <w:numPr>
          <w:ilvl w:val="0"/>
          <w:numId w:val="16"/>
        </w:numPr>
        <w:rPr/>
      </w:pPr>
      <w:r>
        <w:rPr/>
        <w:t>Indiquer la nature et le type des pierres.</w:t>
      </w:r>
    </w:p>
    <w:p>
      <w:pPr>
        <w:pStyle w:val="Corpsdetexte2"/>
        <w:numPr>
          <w:ilvl w:val="0"/>
          <w:numId w:val="16"/>
        </w:numPr>
        <w:rPr/>
      </w:pPr>
      <w:r>
        <w:rPr/>
        <w:t xml:space="preserve">Indiquer au </w:t>
      </w:r>
      <w:r>
        <w:rPr>
          <w:color w:val="0000FF"/>
        </w:rPr>
        <w:t>C. 28.1.3</w:t>
      </w:r>
      <w:r>
        <w:rPr/>
        <w:t xml:space="preserve"> le type de taille ou de finition de surface.</w:t>
      </w:r>
    </w:p>
    <w:p>
      <w:pPr>
        <w:pStyle w:val="Corpsdetexte2"/>
        <w:numPr>
          <w:ilvl w:val="0"/>
          <w:numId w:val="16"/>
        </w:numPr>
        <w:rPr/>
      </w:pPr>
      <w:r>
        <w:rPr/>
        <w:t xml:space="preserve">Indiquer au </w:t>
      </w:r>
      <w:r>
        <w:rPr>
          <w:color w:val="0000FF"/>
        </w:rPr>
        <w:t>C. 28.6.1</w:t>
      </w:r>
      <w:r>
        <w:rPr/>
        <w:t xml:space="preserve"> les ouvrages ou parties d’ouvrages où sont admis les moellons en pierre d’ardoise.</w:t>
      </w:r>
    </w:p>
    <w:p>
      <w:pPr>
        <w:pStyle w:val="Corpsdetexte2"/>
        <w:numPr>
          <w:ilvl w:val="0"/>
          <w:numId w:val="16"/>
        </w:numPr>
        <w:rPr/>
      </w:pPr>
      <w:r>
        <w:rPr/>
        <w:t xml:space="preserve">Indiquer au </w:t>
      </w:r>
      <w:r>
        <w:rPr>
          <w:color w:val="0000FF"/>
        </w:rPr>
        <w:t>C. 28.6.2.3</w:t>
      </w:r>
      <w:r>
        <w:rPr/>
        <w:t xml:space="preserve"> si une palette périmétrique ou un « tranche-fil » est présent ou non..</w:t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Heading1"/>
        <w:spacing w:lineRule="atLeast" w:line="300"/>
        <w:ind w:hanging="0" w:start="0"/>
        <w:rPr/>
      </w:pPr>
      <w:r>
        <w:rPr/>
        <w:t>J. 7.2.2.1. MACONNERIE de moellons</w:t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tLeast" w:line="300"/>
        <w:rPr>
          <w:sz w:val="24"/>
        </w:rPr>
      </w:pPr>
      <w:r>
        <w:rPr>
          <w:sz w:val="24"/>
        </w:rPr>
        <w:t>Indiquer:</w:t>
      </w:r>
    </w:p>
    <w:p>
      <w:pPr>
        <w:pStyle w:val="Normal"/>
        <w:numPr>
          <w:ilvl w:val="0"/>
          <w:numId w:val="4"/>
        </w:numPr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tLeast" w:line="300"/>
        <w:rPr>
          <w:sz w:val="24"/>
        </w:rPr>
      </w:pPr>
      <w:r>
        <w:rPr>
          <w:sz w:val="24"/>
        </w:rPr>
        <w:t>la nature lithologique et l’origine géologique de la pierre</w:t>
      </w:r>
    </w:p>
    <w:p>
      <w:pPr>
        <w:pStyle w:val="Normal"/>
        <w:numPr>
          <w:ilvl w:val="0"/>
          <w:numId w:val="4"/>
        </w:numPr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tLeast" w:line="300"/>
        <w:rPr>
          <w:sz w:val="24"/>
        </w:rPr>
      </w:pPr>
      <w:r>
        <w:rPr>
          <w:sz w:val="24"/>
        </w:rPr>
        <w:t>le type, le format et les dimensions des moellons</w:t>
      </w:r>
    </w:p>
    <w:p>
      <w:pPr>
        <w:pStyle w:val="Normal"/>
        <w:numPr>
          <w:ilvl w:val="0"/>
          <w:numId w:val="4"/>
        </w:numPr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tLeast" w:line="300"/>
        <w:rPr>
          <w:sz w:val="24"/>
        </w:rPr>
      </w:pPr>
      <w:r>
        <w:rPr>
          <w:sz w:val="24"/>
        </w:rPr>
        <w:t>le mode de mise en œuvre</w:t>
      </w:r>
    </w:p>
    <w:p>
      <w:pPr>
        <w:pStyle w:val="Normal"/>
        <w:numPr>
          <w:ilvl w:val="0"/>
          <w:numId w:val="4"/>
        </w:numPr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tLeast" w:line="300"/>
        <w:rPr>
          <w:sz w:val="24"/>
        </w:rPr>
      </w:pPr>
      <w:r>
        <w:rPr>
          <w:sz w:val="24"/>
        </w:rPr>
        <w:t>le type de joint à réaliser</w:t>
      </w:r>
    </w:p>
    <w:p>
      <w:pPr>
        <w:pStyle w:val="Normal"/>
        <w:numPr>
          <w:ilvl w:val="0"/>
          <w:numId w:val="4"/>
        </w:numPr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tLeast" w:line="300"/>
        <w:rPr>
          <w:sz w:val="24"/>
        </w:rPr>
      </w:pPr>
      <w:r>
        <w:rPr>
          <w:sz w:val="24"/>
        </w:rPr>
        <w:t>le mode de liaison du parement au reste de l'ouvrage</w:t>
      </w:r>
    </w:p>
    <w:p>
      <w:pPr>
        <w:pStyle w:val="Corpsdetexte2"/>
        <w:numPr>
          <w:ilvl w:val="0"/>
          <w:numId w:val="8"/>
        </w:numPr>
        <w:rPr/>
      </w:pPr>
      <w:r>
        <w:rPr/>
        <w:t>dans le cas des moellons à appareiller, établir le plan d'appareil de la maçonnerie.</w:t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Heading1"/>
        <w:spacing w:lineRule="atLeast" w:line="300"/>
        <w:ind w:hanging="0" w:start="0"/>
        <w:rPr/>
      </w:pPr>
      <w:r>
        <w:rPr/>
        <w:t>J. 7.2.2.2. Maçonnerie de pierres bleues appareillées</w:t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tLeast" w:line="300"/>
        <w:rPr>
          <w:sz w:val="24"/>
          <w:u w:val="single"/>
        </w:rPr>
      </w:pPr>
      <w:r>
        <w:rPr>
          <w:sz w:val="24"/>
        </w:rPr>
        <w:t>Etablir le plan d'appareil de la maçonnerie.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tLeast" w:line="300"/>
        <w:rPr>
          <w:sz w:val="24"/>
        </w:rPr>
      </w:pPr>
      <w:r>
        <w:rPr>
          <w:sz w:val="24"/>
        </w:rPr>
        <w:t>Indiquer le cas échéant le mode de liaison du parement au reste de l'ouvrage.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tLeast" w:line="300"/>
        <w:rPr>
          <w:sz w:val="24"/>
        </w:rPr>
      </w:pPr>
      <w:r>
        <w:rPr>
          <w:sz w:val="24"/>
        </w:rPr>
        <w:t>Préciser le lit de pose imposé.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tLeast" w:line="300"/>
        <w:rPr/>
      </w:pPr>
      <w:r>
        <w:rPr>
          <w:sz w:val="24"/>
        </w:rPr>
        <w:t>Indiquer le type de joint à réaliser.</w:t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Heading1"/>
        <w:spacing w:lineRule="atLeast" w:line="300"/>
        <w:ind w:hanging="0" w:start="0"/>
        <w:rPr/>
      </w:pPr>
      <w:r>
        <w:rPr/>
        <w:t>J. 7.2.2.3. Parements en "petit granit"</w:t>
      </w:r>
    </w:p>
    <w:p>
      <w:pPr>
        <w:pStyle w:val="Normal"/>
        <w:spacing w:lineRule="atLeast" w:line="300"/>
        <w:ind w:hanging="993" w:start="993" w:end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tLeast" w:line="300"/>
        <w:rPr>
          <w:sz w:val="24"/>
        </w:rPr>
      </w:pPr>
      <w:r>
        <w:rPr>
          <w:sz w:val="24"/>
        </w:rPr>
        <w:t>Indiquer l'appareillage ainsi que le cas échéant les ancrages ou pattes de scellement.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tLeast" w:line="300"/>
        <w:rPr>
          <w:sz w:val="24"/>
        </w:rPr>
      </w:pPr>
      <w:r>
        <w:rPr>
          <w:sz w:val="24"/>
        </w:rPr>
        <w:t>Etablir le plan d'appareil de la maçonnerie.</w:t>
      </w:r>
    </w:p>
    <w:p>
      <w:pPr>
        <w:pStyle w:val="Normal"/>
        <w:spacing w:lineRule="atLeast" w:line="300"/>
        <w:ind w:hanging="993" w:start="993" w:end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lineRule="atLeast" w:line="300"/>
        <w:ind w:hanging="993" w:start="993" w:end="0"/>
        <w:rPr>
          <w:b/>
          <w:sz w:val="24"/>
        </w:rPr>
      </w:pPr>
      <w:r>
        <w:rPr>
          <w:b/>
          <w:sz w:val="24"/>
        </w:rPr>
      </w:r>
      <w:r>
        <w:br w:type="page"/>
      </w:r>
    </w:p>
    <w:p>
      <w:pPr>
        <w:pStyle w:val="Heading1"/>
        <w:ind w:hanging="0" w:start="0"/>
        <w:rPr/>
      </w:pPr>
      <w:r>
        <w:rPr/>
        <w:t>J. 8.2.1. Imperméabilisation des maçonneries et du béton – Matériaux</w:t>
      </w:r>
    </w:p>
    <w:p>
      <w:pPr>
        <w:pStyle w:val="Normal"/>
        <w:spacing w:lineRule="atLeast" w:line="300"/>
        <w:ind w:hanging="993" w:start="993" w:end="0"/>
        <w:rPr>
          <w:b/>
          <w:sz w:val="24"/>
        </w:rPr>
      </w:pPr>
      <w:r>
        <w:rPr>
          <w:b/>
          <w:sz w:val="24"/>
        </w:rPr>
      </w:r>
    </w:p>
    <w:p>
      <w:pPr>
        <w:pStyle w:val="Corpsdetexte2"/>
        <w:numPr>
          <w:ilvl w:val="0"/>
          <w:numId w:val="5"/>
        </w:numPr>
        <w:rPr/>
      </w:pPr>
      <w:r>
        <w:rPr/>
        <w:t xml:space="preserve">Indiquer au </w:t>
      </w:r>
      <w:r>
        <w:rPr>
          <w:color w:val="0000FF"/>
        </w:rPr>
        <w:t>C. 26.2.2</w:t>
      </w:r>
      <w:r>
        <w:rPr/>
        <w:t xml:space="preserve"> l’épaisseur et la masse surfacique du produit.</w:t>
      </w:r>
    </w:p>
    <w:p>
      <w:pPr>
        <w:pStyle w:val="Corpsdetexte2"/>
        <w:numPr>
          <w:ilvl w:val="0"/>
          <w:numId w:val="5"/>
        </w:numPr>
        <w:rPr/>
      </w:pPr>
      <w:r>
        <w:rPr/>
        <w:t xml:space="preserve">Indiquer au </w:t>
      </w:r>
      <w:r>
        <w:rPr>
          <w:color w:val="0000FF"/>
        </w:rPr>
        <w:t>C. 26.2.3</w:t>
      </w:r>
      <w:r>
        <w:rPr/>
        <w:t xml:space="preserve"> les performances mécaniques des noyaux drainants.</w:t>
      </w:r>
    </w:p>
    <w:p>
      <w:pPr>
        <w:pStyle w:val="Corpsdetexte2"/>
        <w:numPr>
          <w:ilvl w:val="0"/>
          <w:numId w:val="5"/>
        </w:numPr>
        <w:rPr/>
      </w:pPr>
      <w:r>
        <w:rPr/>
        <w:t xml:space="preserve">Indiquer au </w:t>
      </w:r>
      <w:r>
        <w:rPr>
          <w:color w:val="0000FF"/>
        </w:rPr>
        <w:t>C. 26.2.4</w:t>
      </w:r>
      <w:r>
        <w:rPr/>
        <w:t xml:space="preserve"> le nombre de faces recouvertes d’un filtre en géotextile et la présence éventuelle d’une membrane imperméable.  Indiquer également la hauteur et l’épaisseur du géocomposite, ainsi que sa capacité d’écoulement d’eau.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lineRule="atLeast" w:line="300"/>
        <w:ind w:hanging="0" w:start="0"/>
        <w:rPr/>
      </w:pPr>
      <w:r>
        <w:rPr/>
        <w:t>J. 8.2.2.2. DRAINAGE VERTICAL</w:t>
      </w:r>
    </w:p>
    <w:p>
      <w:pPr>
        <w:pStyle w:val="Normal"/>
        <w:spacing w:lineRule="atLeast" w:line="300"/>
        <w:ind w:hanging="993" w:start="993" w:end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tLeast" w:line="300"/>
        <w:rPr>
          <w:sz w:val="24"/>
        </w:rPr>
      </w:pPr>
      <w:r>
        <w:rPr>
          <w:sz w:val="24"/>
        </w:rPr>
        <w:t>Dans le cas où un matelas drainant vertical est posé, indiquer:</w:t>
      </w:r>
    </w:p>
    <w:p>
      <w:pPr>
        <w:pStyle w:val="Normal"/>
        <w:numPr>
          <w:ilvl w:val="0"/>
          <w:numId w:val="14"/>
        </w:numPr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tLeast" w:line="300"/>
        <w:rPr>
          <w:sz w:val="24"/>
        </w:rPr>
      </w:pPr>
      <w:r>
        <w:rPr>
          <w:sz w:val="24"/>
        </w:rPr>
        <w:t>la nature et les modalités de mise en œuvre du géocomposite drainant</w:t>
      </w:r>
    </w:p>
    <w:p>
      <w:pPr>
        <w:pStyle w:val="Normal"/>
        <w:numPr>
          <w:ilvl w:val="0"/>
          <w:numId w:val="14"/>
        </w:numPr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tLeast" w:line="300"/>
        <w:rPr>
          <w:sz w:val="24"/>
        </w:rPr>
      </w:pPr>
      <w:r>
        <w:rPr>
          <w:sz w:val="24"/>
        </w:rPr>
        <w:t>la nature et le profil de la cunette ou la nature et le diamètre du tuyau drainant</w:t>
      </w:r>
    </w:p>
    <w:p>
      <w:pPr>
        <w:pStyle w:val="Normal"/>
        <w:numPr>
          <w:ilvl w:val="0"/>
          <w:numId w:val="14"/>
        </w:numPr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tLeast" w:line="300"/>
        <w:rPr>
          <w:sz w:val="24"/>
        </w:rPr>
      </w:pPr>
      <w:r>
        <w:rPr>
          <w:sz w:val="24"/>
        </w:rPr>
        <w:t>les modalités de mise en œuvre et de raccordement de la cunette ou du tuyau drainant.</w:t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Heading1"/>
        <w:spacing w:lineRule="atLeast" w:line="300"/>
        <w:ind w:hanging="0" w:start="0"/>
        <w:rPr/>
      </w:pPr>
      <w:r>
        <w:rPr/>
        <w:t>J. 9.1. COUVRE-MURS ET TABLETTE SOUS GARDE-CORPS – DESCRIPTION</w:t>
      </w:r>
    </w:p>
    <w:p>
      <w:pPr>
        <w:pStyle w:val="Normal"/>
        <w:spacing w:lineRule="atLeast" w:line="300"/>
        <w:ind w:hanging="993" w:start="993" w:end="0"/>
        <w:rPr>
          <w:b/>
          <w:strike/>
          <w:sz w:val="24"/>
        </w:rPr>
      </w:pPr>
      <w:r>
        <w:rPr>
          <w:b/>
          <w:strike/>
          <w:sz w:val="24"/>
        </w:rPr>
      </w:r>
    </w:p>
    <w:p>
      <w:pPr>
        <w:pStyle w:val="Corpsdetexte2"/>
        <w:rPr/>
      </w:pPr>
      <w:r>
        <w:rPr/>
        <w:t>Indiquer le matériau constitutif, l'aspect, la finition de surface, la teinte et les dimensions des éléments.</w:t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Heading1"/>
        <w:ind w:hanging="0" w:start="0"/>
        <w:rPr/>
      </w:pPr>
      <w:r>
        <w:rPr/>
        <w:t xml:space="preserve">J. 9.2.1. couvre-murs et tablettes sous garde-corps – matériaux </w:t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tLeast" w:line="300"/>
        <w:rPr/>
      </w:pPr>
      <w:r>
        <w:rPr>
          <w:sz w:val="24"/>
        </w:rPr>
        <w:t xml:space="preserve">Indiquer au </w:t>
      </w:r>
      <w:r>
        <w:rPr>
          <w:color w:val="0000FF"/>
          <w:sz w:val="24"/>
        </w:rPr>
        <w:t>C. 28</w:t>
      </w:r>
      <w:r>
        <w:rPr>
          <w:sz w:val="24"/>
        </w:rPr>
        <w:t xml:space="preserve"> la nature lithologique et l’origine géologique de la pierre.</w:t>
      </w:r>
    </w:p>
    <w:p>
      <w:pPr>
        <w:pStyle w:val="Normal"/>
        <w:spacing w:lineRule="atLeast" w:line="300"/>
        <w:rPr>
          <w:sz w:val="24"/>
        </w:rPr>
      </w:pPr>
      <w:r>
        <w:rPr>
          <w:sz w:val="24"/>
        </w:rPr>
      </w:r>
    </w:p>
    <w:p>
      <w:pPr>
        <w:pStyle w:val="Normal"/>
        <w:spacing w:lineRule="atLeast" w:line="300"/>
        <w:rPr>
          <w:sz w:val="24"/>
        </w:rPr>
      </w:pPr>
      <w:r>
        <w:rPr>
          <w:sz w:val="24"/>
        </w:rPr>
      </w:r>
    </w:p>
    <w:p>
      <w:pPr>
        <w:pStyle w:val="Heading1"/>
        <w:spacing w:lineRule="atLeast" w:line="300"/>
        <w:ind w:hanging="0" w:start="0"/>
        <w:rPr/>
      </w:pPr>
      <w:r>
        <w:rPr/>
        <w:t>J. 9.2.2. COUVRE-MURS ET TABLETTE SOUS GARDE-CORPS – CLAUSES TECHNIQUES – EXECUTION</w:t>
      </w:r>
    </w:p>
    <w:p>
      <w:pPr>
        <w:pStyle w:val="Normal"/>
        <w:spacing w:lineRule="atLeast" w:line="300"/>
        <w:ind w:hanging="993" w:start="993" w:end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tLeast" w:line="300"/>
        <w:rPr>
          <w:sz w:val="24"/>
        </w:rPr>
      </w:pPr>
      <w:r>
        <w:rPr>
          <w:sz w:val="24"/>
        </w:rPr>
        <w:t>Indiquer si une émulsion plastique synthétique doit être mélangée au mortier frais.</w:t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Heading1"/>
        <w:spacing w:lineRule="atLeast" w:line="300"/>
        <w:ind w:hanging="0" w:start="0"/>
        <w:rPr/>
      </w:pPr>
      <w:r>
        <w:rPr/>
        <w:t>J. 10.1. PERRES ET GABIONS – DESCRIPTION</w:t>
      </w:r>
    </w:p>
    <w:p>
      <w:pPr>
        <w:pStyle w:val="Normal"/>
        <w:spacing w:lineRule="atLeast" w:line="300"/>
        <w:ind w:hanging="993" w:start="993" w:end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tLeast" w:line="300"/>
        <w:rPr/>
      </w:pPr>
      <w:r>
        <w:rPr>
          <w:sz w:val="24"/>
        </w:rPr>
        <w:t xml:space="preserve">Indiquer les dimensions et la géométrie de l'ouvrage et le cas échéant, la classe de masse suivant le </w:t>
      </w:r>
      <w:r>
        <w:rPr>
          <w:color w:val="0000FF"/>
          <w:sz w:val="24"/>
        </w:rPr>
        <w:t>C. 28.6.9</w:t>
      </w:r>
      <w:r>
        <w:rPr>
          <w:sz w:val="24"/>
        </w:rPr>
        <w:t>.</w:t>
      </w:r>
    </w:p>
    <w:p>
      <w:pPr>
        <w:pStyle w:val="Normal"/>
        <w:spacing w:lineRule="atLeast" w:line="300"/>
        <w:ind w:hanging="993" w:start="993" w:end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lineRule="atLeast" w:line="300"/>
        <w:ind w:hanging="993" w:start="993" w:end="0"/>
        <w:rPr>
          <w:b/>
          <w:sz w:val="24"/>
        </w:rPr>
      </w:pPr>
      <w:r>
        <w:rPr>
          <w:b/>
          <w:sz w:val="24"/>
        </w:rPr>
      </w:r>
    </w:p>
    <w:p>
      <w:pPr>
        <w:pStyle w:val="Heading1"/>
        <w:spacing w:lineRule="atLeast" w:line="300"/>
        <w:ind w:hanging="0" w:start="0"/>
        <w:rPr/>
      </w:pPr>
      <w:r>
        <w:rPr/>
        <w:t>J. 10.1.1. PERREs</w:t>
      </w:r>
    </w:p>
    <w:p>
      <w:pPr>
        <w:pStyle w:val="Normal"/>
        <w:spacing w:lineRule="atLeast" w:line="300"/>
        <w:ind w:hanging="993" w:start="993" w:end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tLeast" w:line="300"/>
        <w:rPr>
          <w:sz w:val="24"/>
        </w:rPr>
      </w:pPr>
      <w:r>
        <w:rPr>
          <w:sz w:val="24"/>
        </w:rPr>
        <w:t>Indiquer le fruit du parement.</w:t>
      </w:r>
    </w:p>
    <w:p>
      <w:pPr>
        <w:pStyle w:val="Normal"/>
        <w:spacing w:lineRule="atLeast" w:line="300"/>
        <w:ind w:hanging="993" w:start="993" w:end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lineRule="atLeast" w:line="300"/>
        <w:ind w:hanging="993" w:start="993" w:end="0"/>
        <w:rPr>
          <w:b/>
          <w:sz w:val="24"/>
        </w:rPr>
      </w:pPr>
      <w:r>
        <w:rPr>
          <w:b/>
          <w:sz w:val="24"/>
        </w:rPr>
      </w:r>
      <w:r>
        <w:br w:type="page"/>
      </w:r>
    </w:p>
    <w:p>
      <w:pPr>
        <w:pStyle w:val="Normal"/>
        <w:spacing w:lineRule="atLeast" w:line="300"/>
        <w:ind w:hanging="993" w:start="993" w:end="0"/>
        <w:rPr>
          <w:b/>
          <w:color w:val="FF0000"/>
          <w:sz w:val="24"/>
        </w:rPr>
      </w:pPr>
      <w:r>
        <w:rPr>
          <w:b/>
          <w:color w:val="FF0000"/>
          <w:sz w:val="24"/>
        </w:rPr>
      </w:r>
    </w:p>
    <w:p>
      <w:pPr>
        <w:pStyle w:val="Heading1"/>
        <w:spacing w:lineRule="atLeast" w:line="300"/>
        <w:ind w:hanging="0" w:start="0"/>
        <w:rPr/>
      </w:pPr>
      <w:r>
        <w:rPr/>
        <w:t>J. 10.2. PERRES ET GABIONS – CLAUSES TECHNIQUES</w:t>
      </w:r>
    </w:p>
    <w:p>
      <w:pPr>
        <w:pStyle w:val="Normal"/>
        <w:spacing w:lineRule="atLeast" w:line="300"/>
        <w:ind w:hanging="993" w:start="993" w:end="0"/>
        <w:rPr>
          <w:b/>
          <w:sz w:val="24"/>
        </w:rPr>
      </w:pPr>
      <w:r>
        <w:rPr>
          <w:b/>
          <w:sz w:val="24"/>
        </w:rPr>
      </w:r>
    </w:p>
    <w:p>
      <w:pPr>
        <w:pStyle w:val="Corpsdetexte2"/>
        <w:jc w:val="start"/>
        <w:rPr/>
      </w:pPr>
      <w:r>
        <w:rPr/>
        <w:t>Indiquer les niveaux inférieur et supérieur de l'ouvrage.</w:t>
        <w:br/>
        <w:br/>
        <w:t>Indiquer les dimensions des gabions et des cages en mètre: L (longueur), l (largeur) et h (hauteur).</w:t>
      </w:r>
    </w:p>
    <w:p>
      <w:pPr>
        <w:pStyle w:val="Corpsdetexte2"/>
        <w:rPr/>
      </w:pPr>
      <w:r>
        <w:rPr/>
        <w:t>Les documents du marché spécifient s’il s’agit de gabion à mailles hexagonales torsadées ou en treillis soudés.</w:t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Normal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L’article 7.2 de la norme reprend les dimensions standards pour ce type de gabion.</w:t>
      </w:r>
    </w:p>
    <w:p>
      <w:pPr>
        <w:pStyle w:val="Normal"/>
        <w:spacing w:lineRule="atLeast" w:line="300"/>
        <w:ind w:hanging="993" w:start="993" w:end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</w:r>
    </w:p>
    <w:p>
      <w:pPr>
        <w:pStyle w:val="Heading1"/>
        <w:spacing w:lineRule="atLeast" w:line="300"/>
        <w:ind w:hanging="0" w:start="0"/>
        <w:rPr/>
      </w:pPr>
      <w:r>
        <w:rPr/>
        <w:t>J. 10.2.2.1. GABIONS – MATERIAUX</w:t>
      </w:r>
    </w:p>
    <w:p>
      <w:pPr>
        <w:pStyle w:val="Normal"/>
        <w:spacing w:lineRule="atLeast" w:line="300"/>
        <w:ind w:hanging="993" w:start="993" w:end="0"/>
        <w:rPr>
          <w:b/>
          <w:sz w:val="24"/>
        </w:rPr>
      </w:pPr>
      <w:r>
        <w:rPr>
          <w:b/>
          <w:sz w:val="24"/>
        </w:rPr>
      </w:r>
    </w:p>
    <w:p>
      <w:pPr>
        <w:pStyle w:val="Corpsdetexte2"/>
        <w:rPr/>
      </w:pPr>
      <w:r>
        <w:rPr/>
        <w:t>Indiquer l'ouverture de la maille, le diamètre des fils de la maille et les diamètres des fils de lisière, de renforcement et de ligature.</w:t>
      </w:r>
    </w:p>
    <w:p>
      <w:pPr>
        <w:pStyle w:val="Corpsdetexte2"/>
        <w:rPr/>
      </w:pPr>
      <w:r>
        <w:rPr/>
      </w:r>
    </w:p>
    <w:p>
      <w:pPr>
        <w:pStyle w:val="Corpsdetexte2"/>
        <w:rPr/>
      </w:pPr>
      <w:r>
        <w:rPr/>
        <w:t>En cas d’utilisation d’un revêtement polymère, indiquer la couleur RAL souhaitée.</w:t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Heading1"/>
        <w:spacing w:lineRule="atLeast" w:line="300"/>
        <w:ind w:hanging="0" w:start="0"/>
        <w:rPr/>
      </w:pPr>
      <w:r>
        <w:rPr/>
        <w:t>J. 11.1. ECRANS ET BARDAGES ANTIBRUIT – DESCRIPTION</w:t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Corpsdetexte2"/>
        <w:rPr/>
      </w:pPr>
      <w:r>
        <w:rPr/>
        <w:t>Indiquer le système et les matériaux constitutifs choisis parmi ceux qui sont repris au document de référence QUALIROUTES-J-1.</w:t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Heading1"/>
        <w:ind w:hanging="0" w:start="0"/>
        <w:rPr/>
      </w:pPr>
      <w:r>
        <w:rPr/>
        <w:t>J. 11.2. Ecrans et bardages antibruit – Clauses techniques</w:t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Corpsdetexte2"/>
        <w:rPr/>
      </w:pPr>
      <w:r>
        <w:rPr/>
        <w:t>Indiquer les prescriptions particulières si elles diffèrent.</w:t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Heading1"/>
        <w:spacing w:lineRule="atLeast" w:line="300"/>
        <w:ind w:hanging="0" w:start="0"/>
        <w:rPr/>
      </w:pPr>
      <w:r>
        <w:rPr/>
        <w:t>J. 12.2. GARDE-CORPS METALLIQUES – CLAUSES TECHNIQUES</w:t>
      </w:r>
    </w:p>
    <w:p>
      <w:pPr>
        <w:pStyle w:val="Normal"/>
        <w:spacing w:lineRule="atLeast" w:line="300"/>
        <w:ind w:hanging="993" w:start="993" w:end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Puces2"/>
        <w:numPr>
          <w:ilvl w:val="0"/>
          <w:numId w:val="0"/>
        </w:numPr>
        <w:tabs>
          <w:tab w:val="clear" w:pos="284"/>
        </w:tabs>
        <w:ind w:hanging="0" w:start="0"/>
        <w:rPr/>
      </w:pPr>
      <w:r>
        <w:rPr/>
        <w:t>Préciser le système de protection anticorrosion parmi les choix suivants:</w:t>
      </w:r>
    </w:p>
    <w:p>
      <w:pPr>
        <w:pStyle w:val="Puces2"/>
        <w:numPr>
          <w:ilvl w:val="0"/>
          <w:numId w:val="11"/>
        </w:numPr>
        <w:tabs>
          <w:tab w:val="clear" w:pos="284"/>
        </w:tabs>
        <w:ind w:hanging="0" w:start="0"/>
        <w:rPr/>
      </w:pPr>
      <w:r>
        <w:rPr/>
        <w:t>système de peinture sur acier sablé: classe de corrosivité C4 – durabilité haute</w:t>
      </w:r>
    </w:p>
    <w:p>
      <w:pPr>
        <w:pStyle w:val="Puces2"/>
        <w:numPr>
          <w:ilvl w:val="0"/>
          <w:numId w:val="11"/>
        </w:numPr>
        <w:tabs>
          <w:tab w:val="clear" w:pos="284"/>
        </w:tabs>
        <w:ind w:hanging="0" w:start="0"/>
        <w:rPr/>
      </w:pPr>
      <w:r>
        <w:rPr/>
        <w:t>système de peinture sur acier métallisé: classe de corrosivité C4 – durabilité haute</w:t>
      </w:r>
    </w:p>
    <w:p>
      <w:pPr>
        <w:pStyle w:val="Puces2"/>
        <w:numPr>
          <w:ilvl w:val="0"/>
          <w:numId w:val="11"/>
        </w:numPr>
        <w:tabs>
          <w:tab w:val="clear" w:pos="284"/>
        </w:tabs>
        <w:ind w:hanging="0" w:start="0"/>
        <w:rPr/>
      </w:pPr>
      <w:r>
        <w:rPr/>
        <w:t>système de peinture sur acier galvanisé: classe de corrosivité C4 – durabilité haute</w:t>
      </w:r>
    </w:p>
    <w:p>
      <w:pPr>
        <w:pStyle w:val="Puces2"/>
        <w:numPr>
          <w:ilvl w:val="0"/>
          <w:numId w:val="11"/>
        </w:numPr>
        <w:tabs>
          <w:tab w:val="clear" w:pos="284"/>
        </w:tabs>
        <w:ind w:hanging="0" w:start="0"/>
        <w:rPr/>
      </w:pPr>
      <w:r>
        <w:rPr/>
        <w:t>galvanisation sans peinture.</w:t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rPr/>
      </w:pPr>
      <w:r>
        <w:rPr>
          <w:sz w:val="24"/>
          <w:szCs w:val="24"/>
          <w:lang w:eastAsia="fr-BE"/>
        </w:rPr>
        <w:t>Les documents du marché précisent le type d'ancrage autorisé (chimique, mécanique, …) et leur caractéristiques (effort à reprendre, diamètre…) conformément à l'ETAG 001 et ses différentes parties.</w:t>
      </w:r>
    </w:p>
    <w:p>
      <w:pPr>
        <w:pStyle w:val="Heading1"/>
        <w:spacing w:lineRule="atLeast" w:line="300"/>
        <w:ind w:hanging="0" w:start="0"/>
        <w:rPr>
          <w:sz w:val="24"/>
          <w:szCs w:val="24"/>
          <w:lang w:eastAsia="fr-BE"/>
        </w:rPr>
      </w:pPr>
      <w:r>
        <w:rPr>
          <w:sz w:val="24"/>
          <w:szCs w:val="24"/>
          <w:lang w:eastAsia="fr-BE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rPr/>
      </w:pPr>
      <w:r>
        <w:rPr>
          <w:sz w:val="24"/>
          <w:szCs w:val="24"/>
          <w:lang w:eastAsia="fr-BE"/>
        </w:rPr>
        <w:t>Préciser si une protection caténaires est demandée.</w:t>
      </w:r>
      <w:r>
        <w:br w:type="page"/>
      </w:r>
    </w:p>
    <w:p>
      <w:pPr>
        <w:pStyle w:val="Heading1"/>
        <w:spacing w:lineRule="atLeast" w:line="300"/>
        <w:ind w:hanging="0" w:start="0"/>
        <w:rPr/>
      </w:pPr>
      <w:r>
        <w:rPr/>
        <w:t>J. 13.1. CLOTURES – DESCRIPTION</w:t>
      </w:r>
    </w:p>
    <w:p>
      <w:pPr>
        <w:pStyle w:val="Normal"/>
        <w:spacing w:lineRule="atLeast" w:line="300"/>
        <w:ind w:hanging="993" w:start="993" w:end="0"/>
        <w:rPr>
          <w:b/>
          <w:sz w:val="24"/>
        </w:rPr>
      </w:pPr>
      <w:r>
        <w:rPr>
          <w:b/>
          <w:sz w:val="24"/>
        </w:rPr>
      </w:r>
    </w:p>
    <w:p>
      <w:pPr>
        <w:pStyle w:val="Corpsdetexte2"/>
        <w:rPr/>
      </w:pPr>
      <w:r>
        <w:rPr/>
        <w:t xml:space="preserve">Indiquer: </w:t>
      </w:r>
    </w:p>
    <w:p>
      <w:pPr>
        <w:pStyle w:val="Normal"/>
        <w:numPr>
          <w:ilvl w:val="0"/>
          <w:numId w:val="9"/>
        </w:numPr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tLeast" w:line="300"/>
        <w:rPr>
          <w:sz w:val="24"/>
        </w:rPr>
      </w:pPr>
      <w:r>
        <w:rPr>
          <w:sz w:val="24"/>
        </w:rPr>
        <w:t>la nature des matériaux, les caractéristiques géométriques (section, longueurs, profondeur d'enfouissement, entredistances, ...) et mécaniques, les protections et revêtements des éléments constituant les supports: poteaux, accessoires et leurs fondations éventuelles</w:t>
      </w:r>
    </w:p>
    <w:p>
      <w:pPr>
        <w:pStyle w:val="Normal"/>
        <w:numPr>
          <w:ilvl w:val="0"/>
          <w:numId w:val="9"/>
        </w:numPr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tLeast" w:line="300"/>
        <w:rPr>
          <w:sz w:val="24"/>
        </w:rPr>
      </w:pPr>
      <w:r>
        <w:rPr>
          <w:sz w:val="24"/>
        </w:rPr>
        <w:t>la nature des matériaux, les caractéristiques géométriques et mécaniques, les protections et revêtements, les dispositifs de fixation des fils, treillis et panneaux</w:t>
      </w:r>
    </w:p>
    <w:p>
      <w:pPr>
        <w:pStyle w:val="Normal"/>
        <w:numPr>
          <w:ilvl w:val="0"/>
          <w:numId w:val="9"/>
        </w:numPr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tLeast" w:line="300"/>
        <w:rPr>
          <w:sz w:val="24"/>
        </w:rPr>
      </w:pPr>
      <w:r>
        <w:rPr>
          <w:sz w:val="24"/>
        </w:rPr>
        <w:t>la nature des matériaux, les caractéristiques géométriques et mécaniques, les protections et revêtements, les dispositifs de fixation des éléments mobiles (barrières d'accès).</w:t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Heading1"/>
        <w:spacing w:lineRule="atLeast" w:line="300"/>
        <w:ind w:hanging="0" w:start="0"/>
        <w:rPr/>
      </w:pPr>
      <w:r>
        <w:rPr/>
        <w:t>J. 13.2.2. CLOTURES – EXECUTION</w:t>
      </w:r>
    </w:p>
    <w:p>
      <w:pPr>
        <w:pStyle w:val="Normal"/>
        <w:spacing w:lineRule="atLeast" w:line="300"/>
        <w:ind w:hanging="993" w:start="993" w:end="0"/>
        <w:rPr>
          <w:sz w:val="24"/>
        </w:rPr>
      </w:pPr>
      <w:r>
        <w:rPr>
          <w:sz w:val="24"/>
        </w:rPr>
      </w:r>
    </w:p>
    <w:p>
      <w:pPr>
        <w:pStyle w:val="Default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rPr>
          <w:color w:val="000000"/>
        </w:rPr>
      </w:pPr>
      <w:r>
        <w:rPr>
          <w:color w:val="000000"/>
        </w:rPr>
        <w:t xml:space="preserve">Concernant les bavolets, préciser: </w:t>
      </w:r>
    </w:p>
    <w:p>
      <w:pPr>
        <w:pStyle w:val="Default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rPr>
          <w:color w:val="000000"/>
        </w:rPr>
      </w:pPr>
      <w:r>
        <w:rPr>
          <w:color w:val="000000"/>
        </w:rPr>
        <w:t xml:space="preserve">- si le bavolet est simple ou double </w:t>
      </w:r>
    </w:p>
    <w:p>
      <w:pPr>
        <w:pStyle w:val="Default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rPr/>
      </w:pPr>
      <w:r>
        <w:rPr>
          <w:color w:val="000000"/>
        </w:rPr>
        <w:t xml:space="preserve">- ses dimensions </w:t>
      </w:r>
    </w:p>
    <w:p>
      <w:pPr>
        <w:pStyle w:val="Default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rPr>
          <w:color w:val="000000"/>
        </w:rPr>
      </w:pPr>
      <w:r>
        <w:rPr>
          <w:color w:val="000000"/>
        </w:rPr>
        <w:t xml:space="preserve">- l’angle qu’il forme avec la clôture mise en place </w:t>
      </w:r>
    </w:p>
    <w:p>
      <w:pPr>
        <w:pStyle w:val="Default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rPr>
          <w:color w:val="000000"/>
        </w:rPr>
      </w:pPr>
      <w:r>
        <w:rPr>
          <w:color w:val="000000"/>
        </w:rPr>
        <w:t xml:space="preserve">- s'il s’adapte sur le poteau ou si le poteau intègre déjà le bavolet </w:t>
      </w:r>
    </w:p>
    <w:p>
      <w:pPr>
        <w:pStyle w:val="Default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rPr>
          <w:color w:val="000000"/>
        </w:rPr>
      </w:pPr>
      <w:r>
        <w:rPr>
          <w:color w:val="000000"/>
        </w:rPr>
        <w:t xml:space="preserve">- le nombre de rangs de ronce, leur description et leur quantité. </w:t>
      </w:r>
    </w:p>
    <w:p>
      <w:pPr>
        <w:pStyle w:val="Default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rPr>
          <w:color w:val="000000"/>
        </w:rPr>
      </w:pPr>
      <w:r>
        <w:rPr>
          <w:color w:val="000000"/>
        </w:rPr>
        <w:t>- les contreventements éventuels</w:t>
      </w:r>
    </w:p>
    <w:p>
      <w:pPr>
        <w:pStyle w:val="Default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rPr/>
      </w:pPr>
      <w:r>
        <w:rPr>
          <w:color w:val="000000"/>
        </w:rPr>
        <w:t xml:space="preserve">- les éléments de fixations éventuels. </w:t>
      </w:r>
    </w:p>
    <w:p>
      <w:pPr>
        <w:pStyle w:val="Normal"/>
        <w:rPr>
          <w:color w:val="000000"/>
          <w:sz w:val="20"/>
          <w:lang w:eastAsia="fr-BE"/>
        </w:rPr>
      </w:pPr>
      <w:r>
        <w:rPr>
          <w:color w:val="000000"/>
          <w:sz w:val="20"/>
          <w:lang w:eastAsia="fr-BE"/>
        </w:rPr>
      </w:r>
    </w:p>
    <w:p>
      <w:pPr>
        <w:pStyle w:val="Normal"/>
        <w:rPr>
          <w:color w:val="FF0000"/>
          <w:sz w:val="20"/>
          <w:lang w:val="fr-BE" w:eastAsia="fr-BE"/>
        </w:rPr>
      </w:pPr>
      <w:r>
        <w:rPr>
          <w:color w:val="FF0000"/>
          <w:sz w:val="20"/>
          <w:lang w:val="fr-BE" w:eastAsia="fr-BE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rPr/>
      </w:pPr>
      <w:r>
        <w:rPr>
          <w:sz w:val="24"/>
          <w:szCs w:val="24"/>
        </w:rPr>
        <w:t xml:space="preserve">Concernant l'enfouissement, préciser: </w:t>
      </w:r>
    </w:p>
    <w:p>
      <w:pPr>
        <w:pStyle w:val="Default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rPr/>
      </w:pPr>
      <w:r>
        <w:rPr>
          <w:color w:val="000000"/>
        </w:rPr>
        <w:t xml:space="preserve">- la profondeur de l’enfouissement. </w:t>
      </w:r>
    </w:p>
    <w:p>
      <w:pPr>
        <w:pStyle w:val="Default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rPr/>
      </w:pPr>
      <w:r>
        <w:rPr>
          <w:color w:val="000000"/>
        </w:rPr>
        <w:t xml:space="preserve">- les éventuel matériaux à évacuer et matériaux d’apport. </w:t>
      </w:r>
    </w:p>
    <w:p>
      <w:pPr>
        <w:pStyle w:val="Default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rPr/>
      </w:pPr>
      <w:r>
        <w:rPr>
          <w:color w:val="000000"/>
        </w:rPr>
        <w:t xml:space="preserve">- la qualité et les quantités de ces matériaux. 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rPr/>
      </w:pPr>
      <w:r>
        <w:rPr>
          <w:sz w:val="24"/>
          <w:szCs w:val="24"/>
        </w:rPr>
        <w:t>- si la pose du treillis est réalisée avec une inclinaison spécifique.</w:t>
      </w:r>
    </w:p>
    <w:sectPr>
      <w:footerReference w:type="default" r:id="rId2"/>
      <w:type w:val="nextPage"/>
      <w:pgSz w:w="11906" w:h="16838"/>
      <w:pgMar w:left="1304" w:right="1304" w:gutter="0" w:header="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Fonts w:cs="Arial" w:ascii="Arial" w:hAnsi="Arial"/>
      </w:rPr>
      <w:t xml:space="preserve">Modèle de CSC du Chapitre J – Version du 01/01/2024 – </w:t>
    </w:r>
    <w:r>
      <w:rPr>
        <w:rFonts w:cs="Arial" w:ascii="Arial" w:hAnsi="Arial"/>
      </w:rPr>
      <w:fldChar w:fldCharType="begin"/>
    </w:r>
    <w:r>
      <w:rPr>
        <w:rFonts w:cs="Arial" w:ascii="Arial" w:hAnsi="Arial"/>
      </w:rPr>
      <w:instrText xml:space="preserve"> PAGE </w:instrText>
    </w:r>
    <w:r>
      <w:rPr>
        <w:rFonts w:cs="Arial" w:ascii="Arial" w:hAnsi="Arial"/>
      </w:rPr>
      <w:fldChar w:fldCharType="separate"/>
    </w:r>
    <w:r>
      <w:rPr>
        <w:rFonts w:cs="Arial" w:ascii="Arial" w:hAnsi="Arial"/>
      </w:rPr>
      <w:t>6</w:t>
    </w:r>
    <w:r>
      <w:rPr>
        <w:rFonts w:cs="Arial" w:ascii="Arial" w:hAnsi="Arial"/>
      </w:rPr>
      <w:fldChar w:fldCharType="end"/>
    </w:r>
    <w:r>
      <w:rPr>
        <w:rFonts w:cs="Arial" w:ascii="Arial" w:hAnsi="Arial"/>
      </w:rPr>
      <w:t xml:space="preserve"> 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"/>
      <w:lvlJc w:val="start"/>
      <w:pPr>
        <w:tabs>
          <w:tab w:val="num" w:pos="283"/>
        </w:tabs>
        <w:ind w:start="28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-"/>
      <w:lvlJc w:val="start"/>
      <w:pPr>
        <w:tabs>
          <w:tab w:val="num" w:pos="360"/>
        </w:tabs>
        <w:ind w:start="357" w:hanging="357"/>
      </w:pPr>
      <w:rPr>
        <w:rFonts w:ascii="Symbol" w:hAnsi="Symbol" w:cs="Symbol" w:hint="default"/>
        <w:sz w:val="16"/>
      </w:rPr>
    </w:lvl>
  </w:abstractNum>
  <w:abstractNum w:abstractNumId="4">
    <w:lvl w:ilvl="0">
      <w:start w:val="1"/>
      <w:numFmt w:val="bullet"/>
      <w:lvlText w:val=""/>
      <w:lvlJc w:val="start"/>
      <w:pPr>
        <w:tabs>
          <w:tab w:val="num" w:pos="360"/>
        </w:tabs>
        <w:ind w:start="340" w:hanging="34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"/>
      <w:lvlJc w:val="start"/>
      <w:pPr>
        <w:tabs>
          <w:tab w:val="num" w:pos="360"/>
        </w:tabs>
        <w:ind w:start="340" w:hanging="34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-"/>
      <w:lvlJc w:val="start"/>
      <w:pPr>
        <w:tabs>
          <w:tab w:val="num" w:pos="360"/>
        </w:tabs>
        <w:ind w:start="357" w:hanging="357"/>
      </w:pPr>
      <w:rPr>
        <w:rFonts w:ascii="Symbol" w:hAnsi="Symbol" w:cs="Symbol" w:hint="default"/>
        <w:sz w:val="16"/>
      </w:rPr>
    </w:lvl>
  </w:abstractNum>
  <w:abstractNum w:abstractNumId="7">
    <w:lvl w:ilvl="0">
      <w:start w:val="1"/>
      <w:numFmt w:val="bullet"/>
      <w:lvlText w:val=""/>
      <w:lvlJc w:val="start"/>
      <w:pPr>
        <w:tabs>
          <w:tab w:val="num" w:pos="360"/>
        </w:tabs>
        <w:ind w:start="340" w:hanging="34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"/>
      <w:lvlJc w:val="start"/>
      <w:pPr>
        <w:tabs>
          <w:tab w:val="num" w:pos="360"/>
        </w:tabs>
        <w:ind w:start="340" w:hanging="34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"/>
      <w:lvlJc w:val="start"/>
      <w:pPr>
        <w:tabs>
          <w:tab w:val="num" w:pos="360"/>
        </w:tabs>
        <w:ind w:start="340" w:hanging="34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"/>
      <w:lvlJc w:val="start"/>
      <w:pPr>
        <w:tabs>
          <w:tab w:val="num" w:pos="360"/>
        </w:tabs>
        <w:ind w:start="340" w:hanging="34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–"/>
      <w:lvlJc w:val="start"/>
      <w:pPr>
        <w:tabs>
          <w:tab w:val="num" w:pos="360"/>
        </w:tabs>
        <w:ind w:start="360" w:hanging="360"/>
      </w:pPr>
      <w:rPr>
        <w:rFonts w:ascii="Arial" w:hAnsi="Arial" w:cs="Arial" w:hint="default"/>
      </w:rPr>
    </w:lvl>
  </w:abstractNum>
  <w:abstractNum w:abstractNumId="12">
    <w:lvl w:ilvl="0">
      <w:start w:val="1"/>
      <w:numFmt w:val="bullet"/>
      <w:lvlText w:val="-"/>
      <w:lvlJc w:val="start"/>
      <w:pPr>
        <w:tabs>
          <w:tab w:val="num" w:pos="360"/>
        </w:tabs>
        <w:ind w:start="357" w:hanging="357"/>
      </w:pPr>
      <w:rPr>
        <w:rFonts w:ascii="Symbol" w:hAnsi="Symbol" w:cs="Symbol" w:hint="default"/>
        <w:sz w:val="16"/>
      </w:rPr>
    </w:lvl>
  </w:abstractNum>
  <w:abstractNum w:abstractNumId="13">
    <w:lvl w:ilvl="0">
      <w:start w:val="1"/>
      <w:numFmt w:val="bullet"/>
      <w:lvlText w:val="-"/>
      <w:lvlJc w:val="start"/>
      <w:pPr>
        <w:tabs>
          <w:tab w:val="num" w:pos="360"/>
        </w:tabs>
        <w:ind w:start="357" w:hanging="357"/>
      </w:pPr>
      <w:rPr>
        <w:rFonts w:ascii="Symbol" w:hAnsi="Symbol" w:cs="Symbol" w:hint="default"/>
        <w:sz w:val="16"/>
      </w:rPr>
    </w:lvl>
  </w:abstractNum>
  <w:abstractNum w:abstractNumId="14">
    <w:lvl w:ilvl="0">
      <w:start w:val="1"/>
      <w:numFmt w:val="bullet"/>
      <w:lvlText w:val=""/>
      <w:lvlJc w:val="start"/>
      <w:pPr>
        <w:tabs>
          <w:tab w:val="num" w:pos="360"/>
        </w:tabs>
        <w:ind w:start="340" w:hanging="340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-"/>
      <w:lvlJc w:val="start"/>
      <w:pPr>
        <w:tabs>
          <w:tab w:val="num" w:pos="360"/>
        </w:tabs>
        <w:ind w:start="357" w:hanging="357"/>
      </w:pPr>
      <w:rPr>
        <w:rFonts w:ascii="Symbol" w:hAnsi="Symbol" w:cs="Symbol" w:hint="default"/>
        <w:sz w:val="16"/>
      </w:rPr>
    </w:lvl>
  </w:abstractNum>
  <w:abstractNum w:abstractNumId="16">
    <w:lvl w:ilvl="0">
      <w:start w:val="1"/>
      <w:numFmt w:val="bullet"/>
      <w:lvlText w:val=""/>
      <w:lvlJc w:val="start"/>
      <w:pPr>
        <w:tabs>
          <w:tab w:val="num" w:pos="283"/>
        </w:tabs>
        <w:ind w:start="283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%1"/>
      <w:lvlJc w:val="start"/>
      <w:pPr>
        <w:tabs>
          <w:tab w:val="num" w:pos="283"/>
        </w:tabs>
        <w:ind w:start="283" w:hanging="283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Times New Roman" w:hAnsi="Times New Roman" w:eastAsia="Times New Roman" w:cs="Times New Roman"/>
      <w:color w:val="auto"/>
      <w:sz w:val="26"/>
      <w:szCs w:val="26"/>
      <w:lang w:val="fr-FR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outlineLvl w:val="0"/>
    </w:pPr>
    <w:rPr>
      <w:b/>
      <w:bCs/>
      <w:caps/>
      <w:spacing w:val="5"/>
      <w:sz w:val="24"/>
      <w:szCs w:val="24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spacing w:before="240" w:after="0"/>
      <w:ind w:hanging="567" w:start="992" w:end="0"/>
      <w:outlineLvl w:val="1"/>
    </w:pPr>
    <w:rPr>
      <w:b/>
      <w:bCs/>
      <w:spacing w:val="5"/>
      <w:u w:val="single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40" w:after="0"/>
      <w:ind w:hanging="709" w:start="1701" w:end="0"/>
      <w:outlineLvl w:val="2"/>
    </w:pPr>
    <w:rPr>
      <w:u w:val="single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spacing w:before="240" w:after="0"/>
      <w:ind w:hanging="851" w:start="2552" w:end="0"/>
      <w:outlineLvl w:val="3"/>
    </w:pPr>
    <w:rPr>
      <w:u w:val="dotted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hanging="992" w:start="3544" w:end="0"/>
      <w:outlineLvl w:val="4"/>
    </w:pPr>
    <w:rPr/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jc w:val="center"/>
      <w:outlineLvl w:val="5"/>
    </w:pPr>
    <w:rPr>
      <w:i/>
      <w:iCs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spacing w:lineRule="atLeast" w:line="300"/>
      <w:ind w:hanging="993" w:start="993" w:end="0"/>
      <w:outlineLvl w:val="7"/>
    </w:pPr>
    <w:rPr>
      <w:b/>
      <w:bCs/>
      <w:sz w:val="24"/>
      <w:szCs w:val="24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  <w:sz w:val="16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  <w:sz w:val="16"/>
    </w:rPr>
  </w:style>
  <w:style w:type="character" w:styleId="WW8Num7z0">
    <w:name w:val="WW8Num7z0"/>
    <w:qFormat/>
    <w:rPr>
      <w:rFonts w:ascii="Symbol" w:hAnsi="Symbol" w:cs="Symbol"/>
      <w:sz w:val="16"/>
    </w:rPr>
  </w:style>
  <w:style w:type="character" w:styleId="WW8Num8z0">
    <w:name w:val="WW8Num8z0"/>
    <w:qFormat/>
    <w:rPr>
      <w:rFonts w:ascii="Arial" w:hAnsi="Arial" w:cs="Arial"/>
      <w:sz w:val="20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3z0">
    <w:name w:val="WW8Num13z0"/>
    <w:qFormat/>
    <w:rPr>
      <w:rFonts w:ascii="Arial" w:hAnsi="Arial" w:cs="Arial"/>
      <w:sz w:val="20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5z0">
    <w:name w:val="WW8Num15z0"/>
    <w:qFormat/>
    <w:rPr>
      <w:rFonts w:ascii="Arial" w:hAnsi="Arial" w:cs="Aria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7z0">
    <w:name w:val="WW8Num17z0"/>
    <w:qFormat/>
    <w:rPr>
      <w:rFonts w:ascii="Symbol" w:hAnsi="Symbol" w:cs="Symbol"/>
      <w:sz w:val="16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9z0">
    <w:name w:val="WW8Num19z0"/>
    <w:qFormat/>
    <w:rPr>
      <w:rFonts w:ascii="Arial" w:hAnsi="Arial" w:cs="Arial"/>
      <w:sz w:val="20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1z0">
    <w:name w:val="WW8Num21z0"/>
    <w:qFormat/>
    <w:rPr>
      <w:rFonts w:ascii="Arial" w:hAnsi="Arial" w:cs="Arial"/>
      <w:sz w:val="20"/>
    </w:rPr>
  </w:style>
  <w:style w:type="character" w:styleId="WW8Num22z0">
    <w:name w:val="WW8Num22z0"/>
    <w:qFormat/>
    <w:rPr>
      <w:rFonts w:ascii="Arial" w:hAnsi="Arial" w:cs="Arial"/>
      <w:sz w:val="20"/>
    </w:rPr>
  </w:style>
  <w:style w:type="character" w:styleId="WW8Num23z0">
    <w:name w:val="WW8Num23z0"/>
    <w:qFormat/>
    <w:rPr>
      <w:rFonts w:ascii="Symbol" w:hAnsi="Symbol" w:cs="Symbol"/>
      <w:sz w:val="16"/>
    </w:rPr>
  </w:style>
  <w:style w:type="character" w:styleId="WW8Num24z0">
    <w:name w:val="WW8Num24z0"/>
    <w:qFormat/>
    <w:rPr>
      <w:rFonts w:ascii="Arial" w:hAnsi="Arial" w:cs="Arial"/>
      <w:sz w:val="20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6z0">
    <w:name w:val="WW8Num26z0"/>
    <w:qFormat/>
    <w:rPr>
      <w:rFonts w:ascii="Symbol" w:hAnsi="Symbol" w:cs="Symbol"/>
      <w:sz w:val="16"/>
    </w:rPr>
  </w:style>
  <w:style w:type="character" w:styleId="WW8Num27z0">
    <w:name w:val="WW8Num27z0"/>
    <w:qFormat/>
    <w:rPr>
      <w:rFonts w:ascii="Symbol" w:hAnsi="Symbol" w:cs="Symbol"/>
    </w:rPr>
  </w:style>
  <w:style w:type="character" w:styleId="Policepardfaut">
    <w:name w:val="Police par défaut"/>
    <w:qFormat/>
    <w:rPr/>
  </w:style>
  <w:style w:type="character" w:styleId="PageNumber">
    <w:name w:val="page number"/>
    <w:basedOn w:val="Policepardfaut"/>
    <w:rPr/>
  </w:style>
  <w:style w:type="character" w:styleId="PieddepageCar">
    <w:name w:val="Pied de page Car"/>
    <w:qFormat/>
    <w:rPr>
      <w:lang w:val="fr-F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/>
    <w:rPr>
      <w:b/>
      <w:b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Adresse">
    <w:name w:val="Adresse"/>
    <w:qFormat/>
    <w:pPr>
      <w:keepLines/>
      <w:widowControl/>
      <w:bidi w:val="0"/>
      <w:ind w:hanging="0" w:start="4536" w:end="0"/>
    </w:pPr>
    <w:rPr>
      <w:rFonts w:ascii="Times New Roman" w:hAnsi="Times New Roman" w:eastAsia="Times New Roman" w:cs="Times New Roman"/>
      <w:color w:val="auto"/>
      <w:sz w:val="26"/>
      <w:szCs w:val="26"/>
      <w:lang w:val="fr-BE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820" w:leader="none"/>
        <w:tab w:val="right" w:pos="9639" w:leader="none"/>
      </w:tabs>
    </w:pPr>
    <w:rPr/>
  </w:style>
  <w:style w:type="paragraph" w:styleId="Listepuces">
    <w:name w:val="Liste à puces"/>
    <w:basedOn w:val="Normal"/>
    <w:qFormat/>
    <w:pPr>
      <w:numPr>
        <w:ilvl w:val="0"/>
        <w:numId w:val="17"/>
      </w:numPr>
      <w:ind w:hanging="283" w:start="283" w:end="0"/>
    </w:pPr>
    <w:rPr/>
  </w:style>
  <w:style w:type="paragraph" w:styleId="Normal1">
    <w:name w:val="Normal 1"/>
    <w:basedOn w:val="Normal"/>
    <w:qFormat/>
    <w:pPr>
      <w:ind w:hanging="0" w:start="426" w:end="0"/>
    </w:pPr>
    <w:rPr/>
  </w:style>
  <w:style w:type="paragraph" w:styleId="Normal2">
    <w:name w:val="Normal 2"/>
    <w:basedOn w:val="Normal"/>
    <w:qFormat/>
    <w:pPr>
      <w:ind w:hanging="0" w:start="993" w:end="0"/>
    </w:pPr>
    <w:rPr/>
  </w:style>
  <w:style w:type="paragraph" w:styleId="Normal3">
    <w:name w:val="Normal 3"/>
    <w:basedOn w:val="Normal"/>
    <w:qFormat/>
    <w:pPr>
      <w:ind w:hanging="0" w:start="1701" w:end="0"/>
    </w:pPr>
    <w:rPr/>
  </w:style>
  <w:style w:type="paragraph" w:styleId="Normal4">
    <w:name w:val="Normal 4"/>
    <w:basedOn w:val="Normal"/>
    <w:qFormat/>
    <w:pPr>
      <w:ind w:hanging="0" w:start="2694" w:end="0"/>
    </w:pPr>
    <w:rPr/>
  </w:style>
  <w:style w:type="paragraph" w:styleId="Normal5">
    <w:name w:val="Normal 5"/>
    <w:basedOn w:val="Normal"/>
    <w:qFormat/>
    <w:pPr>
      <w:ind w:hanging="0" w:start="3828" w:end="0"/>
    </w:pPr>
    <w:rPr/>
  </w:style>
  <w:style w:type="paragraph" w:styleId="Footer">
    <w:name w:val="footer"/>
    <w:basedOn w:val="Normal"/>
    <w:pPr>
      <w:tabs>
        <w:tab w:val="clear" w:pos="709"/>
        <w:tab w:val="center" w:pos="4820" w:leader="none"/>
        <w:tab w:val="right" w:pos="9639" w:leader="none"/>
      </w:tabs>
    </w:pPr>
    <w:rPr>
      <w:sz w:val="20"/>
      <w:szCs w:val="20"/>
    </w:rPr>
  </w:style>
  <w:style w:type="paragraph" w:styleId="Textedemacro">
    <w:name w:val="Texte de macro"/>
    <w:qFormat/>
    <w:pPr>
      <w:widowControl/>
      <w:tabs>
        <w:tab w:val="clear" w:pos="709"/>
        <w:tab w:val="left" w:pos="397" w:leader="none"/>
        <w:tab w:val="left" w:pos="794" w:leader="none"/>
        <w:tab w:val="left" w:pos="1191" w:leader="none"/>
        <w:tab w:val="left" w:pos="1588" w:leader="none"/>
        <w:tab w:val="left" w:pos="1985" w:leader="none"/>
        <w:tab w:val="left" w:pos="2381" w:leader="none"/>
        <w:tab w:val="left" w:pos="2778" w:leader="none"/>
      </w:tabs>
      <w:bidi w:val="0"/>
      <w:ind w:hanging="3175" w:start="3175" w:end="0"/>
    </w:pPr>
    <w:rPr>
      <w:rFonts w:ascii="Courier New" w:hAnsi="Courier New" w:eastAsia="Times New Roman" w:cs="Courier New"/>
      <w:color w:val="auto"/>
      <w:sz w:val="20"/>
      <w:szCs w:val="20"/>
      <w:lang w:val="fr-FR" w:bidi="ar-SA" w:eastAsia="zh-CN"/>
    </w:rPr>
  </w:style>
  <w:style w:type="paragraph" w:styleId="Normalcentr">
    <w:name w:val="Normal centré"/>
    <w:basedOn w:val="Normal"/>
    <w:qFormat/>
    <w:pPr>
      <w:tabs>
        <w:tab w:val="clear" w:pos="709"/>
        <w:tab w:val="left" w:pos="497" w:leader="none"/>
      </w:tabs>
      <w:spacing w:before="120" w:after="120"/>
      <w:ind w:hanging="426" w:start="497" w:end="283"/>
    </w:pPr>
    <w:rPr>
      <w:sz w:val="24"/>
      <w:szCs w:val="24"/>
    </w:rPr>
  </w:style>
  <w:style w:type="paragraph" w:styleId="Corpsdetexte2">
    <w:name w:val="Corps de texte 2"/>
    <w:basedOn w:val="Normal"/>
    <w:qFormat/>
    <w:pPr>
      <w:pBdr>
        <w:top w:val="single" w:sz="12" w:space="1" w:color="000000"/>
        <w:left w:val="single" w:sz="12" w:space="4" w:color="000000"/>
        <w:bottom w:val="single" w:sz="12" w:space="1" w:color="000000"/>
        <w:right w:val="single" w:sz="12" w:space="4" w:color="000000"/>
      </w:pBdr>
      <w:spacing w:lineRule="atLeast" w:line="300"/>
    </w:pPr>
    <w:rPr>
      <w:sz w:val="24"/>
      <w:szCs w:val="24"/>
    </w:rPr>
  </w:style>
  <w:style w:type="paragraph" w:styleId="Corpsdetexte3">
    <w:name w:val="Corps de texte 3"/>
    <w:basedOn w:val="Normal"/>
    <w:qFormat/>
    <w:pPr>
      <w:pBdr>
        <w:top w:val="double" w:sz="4" w:space="1" w:color="000000"/>
        <w:left w:val="double" w:sz="4" w:space="4" w:color="000000"/>
        <w:bottom w:val="double" w:sz="4" w:space="1" w:color="000000"/>
        <w:right w:val="double" w:sz="4" w:space="4" w:color="000000"/>
      </w:pBdr>
      <w:spacing w:lineRule="atLeast" w:line="300"/>
      <w:jc w:val="center"/>
    </w:pPr>
    <w:rPr>
      <w:b/>
      <w:bCs/>
      <w:caps/>
      <w:sz w:val="28"/>
      <w:szCs w:val="28"/>
    </w:rPr>
  </w:style>
  <w:style w:type="paragraph" w:styleId="Puces1">
    <w:name w:val="Puces 1"/>
    <w:basedOn w:val="Normal"/>
    <w:qFormat/>
    <w:pPr>
      <w:numPr>
        <w:ilvl w:val="0"/>
        <w:numId w:val="2"/>
      </w:numPr>
    </w:pPr>
    <w:rPr>
      <w:rFonts w:ascii="Arial" w:hAnsi="Arial" w:cs="Arial"/>
      <w:sz w:val="20"/>
      <w:szCs w:val="20"/>
    </w:rPr>
  </w:style>
  <w:style w:type="paragraph" w:styleId="Puces2">
    <w:name w:val="Puces 2"/>
    <w:basedOn w:val="Puces1"/>
    <w:qFormat/>
    <w:pPr>
      <w:numPr>
        <w:ilvl w:val="0"/>
        <w:numId w:val="11"/>
      </w:numPr>
      <w:pBdr>
        <w:top w:val="single" w:sz="12" w:space="1" w:color="000000"/>
        <w:left w:val="single" w:sz="12" w:space="4" w:color="000000"/>
        <w:bottom w:val="single" w:sz="12" w:space="1" w:color="000000"/>
        <w:right w:val="single" w:sz="12" w:space="4" w:color="000000"/>
      </w:pBdr>
      <w:tabs>
        <w:tab w:val="clear" w:pos="709"/>
        <w:tab w:val="left" w:pos="284" w:leader="none"/>
      </w:tabs>
      <w:spacing w:lineRule="atLeast" w:line="300"/>
    </w:pPr>
    <w:rPr>
      <w:rFonts w:ascii="Times New Roman" w:hAnsi="Times New Roman" w:cs="Times New Roman"/>
      <w:sz w:val="24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Calibri" w:cs="Times New Roman"/>
      <w:color w:val="000000"/>
      <w:sz w:val="24"/>
      <w:szCs w:val="24"/>
      <w:lang w:val="fr-BE" w:bidi="ar-SA" w:eastAsia="zh-CN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StyleNum">
    <w:name w:val="WW8StyleNum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Application>LibreOffice/25.8.6.2$Linux_X86_64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2023-12-11T10:04:00Z</dcterms:created>
  <dc:creator>M.E.T.</dc:creator>
  <dc:description/>
  <cp:keywords/>
  <dc:language>fr-FR</dc:language>
  <cp:lastModifiedBy>MICHAUX Gauthier</cp:lastModifiedBy>
  <cp:lastPrinted>2003-10-09T16:14:00Z</cp:lastPrinted>
  <dcterms:modified xsi:type="dcterms:W3CDTF">2023-12-12T17:49:00Z</dcterms:modified>
  <cp:revision>5</cp:revision>
  <dc:subject/>
  <dc:title>exécution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72a09c5-6e26-4737-a926-47ef1ab198ae_ActionId">
    <vt:lpwstr>1518630b-9f6d-4f9e-a7c8-d345443ec561</vt:lpwstr>
  </property>
  <property fmtid="{D5CDD505-2E9C-101B-9397-08002B2CF9AE}" pid="3" name="MSIP_Label_e72a09c5-6e26-4737-a926-47ef1ab198ae_Application">
    <vt:lpwstr>Microsoft Azure Information Protection</vt:lpwstr>
  </property>
  <property fmtid="{D5CDD505-2E9C-101B-9397-08002B2CF9AE}" pid="4" name="MSIP_Label_e72a09c5-6e26-4737-a926-47ef1ab198ae_Enabled">
    <vt:lpwstr>True</vt:lpwstr>
  </property>
  <property fmtid="{D5CDD505-2E9C-101B-9397-08002B2CF9AE}" pid="5" name="MSIP_Label_e72a09c5-6e26-4737-a926-47ef1ab198ae_Extended_MSFT_Method">
    <vt:lpwstr>Automatic</vt:lpwstr>
  </property>
  <property fmtid="{D5CDD505-2E9C-101B-9397-08002B2CF9AE}" pid="6" name="MSIP_Label_e72a09c5-6e26-4737-a926-47ef1ab198ae_Name">
    <vt:lpwstr>Confidentiel</vt:lpwstr>
  </property>
  <property fmtid="{D5CDD505-2E9C-101B-9397-08002B2CF9AE}" pid="7" name="MSIP_Label_e72a09c5-6e26-4737-a926-47ef1ab198ae_Owner">
    <vt:lpwstr>gauthier.michaux@spw.wallonie.be</vt:lpwstr>
  </property>
  <property fmtid="{D5CDD505-2E9C-101B-9397-08002B2CF9AE}" pid="8" name="MSIP_Label_e72a09c5-6e26-4737-a926-47ef1ab198ae_SetDate">
    <vt:lpwstr>2019-11-27T14:24:32.5139576Z</vt:lpwstr>
  </property>
  <property fmtid="{D5CDD505-2E9C-101B-9397-08002B2CF9AE}" pid="9" name="MSIP_Label_e72a09c5-6e26-4737-a926-47ef1ab198ae_SiteId">
    <vt:lpwstr>1f816a84-7aa6-4a56-b22a-7b3452fa8681</vt:lpwstr>
  </property>
  <property fmtid="{D5CDD505-2E9C-101B-9397-08002B2CF9AE}" pid="10" name="Sensitivity">
    <vt:lpwstr>Confidentiel</vt:lpwstr>
  </property>
</Properties>
</file>