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double" w:sz="4" w:space="1" w:color="000000"/>
          <w:left w:val="double" w:sz="4" w:space="4" w:color="000000"/>
          <w:bottom w:val="double" w:sz="4" w:space="1" w:color="000000"/>
          <w:right w:val="double" w:sz="4" w:space="4" w:color="000000"/>
        </w:pBdr>
        <w:spacing w:lineRule="atLeast" w:line="300"/>
        <w:jc w:val="center"/>
        <w:rPr>
          <w:b/>
          <w:color w:val="000000"/>
          <w:sz w:val="28"/>
        </w:rPr>
      </w:pPr>
      <w:r>
        <w:rPr>
          <w:b/>
          <w:caps/>
          <w:color w:val="000000"/>
          <w:sz w:val="28"/>
        </w:rPr>
        <w:t xml:space="preserve">Précisions et commentaires relatifs àU chapitre M </w:t>
        <w:br/>
        <w:t>– Travaux d’entretien et de réparations du CCT QUALIROUTES</w:t>
      </w:r>
    </w:p>
    <w:p>
      <w:pPr>
        <w:pStyle w:val="Normal"/>
        <w:spacing w:lineRule="atLeast" w:line="300"/>
        <w:jc w:val="both"/>
        <w:rPr>
          <w:b/>
          <w:color w:val="000000"/>
          <w:sz w:val="28"/>
        </w:rPr>
      </w:pPr>
      <w:r>
        <w:rPr>
          <w:b/>
          <w:color w:val="000000"/>
          <w:sz w:val="28"/>
        </w:rPr>
      </w:r>
    </w:p>
    <w:p>
      <w:pPr>
        <w:pStyle w:val="Normal"/>
        <w:spacing w:lineRule="exact" w:line="300"/>
        <w:jc w:val="both"/>
        <w:rPr>
          <w:i/>
          <w:iCs/>
          <w:color w:val="000000"/>
        </w:rPr>
      </w:pPr>
      <w:r>
        <w:rPr>
          <w:i/>
          <w:iCs/>
          <w:color w:val="000000"/>
        </w:rPr>
      </w:r>
    </w:p>
    <w:p>
      <w:pPr>
        <w:pStyle w:val="Normal"/>
        <w:spacing w:lineRule="atLeast" w:line="300"/>
        <w:jc w:val="both"/>
        <w:rPr>
          <w:i/>
          <w:iCs/>
          <w:color w:val="000000"/>
        </w:rPr>
      </w:pPr>
      <w:r>
        <w:rPr>
          <w:i/>
          <w:iCs/>
          <w:color w:val="000000"/>
        </w:rPr>
      </w:r>
    </w:p>
    <w:p>
      <w:pPr>
        <w:pStyle w:val="Normal"/>
        <w:pBdr>
          <w:top w:val="single" w:sz="12" w:space="1" w:color="000000"/>
          <w:left w:val="single" w:sz="12" w:space="4" w:color="000000"/>
          <w:bottom w:val="single" w:sz="12" w:space="1" w:color="000000"/>
          <w:right w:val="single" w:sz="12" w:space="4" w:color="000000"/>
        </w:pBdr>
        <w:rPr>
          <w:b/>
          <w:color w:val="000000"/>
          <w:lang w:val="fr-BE"/>
        </w:rPr>
      </w:pPr>
      <w:r>
        <w:rPr>
          <w:b/>
          <w:color w:val="000000"/>
        </w:rPr>
        <w:t>M. TRAVAUX CONCERNES</w:t>
      </w:r>
    </w:p>
    <w:p>
      <w:pPr>
        <w:pStyle w:val="Normal"/>
        <w:pBdr>
          <w:top w:val="single" w:sz="12" w:space="1" w:color="000000"/>
          <w:left w:val="single" w:sz="12" w:space="4" w:color="000000"/>
          <w:bottom w:val="single" w:sz="12" w:space="1" w:color="000000"/>
          <w:right w:val="single" w:sz="12" w:space="4" w:color="000000"/>
        </w:pBdr>
        <w:rPr>
          <w:b/>
          <w:color w:val="000000"/>
          <w:lang w:val="fr-BE"/>
        </w:rPr>
      </w:pPr>
      <w:r>
        <w:rPr>
          <w:b/>
          <w:color w:val="000000"/>
          <w:lang w:val="fr-BE"/>
        </w:rPr>
      </w:r>
    </w:p>
    <w:p>
      <w:pPr>
        <w:pStyle w:val="Normal"/>
        <w:pBdr>
          <w:top w:val="single" w:sz="12" w:space="1" w:color="000000"/>
          <w:left w:val="single" w:sz="12" w:space="4" w:color="000000"/>
          <w:bottom w:val="single" w:sz="12" w:space="1" w:color="000000"/>
          <w:right w:val="single" w:sz="12" w:space="4" w:color="000000"/>
        </w:pBdr>
        <w:rPr>
          <w:color w:val="000000"/>
          <w:lang w:val="fr-BE"/>
        </w:rPr>
      </w:pPr>
      <w:r>
        <w:rPr>
          <w:color w:val="000000"/>
        </w:rPr>
        <w:t>Le cas échéant, si le marché comporte des travaux de même nature régis soit par des postes des chapitres E, D, G…soit par des postes du chapitre M, distinguer précisément au CSC les travaux régis par le chapitre M de ceux régis par les autres chapitres.</w:t>
      </w:r>
    </w:p>
    <w:p>
      <w:pPr>
        <w:pStyle w:val="Normal"/>
        <w:pBdr>
          <w:top w:val="single" w:sz="12" w:space="1" w:color="000000"/>
          <w:left w:val="single" w:sz="12" w:space="4" w:color="000000"/>
          <w:bottom w:val="single" w:sz="12" w:space="1" w:color="000000"/>
          <w:right w:val="single" w:sz="12" w:space="4" w:color="000000"/>
        </w:pBdr>
        <w:rPr>
          <w:color w:val="000000"/>
          <w:lang w:val="fr-BE"/>
        </w:rPr>
      </w:pPr>
      <w:r>
        <w:rPr>
          <w:color w:val="000000"/>
          <w:lang w:val="fr-BE"/>
        </w:rPr>
      </w:r>
    </w:p>
    <w:p>
      <w:pPr>
        <w:pStyle w:val="Normal"/>
        <w:rPr>
          <w:color w:val="000000"/>
          <w:lang w:val="fr-BE"/>
        </w:rPr>
      </w:pPr>
      <w:r>
        <w:rPr>
          <w:color w:val="000000"/>
          <w:lang w:val="fr-BE"/>
        </w:rPr>
      </w:r>
    </w:p>
    <w:p>
      <w:pPr>
        <w:pStyle w:val="Normal"/>
        <w:spacing w:lineRule="exact" w:line="300"/>
        <w:jc w:val="both"/>
        <w:rPr>
          <w:i/>
          <w:iCs/>
          <w:color w:val="000000"/>
        </w:rPr>
      </w:pPr>
      <w:r>
        <w:rPr>
          <w:i/>
          <w:iCs/>
          <w:color w:val="000000"/>
        </w:rPr>
      </w:r>
    </w:p>
    <w:p>
      <w:pPr>
        <w:pStyle w:val="Heading1"/>
        <w:ind w:hanging="0" w:start="0"/>
        <w:rPr>
          <w:caps w:val="false"/>
          <w:smallCaps w:val="false"/>
        </w:rPr>
      </w:pPr>
      <w:r>
        <w:rPr>
          <w:caps w:val="false"/>
          <w:smallCaps w:val="false"/>
        </w:rPr>
        <w:t xml:space="preserve">M. 1.1. ENTRETIEN SIMPLE </w:t>
      </w:r>
      <w:r>
        <w:rPr/>
        <w:t>–</w:t>
      </w:r>
      <w:r>
        <w:rPr>
          <w:caps w:val="false"/>
          <w:smallCaps w:val="false"/>
        </w:rPr>
        <w:t xml:space="preserve"> </w:t>
      </w:r>
      <w:r>
        <w:rPr/>
        <w:t>DECOLMATAGE DE REVETEMENT BITUMINEUX DRAINANT</w:t>
      </w:r>
    </w:p>
    <w:p>
      <w:pPr>
        <w:pStyle w:val="Normal"/>
        <w:spacing w:lineRule="atLeast" w:line="300"/>
        <w:jc w:val="both"/>
        <w:rPr>
          <w:caps/>
          <w:color w:val="000000"/>
        </w:rPr>
      </w:pPr>
      <w:r>
        <w:rPr>
          <w:caps/>
          <w:color w:val="000000"/>
        </w:rPr>
      </w:r>
    </w:p>
    <w:p>
      <w:pPr>
        <w:pStyle w:val="Normal"/>
        <w:spacing w:lineRule="atLeast" w:line="300"/>
        <w:jc w:val="both"/>
        <w:rPr>
          <w:color w:val="000000"/>
        </w:rPr>
      </w:pPr>
      <w:r>
        <w:rPr>
          <w:i/>
          <w:color w:val="000000"/>
        </w:rPr>
        <w:t>Ce traitement est prévu pour un entretien régulier plutôt qu’à titre curatif.</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1.4.2.2. Entretien simple – MISE A NIVEAU D’ELEMENTS LOCALISES - EXECUTION</w:t>
      </w:r>
    </w:p>
    <w:p>
      <w:pPr>
        <w:pStyle w:val="Normal"/>
        <w:spacing w:lineRule="atLeast" w:line="300"/>
        <w:jc w:val="both"/>
        <w:rPr>
          <w:color w:val="000000"/>
        </w:rPr>
      </w:pPr>
      <w:r>
        <w:rPr>
          <w:color w:val="000000"/>
        </w:rPr>
      </w:r>
    </w:p>
    <w:p>
      <w:pPr>
        <w:pStyle w:val="Cadre"/>
        <w:rPr/>
      </w:pPr>
      <w:r>
        <w:rPr/>
        <w:t>Indiquer les prescriptions relatives à une pose particulière s’il elles diffèrent du M. 1.4.2.2.</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1.6.2.2. Entretien simple – NETTOYAGE DE REVETEMENTS – CLAUSES TECHNIQUES</w:t>
      </w:r>
    </w:p>
    <w:p>
      <w:pPr>
        <w:pStyle w:val="Normal"/>
        <w:jc w:val="both"/>
        <w:rPr>
          <w:color w:val="000000"/>
        </w:rPr>
      </w:pPr>
      <w:r>
        <w:rPr>
          <w:color w:val="000000"/>
        </w:rPr>
      </w:r>
    </w:p>
    <w:p>
      <w:pPr>
        <w:pStyle w:val="Cadre"/>
        <w:rPr/>
      </w:pPr>
      <w:r>
        <w:rPr/>
        <w:t>Spécifier les zones à traiter par décapage.</w:t>
      </w:r>
    </w:p>
    <w:p>
      <w:pPr>
        <w:pStyle w:val="Normal"/>
        <w:jc w:val="both"/>
        <w:rPr>
          <w:color w:val="000000"/>
        </w:rPr>
      </w:pPr>
      <w:r>
        <w:rPr>
          <w:color w:val="000000"/>
        </w:rPr>
      </w:r>
    </w:p>
    <w:p>
      <w:pPr>
        <w:pStyle w:val="Normal"/>
        <w:jc w:val="both"/>
        <w:rPr>
          <w:color w:val="000000"/>
        </w:rPr>
      </w:pPr>
      <w:r>
        <w:rPr>
          <w:color w:val="000000"/>
        </w:rPr>
      </w:r>
    </w:p>
    <w:p>
      <w:pPr>
        <w:pStyle w:val="Heading1"/>
        <w:ind w:hanging="0" w:start="0"/>
        <w:rPr/>
      </w:pPr>
      <w:r>
        <w:rPr/>
        <w:t>M. 2.1.2. REPARATION DE REVETEMENTs EN BETON DE CIMENT – TRAITEMENT DE SURFACE PAR MEULAGE AU MOYEN DE DISQUES DIAMANTES (MICRORAINURAGE) – CLAUSES TECHNIQUES</w:t>
      </w:r>
    </w:p>
    <w:p>
      <w:pPr>
        <w:pStyle w:val="Normal"/>
        <w:spacing w:lineRule="atLeast" w:line="300"/>
        <w:jc w:val="both"/>
        <w:rPr>
          <w:color w:val="000000"/>
        </w:rPr>
      </w:pPr>
      <w:r>
        <w:rPr>
          <w:color w:val="000000"/>
        </w:rPr>
      </w:r>
    </w:p>
    <w:p>
      <w:pPr>
        <w:pStyle w:val="Cadre"/>
        <w:rPr/>
      </w:pPr>
      <w:r>
        <w:rPr/>
        <w:t>Indiquer la profondeur maximale et le sens de meulage.</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2.2.2. Réparation de revêtements en béton de ciment – TRAITEMENT DE SURFACE PAR FRAISAGE – CLAUSES TECHNIQUES</w:t>
      </w:r>
    </w:p>
    <w:p>
      <w:pPr>
        <w:pStyle w:val="Normal"/>
        <w:spacing w:lineRule="atLeast" w:line="300"/>
        <w:jc w:val="both"/>
        <w:rPr>
          <w:color w:val="000000"/>
        </w:rPr>
      </w:pPr>
      <w:r>
        <w:rPr>
          <w:color w:val="000000"/>
        </w:rPr>
      </w:r>
    </w:p>
    <w:p>
      <w:pPr>
        <w:pStyle w:val="Cadre"/>
        <w:rPr/>
      </w:pPr>
      <w:r>
        <w:rPr/>
        <w:t>Indiquer la profondeur maximale de fraisage.</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2.6.2.1. Réparation de revêtements en béton de ciment – REPARATION D’EPAUFURES ET D’ECLATS – MATERIAUX</w:t>
      </w:r>
    </w:p>
    <w:p>
      <w:pPr>
        <w:pStyle w:val="Normal"/>
        <w:spacing w:lineRule="atLeast" w:line="300"/>
        <w:jc w:val="both"/>
        <w:rPr>
          <w:color w:val="000000"/>
        </w:rPr>
      </w:pPr>
      <w:r>
        <w:rPr>
          <w:color w:val="000000"/>
        </w:rPr>
      </w:r>
    </w:p>
    <w:p>
      <w:pPr>
        <w:pStyle w:val="Normal"/>
        <w:spacing w:lineRule="atLeast" w:line="300"/>
        <w:jc w:val="both"/>
        <w:rPr>
          <w:i/>
          <w:color w:val="000000"/>
        </w:rPr>
      </w:pPr>
      <w:r>
        <w:rPr>
          <w:i/>
          <w:color w:val="000000"/>
        </w:rPr>
        <w:t>Pour le choix entre mortier LHM et mortier à base de résine(s), l’auteur de projet se référera utilement aux dispositions du chapitre N – Entretien et réparation d’ouvrage d’art.</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keepNext w:val="true"/>
        <w:ind w:hanging="0" w:start="0"/>
        <w:rPr/>
      </w:pPr>
      <w:r>
        <w:rPr/>
        <w:t>M. 2.8.2.2. Réparation de revêtements en béton de ciment – REPARATION AU MOYEN DE PRODUITS HYDROCARBONES - EXECUTION</w:t>
      </w:r>
    </w:p>
    <w:p>
      <w:pPr>
        <w:pStyle w:val="Normal"/>
        <w:keepNext w:val="true"/>
        <w:spacing w:lineRule="atLeast" w:line="300"/>
        <w:jc w:val="both"/>
        <w:rPr>
          <w:color w:val="000000"/>
        </w:rPr>
      </w:pPr>
      <w:r>
        <w:rPr>
          <w:color w:val="000000"/>
        </w:rPr>
      </w:r>
    </w:p>
    <w:p>
      <w:pPr>
        <w:pStyle w:val="Normal"/>
        <w:keepNext w:val="true"/>
        <w:spacing w:lineRule="atLeast" w:line="300"/>
        <w:jc w:val="both"/>
        <w:rPr/>
      </w:pPr>
      <w:r>
        <w:rPr>
          <w:i/>
          <w:color w:val="000000"/>
        </w:rPr>
        <w:t>L’utilisation de joint de scellement préformé préfabriqué en usine est recommandé pour des réparations de faibles dimensions, tandis que le joint extrudé sur chantier sera plutôt réservé aux réparations de grandes dimensions.</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pPr>
      <w:r>
        <w:rPr/>
        <w:t>M. 2.9. Réparation de revêtements en béton de ciment – REMPLACEMENT D’UNE PARTIE DU REVETEMENT EN BETON ARME CONTINU</w:t>
      </w:r>
    </w:p>
    <w:p>
      <w:pPr>
        <w:pStyle w:val="Normal"/>
        <w:spacing w:lineRule="atLeast" w:line="300"/>
        <w:jc w:val="both"/>
        <w:rPr>
          <w:color w:val="000000"/>
        </w:rPr>
      </w:pPr>
      <w:r>
        <w:rPr>
          <w:color w:val="000000"/>
        </w:rPr>
      </w:r>
    </w:p>
    <w:p>
      <w:pPr>
        <w:pStyle w:val="Normal"/>
        <w:spacing w:lineRule="atLeast" w:line="300"/>
        <w:jc w:val="both"/>
        <w:rPr>
          <w:color w:val="000000"/>
        </w:rPr>
      </w:pPr>
      <w:r>
        <w:rPr>
          <w:i/>
          <w:color w:val="000000"/>
        </w:rPr>
        <w:t>Le présent chapitre s’applique, en principe aux réparations d’une surface inférieure à 1.000 m².</w:t>
      </w:r>
    </w:p>
    <w:p>
      <w:pPr>
        <w:pStyle w:val="Normal"/>
        <w:spacing w:lineRule="atLeast" w:line="300"/>
        <w:jc w:val="both"/>
        <w:rPr/>
      </w:pPr>
      <w:r>
        <w:rPr>
          <w:i/>
          <w:color w:val="000000"/>
        </w:rPr>
        <w:t>Pour les réparations de plus grande surface, se référer au chapitre G</w:t>
      </w:r>
      <w:r>
        <w:rPr>
          <w:color w:val="000000"/>
        </w:rPr>
        <w: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2.9.2.2. Réparation de revêtements en béton de ciment – FERRAILLAGE</w:t>
      </w:r>
    </w:p>
    <w:p>
      <w:pPr>
        <w:pStyle w:val="Normal"/>
        <w:spacing w:lineRule="atLeast" w:line="300"/>
        <w:jc w:val="both"/>
        <w:rPr>
          <w:color w:val="000000"/>
        </w:rPr>
      </w:pPr>
      <w:r>
        <w:rPr>
          <w:color w:val="000000"/>
        </w:rPr>
      </w:r>
    </w:p>
    <w:p>
      <w:pPr>
        <w:pStyle w:val="Cadre"/>
        <w:rPr/>
      </w:pPr>
      <w:r>
        <w:rPr/>
        <w:t>Indiquer, le cas échéant, le diamètre des armatures longitudinales.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2.9.2.6.7. Réparation de revêtements en béton de ciment – REMPLACEMENT D’UNE PARTIE DU REVETEMENT EN BETON ARME CONTINU – MISE EN SERVICE</w:t>
      </w:r>
    </w:p>
    <w:p>
      <w:pPr>
        <w:pStyle w:val="Normal"/>
        <w:spacing w:lineRule="atLeast" w:line="300"/>
        <w:jc w:val="both"/>
        <w:rPr>
          <w:color w:val="000000"/>
        </w:rPr>
      </w:pPr>
      <w:r>
        <w:rPr>
          <w:color w:val="000000"/>
        </w:rPr>
      </w:r>
    </w:p>
    <w:p>
      <w:pPr>
        <w:pStyle w:val="Cadre"/>
        <w:rPr/>
      </w:pPr>
      <w:r>
        <w:rPr/>
        <w:t>A l’article 28 du chapitre A, préciser le délai imparti pour terminer les réparations.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2.10.2.1. Réparation de revêtements en béton de ciment – REMPLACEMENT DE DALLES DEFECTUEUSES OU PARTIES DE DALLES – MATERIAUX</w:t>
      </w:r>
    </w:p>
    <w:p>
      <w:pPr>
        <w:pStyle w:val="Normal"/>
        <w:spacing w:lineRule="atLeast" w:line="300"/>
        <w:jc w:val="both"/>
        <w:rPr>
          <w:color w:val="000000"/>
        </w:rPr>
      </w:pPr>
      <w:r>
        <w:rPr>
          <w:color w:val="000000"/>
        </w:rPr>
      </w:r>
    </w:p>
    <w:p>
      <w:pPr>
        <w:pStyle w:val="Cadre"/>
        <w:rPr/>
      </w:pPr>
      <w:r>
        <w:rPr/>
        <w:t>Indiquer, le cas échéant, le type et la classe de résistance du ciment selon les dispositions particulières du chantier.</w:t>
      </w:r>
    </w:p>
    <w:p>
      <w:pPr>
        <w:pStyle w:val="Normal"/>
        <w:spacing w:lineRule="atLeast" w:line="300"/>
        <w:jc w:val="both"/>
        <w:rPr>
          <w:color w:val="000000"/>
        </w:rPr>
      </w:pPr>
      <w:r>
        <w:rPr>
          <w:color w:val="000000"/>
        </w:rPr>
      </w:r>
    </w:p>
    <w:p>
      <w:pPr>
        <w:pStyle w:val="Corpsdetexte3"/>
        <w:jc w:val="both"/>
        <w:rPr/>
      </w:pPr>
      <w:r>
        <w:rPr/>
        <w:t>Le choix peut être effectué entre le CEM I LA et le CEM III/A LA ainsi que entre les classes de résistance 42,5 et 52,5. Dans le cas de réparations avec remise en service rapide, l’utilisation du CEM I LA est recommandée étant donné son durcissement rapide.</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2.10.2.2.</w:t>
      </w:r>
      <w:r>
        <w:rPr>
          <w:b w:val="false"/>
        </w:rPr>
        <w:t xml:space="preserve"> </w:t>
      </w:r>
      <w:r>
        <w:rPr/>
        <w:t>Réparation de revêtements en béton de ciment – REMPLACEMENT DE DALLES DEFECTUEUSES OU PARTIES DE DALLES – EXECUTION</w:t>
      </w:r>
    </w:p>
    <w:p>
      <w:pPr>
        <w:pStyle w:val="Normal"/>
        <w:spacing w:lineRule="atLeast" w:line="300"/>
        <w:jc w:val="both"/>
        <w:rPr>
          <w:color w:val="000000"/>
        </w:rPr>
      </w:pPr>
      <w:r>
        <w:rPr>
          <w:color w:val="000000"/>
        </w:rPr>
      </w:r>
    </w:p>
    <w:p>
      <w:pPr>
        <w:pStyle w:val="Cadre"/>
        <w:rPr/>
      </w:pPr>
      <w:r>
        <w:rPr/>
        <w:t>Indiquer le type de joint.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2.11.2.1. Réparation de revêtements en béton de ciment – Relèvement et/ou stabilisation de revêtement en béton par injection – Matériaux</w:t>
      </w:r>
    </w:p>
    <w:p>
      <w:pPr>
        <w:pStyle w:val="Normal"/>
        <w:spacing w:lineRule="atLeast" w:line="300"/>
        <w:jc w:val="both"/>
        <w:rPr>
          <w:color w:val="000000"/>
        </w:rPr>
      </w:pPr>
      <w:r>
        <w:rPr>
          <w:color w:val="000000"/>
        </w:rPr>
      </w:r>
    </w:p>
    <w:p>
      <w:pPr>
        <w:pStyle w:val="Cadre"/>
        <w:rPr/>
      </w:pPr>
      <w:r>
        <w:rPr/>
        <w:t>Indiquer au C. 11.2 les prescriptions à respecter.</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3.1.5. Réparation de revêtements hydrocarbonés – RETABLISSEMENT DE LA PLANEITE TRANSVERSALE PAR fraisage – Paiement</w:t>
      </w:r>
    </w:p>
    <w:p>
      <w:pPr>
        <w:pStyle w:val="Normal"/>
        <w:spacing w:lineRule="atLeast" w:line="300"/>
        <w:jc w:val="both"/>
        <w:rPr>
          <w:color w:val="000000"/>
        </w:rPr>
      </w:pPr>
      <w:r>
        <w:rPr>
          <w:color w:val="000000"/>
        </w:rPr>
      </w:r>
    </w:p>
    <w:p>
      <w:pPr>
        <w:pStyle w:val="Cadre"/>
        <w:rPr/>
      </w:pPr>
      <w:r>
        <w:rPr/>
        <w:t>Indiquer le mode de paiement s’il diffère de celui du M. 3.1.5.</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3.2.5. REPARATION DE REVETEMENTs HYDROCARBONEs – RETABLISSEMENT DE LA PLANEITE PAR MISE EN OEUVRE D’UN R.B.C.F. OU D’ASPHALTE COULE – PAIEMENT</w:t>
      </w:r>
    </w:p>
    <w:p>
      <w:pPr>
        <w:pStyle w:val="Normal"/>
        <w:spacing w:lineRule="atLeast" w:line="300"/>
        <w:jc w:val="both"/>
        <w:rPr>
          <w:color w:val="000000"/>
        </w:rPr>
      </w:pPr>
      <w:r>
        <w:rPr>
          <w:color w:val="000000"/>
        </w:rPr>
      </w:r>
    </w:p>
    <w:p>
      <w:pPr>
        <w:pStyle w:val="Cadre"/>
        <w:rPr/>
      </w:pPr>
      <w:r>
        <w:rPr/>
        <w:t>Indiquer le mode de paiement s’il diffère de celui du M. 3.2.5.</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3.4.2.3. REPARATION DE REVETEMENTs HYDROCARBONEs – REPARATIONS DE FISSURES MULTIPLES</w:t>
      </w:r>
    </w:p>
    <w:p>
      <w:pPr>
        <w:pStyle w:val="Normal"/>
        <w:spacing w:lineRule="atLeast" w:line="300"/>
        <w:jc w:val="both"/>
        <w:rPr>
          <w:color w:val="000000"/>
        </w:rPr>
      </w:pPr>
      <w:r>
        <w:rPr>
          <w:color w:val="000000"/>
        </w:rPr>
      </w:r>
    </w:p>
    <w:p>
      <w:pPr>
        <w:pStyle w:val="Cadre"/>
        <w:rPr/>
      </w:pPr>
      <w:r>
        <w:rPr/>
        <w:t xml:space="preserve">Indiquer le type de revêtement à mettre en œuvre pour la réparation de fissures </w:t>
      </w:r>
      <w:r>
        <w:rPr>
          <w:rFonts w:eastAsia="Symbol" w:cs="Symbol" w:ascii="Symbol" w:hAnsi="Symbol"/>
        </w:rPr>
        <w:sym w:font="Symbol" w:char="f0b3"/>
      </w:r>
      <w:r>
        <w:rPr/>
        <w:t xml:space="preserve"> 5 mm sur une zone de ± 50 cm de largeur.</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3.5. REPARATION DE REVETEMENTs HYDROCARBONEs – REPARATIONS LOCALISEES PROVISOIRES</w:t>
      </w:r>
    </w:p>
    <w:p>
      <w:pPr>
        <w:pStyle w:val="Normal"/>
        <w:spacing w:lineRule="atLeast" w:line="300"/>
        <w:jc w:val="both"/>
        <w:rPr>
          <w:color w:val="000000"/>
        </w:rPr>
      </w:pPr>
      <w:r>
        <w:rPr>
          <w:color w:val="000000"/>
        </w:rPr>
      </w:r>
    </w:p>
    <w:p>
      <w:pPr>
        <w:pStyle w:val="BodyText"/>
        <w:spacing w:lineRule="atLeast" w:line="300"/>
        <w:rPr/>
      </w:pPr>
      <w:r>
        <w:rPr/>
        <w:t>Cette technique est utilisée notamment lorsque:</w:t>
      </w:r>
    </w:p>
    <w:p>
      <w:pPr>
        <w:pStyle w:val="Normal"/>
        <w:numPr>
          <w:ilvl w:val="0"/>
          <w:numId w:val="2"/>
        </w:numPr>
        <w:spacing w:lineRule="atLeast" w:line="300"/>
        <w:jc w:val="both"/>
        <w:rPr>
          <w:color w:val="000000"/>
        </w:rPr>
      </w:pPr>
      <w:r>
        <w:rPr>
          <w:i/>
          <w:color w:val="000000"/>
        </w:rPr>
        <w:t>les conditions atmosphériques sont défavorables au point de ne pas permettre les réparations définitives (par exemple: pluie, température au niveau du sol &lt; 5 °C)</w:t>
      </w:r>
    </w:p>
    <w:p>
      <w:pPr>
        <w:pStyle w:val="Normal"/>
        <w:numPr>
          <w:ilvl w:val="0"/>
          <w:numId w:val="2"/>
        </w:numPr>
        <w:spacing w:lineRule="atLeast" w:line="300"/>
        <w:jc w:val="both"/>
        <w:rPr>
          <w:color w:val="000000"/>
        </w:rPr>
      </w:pPr>
      <w:r>
        <w:rPr>
          <w:i/>
          <w:color w:val="000000"/>
        </w:rPr>
        <w:t>la sécurité de la circulation nécessite une réparation urgente</w:t>
      </w:r>
    </w:p>
    <w:p>
      <w:pPr>
        <w:pStyle w:val="Normal"/>
        <w:numPr>
          <w:ilvl w:val="0"/>
          <w:numId w:val="2"/>
        </w:numPr>
        <w:spacing w:lineRule="atLeast" w:line="300"/>
        <w:jc w:val="both"/>
        <w:rPr>
          <w:color w:val="000000"/>
        </w:rPr>
      </w:pPr>
      <w:r>
        <w:rPr>
          <w:i/>
          <w:color w:val="000000"/>
        </w:rPr>
        <w:t>les documents d’adjudication mentionnent explicitement le caractère provisoire des réparations.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3.6. REPARATION DE REVETEMENTs HYDROCARBONEs – REPARATIONS LOCALISEES DURABLES</w:t>
      </w:r>
    </w:p>
    <w:p>
      <w:pPr>
        <w:pStyle w:val="Normal"/>
        <w:spacing w:lineRule="atLeast" w:line="300"/>
        <w:jc w:val="both"/>
        <w:rPr>
          <w:color w:val="000000"/>
        </w:rPr>
      </w:pPr>
      <w:r>
        <w:rPr>
          <w:color w:val="000000"/>
        </w:rPr>
      </w:r>
    </w:p>
    <w:p>
      <w:pPr>
        <w:pStyle w:val="Normal"/>
        <w:spacing w:lineRule="atLeast" w:line="300"/>
        <w:jc w:val="both"/>
        <w:rPr>
          <w:color w:val="000000"/>
        </w:rPr>
      </w:pPr>
      <w:r>
        <w:rPr>
          <w:i/>
          <w:color w:val="000000"/>
        </w:rPr>
        <w:t>Le présent chapitre s’applique, en principe, à des réparations d’une surface dont les dimensions sont inférieures à 2 m x 5 m.</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3.6.1.</w:t>
      </w:r>
      <w:r>
        <w:rPr>
          <w:b w:val="false"/>
        </w:rPr>
        <w:t xml:space="preserve"> </w:t>
      </w:r>
      <w:r>
        <w:rPr/>
        <w:t>REPARATION DE REVETEMENTs HYDROCARBONEs – REPARATIONS LOCALISEES DURABLES</w:t>
      </w:r>
      <w:r>
        <w:rPr>
          <w:b w:val="false"/>
        </w:rPr>
        <w:t xml:space="preserve"> </w:t>
      </w:r>
      <w:r>
        <w:rPr/>
        <w:t>–</w:t>
      </w:r>
      <w:r>
        <w:rPr>
          <w:b w:val="false"/>
        </w:rPr>
        <w:t xml:space="preserve"> </w:t>
      </w:r>
      <w:r>
        <w:rPr/>
        <w:t>DESCRIPTION</w:t>
      </w:r>
    </w:p>
    <w:p>
      <w:pPr>
        <w:pStyle w:val="Normal"/>
        <w:spacing w:lineRule="atLeast" w:line="300"/>
        <w:jc w:val="both"/>
        <w:rPr>
          <w:color w:val="000000"/>
        </w:rPr>
      </w:pPr>
      <w:r>
        <w:rPr>
          <w:color w:val="000000"/>
        </w:rPr>
      </w:r>
    </w:p>
    <w:p>
      <w:pPr>
        <w:pStyle w:val="Cadre"/>
        <w:rPr/>
      </w:pPr>
      <w:r>
        <w:rPr/>
        <w:t>Indiquer les profondeurs de réparation ainsi que le type et l’épaisseur des couches bitumineuses posées.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3.6.2.1.</w:t>
      </w:r>
      <w:r>
        <w:rPr>
          <w:b w:val="false"/>
        </w:rPr>
        <w:t xml:space="preserve"> </w:t>
      </w:r>
      <w:r>
        <w:rPr/>
        <w:t>REPARATION DE REVETEMENTs HYDROCARBONEs – REPARATIONS LOCALISEES DURABLES</w:t>
      </w:r>
      <w:r>
        <w:rPr>
          <w:b w:val="false"/>
        </w:rPr>
        <w:t xml:space="preserve"> </w:t>
      </w:r>
      <w:r>
        <w:rPr/>
        <w:t>– MATERIAUX</w:t>
      </w:r>
    </w:p>
    <w:p>
      <w:pPr>
        <w:pStyle w:val="Normal"/>
        <w:spacing w:lineRule="atLeast" w:line="300"/>
        <w:jc w:val="both"/>
        <w:rPr>
          <w:color w:val="000000"/>
        </w:rPr>
      </w:pPr>
      <w:r>
        <w:rPr>
          <w:color w:val="000000"/>
        </w:rPr>
      </w:r>
    </w:p>
    <w:p>
      <w:pPr>
        <w:pStyle w:val="Normal"/>
        <w:spacing w:lineRule="atLeast" w:line="300"/>
        <w:jc w:val="both"/>
        <w:rPr>
          <w:i/>
          <w:color w:val="000000"/>
        </w:rPr>
      </w:pPr>
      <w:r>
        <w:rPr>
          <w:i/>
          <w:color w:val="000000"/>
        </w:rPr>
        <w:t>Il est recommandé de prévoir:</w:t>
      </w:r>
    </w:p>
    <w:p>
      <w:pPr>
        <w:pStyle w:val="Normal"/>
        <w:numPr>
          <w:ilvl w:val="0"/>
          <w:numId w:val="5"/>
        </w:numPr>
        <w:spacing w:lineRule="atLeast" w:line="300"/>
        <w:jc w:val="both"/>
        <w:rPr>
          <w:i/>
          <w:color w:val="000000"/>
        </w:rPr>
      </w:pPr>
      <w:r>
        <w:rPr>
          <w:i/>
          <w:color w:val="000000"/>
        </w:rPr>
        <w:t>des revêtements de type I, IV, de l’asphalte coulé ou, si nécessaire, de l’enrobé drainant en couche d’usure</w:t>
      </w:r>
    </w:p>
    <w:p>
      <w:pPr>
        <w:pStyle w:val="Normal"/>
        <w:numPr>
          <w:ilvl w:val="0"/>
          <w:numId w:val="5"/>
        </w:numPr>
        <w:spacing w:lineRule="atLeast" w:line="300"/>
        <w:jc w:val="both"/>
        <w:rPr>
          <w:i/>
          <w:color w:val="000000"/>
        </w:rPr>
      </w:pPr>
      <w:r>
        <w:rPr>
          <w:i/>
          <w:color w:val="000000"/>
        </w:rPr>
        <w:t>des revêtements type III en sous-couche.</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ind w:hanging="0" w:start="0"/>
        <w:rPr/>
      </w:pPr>
      <w:r>
        <w:rPr/>
        <w:t>M. 3.6.2.2.1. REPARATION DE REVETEMENTs HYDROCARBONEs – REPARATIONS LOCALISEES DURABLES – OPERATIONS COMMUNES</w:t>
      </w:r>
    </w:p>
    <w:p>
      <w:pPr>
        <w:pStyle w:val="Normal"/>
        <w:spacing w:lineRule="atLeast" w:line="300"/>
        <w:jc w:val="both"/>
        <w:rPr>
          <w:color w:val="000000"/>
        </w:rPr>
      </w:pPr>
      <w:r>
        <w:rPr>
          <w:color w:val="000000"/>
        </w:rPr>
      </w:r>
    </w:p>
    <w:p>
      <w:pPr>
        <w:pStyle w:val="Cadre"/>
        <w:rPr/>
      </w:pPr>
      <w:r>
        <w:rPr/>
        <w:t>Indiquer si un joint de scellement préformé est imposé.</w:t>
      </w:r>
    </w:p>
    <w:p>
      <w:pPr>
        <w:pStyle w:val="Normal"/>
        <w:jc w:val="both"/>
        <w:rPr>
          <w:color w:val="000000"/>
        </w:rPr>
      </w:pPr>
      <w:r>
        <w:rPr>
          <w:color w:val="000000"/>
        </w:rPr>
      </w:r>
    </w:p>
    <w:p>
      <w:pPr>
        <w:pStyle w:val="Normal"/>
        <w:spacing w:lineRule="atLeast" w:line="300"/>
        <w:jc w:val="both"/>
        <w:rPr/>
      </w:pPr>
      <w:r>
        <w:rPr>
          <w:i/>
          <w:color w:val="000000"/>
        </w:rPr>
        <w:t>L’utilisation de joint de scellement préformé préfabriqué en usine est recommandé pour des réparations de faibles dimensions, tandis que le joint extrudé sur chantier sera plutôt réservé aux réparations de grandes dimensions.</w:t>
      </w:r>
    </w:p>
    <w:p>
      <w:pPr>
        <w:pStyle w:val="Normal"/>
        <w:jc w:val="both"/>
        <w:rPr>
          <w:i/>
          <w:color w:val="000000"/>
        </w:rPr>
      </w:pPr>
      <w:r>
        <w:rPr>
          <w:i/>
          <w:color w:val="000000"/>
        </w:rPr>
      </w:r>
    </w:p>
    <w:p>
      <w:pPr>
        <w:pStyle w:val="Heading1"/>
        <w:ind w:hanging="0" w:start="0"/>
        <w:rPr>
          <w:color w:val="FF0000"/>
        </w:rPr>
      </w:pPr>
      <w:r>
        <w:rPr>
          <w:color w:val="FF0000"/>
        </w:rPr>
        <w:t>M. 3.6.2.2.2. REPARATION DE REVETEMENTs HYDROCARBONEs – REPARATIONS LOCALISEES DURABLES – EXECUTION AVEC UN ENROBE projete</w:t>
      </w:r>
    </w:p>
    <w:p>
      <w:pPr>
        <w:pStyle w:val="Normal"/>
        <w:spacing w:lineRule="atLeast" w:line="300"/>
        <w:jc w:val="both"/>
        <w:rPr>
          <w:color w:val="000000"/>
        </w:rPr>
      </w:pPr>
      <w:r>
        <w:rPr>
          <w:color w:val="000000"/>
        </w:rPr>
      </w:r>
    </w:p>
    <w:p>
      <w:pPr>
        <w:pStyle w:val="Cadre"/>
        <w:rPr/>
      </w:pPr>
      <w:r>
        <w:rPr>
          <w:color w:val="FF0000"/>
        </w:rPr>
        <w:t xml:space="preserve">Prévoir un poste non normalisé sur base du M3500 – </w:t>
      </w:r>
      <w:bookmarkStart w:id="0" w:name="_Hlk148457266"/>
      <w:r>
        <w:rPr>
          <w:color w:val="FF0000"/>
        </w:rPr>
        <w:t>Réparation de revêtements bitumineux – réparation localisée durable avec un enrobé-projeté</w:t>
      </w:r>
      <w:bookmarkEnd w:id="0"/>
      <w:r>
        <w:rPr>
          <w:color w:val="FF0000"/>
        </w:rPr>
        <w:t xml:space="preserve"> pour le paiement du matériau à la tonne</w:t>
      </w:r>
    </w:p>
    <w:p>
      <w:pPr>
        <w:pStyle w:val="Cadre"/>
        <w:rPr>
          <w:color w:val="FF0000"/>
        </w:rPr>
      </w:pPr>
      <w:r>
        <w:rPr>
          <w:color w:val="FF0000"/>
        </w:rPr>
      </w:r>
    </w:p>
    <w:p>
      <w:pPr>
        <w:pStyle w:val="Cadre"/>
        <w:rPr>
          <w:color w:val="FF0000"/>
        </w:rPr>
      </w:pPr>
      <w:r>
        <w:rPr>
          <w:color w:val="FF0000"/>
        </w:rPr>
        <w:t xml:space="preserve">Prévoir un poste non normalisé sur base du X2100 – </w:t>
      </w:r>
      <w:bookmarkStart w:id="1" w:name="_Hlk148457345"/>
      <w:r>
        <w:rPr>
          <w:color w:val="FF0000"/>
        </w:rPr>
        <w:t>Utilisation de matériel avec chauffeur ou opérateur - camion pour le paiement de la mise à disposition d’un enrobeur-projeteur (forfait minimum de 4 h par journée d’intervention).</w:t>
      </w:r>
    </w:p>
    <w:p>
      <w:pPr>
        <w:pStyle w:val="Cadre"/>
        <w:rPr>
          <w:color w:val="FF0000"/>
        </w:rPr>
      </w:pPr>
      <w:r>
        <w:rPr>
          <w:color w:val="FF0000"/>
        </w:rPr>
      </w:r>
      <w:bookmarkEnd w:id="1"/>
    </w:p>
    <w:p>
      <w:pPr>
        <w:pStyle w:val="Cadre"/>
        <w:rPr>
          <w:color w:val="FF0000"/>
        </w:rPr>
      </w:pPr>
      <w:r>
        <w:rPr>
          <w:color w:val="FF0000"/>
        </w:rPr>
        <w:t>Prévoir les postes de la série X2300 – engin de compactage si désiré.</w:t>
      </w:r>
    </w:p>
    <w:p>
      <w:pPr>
        <w:pStyle w:val="Cadre"/>
        <w:rPr>
          <w:color w:val="FF0000"/>
        </w:rPr>
      </w:pPr>
      <w:r>
        <w:rPr>
          <w:color w:val="FF0000"/>
        </w:rPr>
      </w:r>
    </w:p>
    <w:p>
      <w:pPr>
        <w:pStyle w:val="Cadre"/>
        <w:rPr>
          <w:color w:val="FF0000"/>
        </w:rPr>
      </w:pPr>
      <w:r>
        <w:rPr>
          <w:color w:val="FF0000"/>
        </w:rPr>
        <w:t>Pévoir les postes de signalisation réglementaire suivant le site d’intervention.</w:t>
      </w:r>
    </w:p>
    <w:p>
      <w:pPr>
        <w:pStyle w:val="Cadre"/>
        <w:rPr>
          <w:color w:val="FF0000"/>
        </w:rPr>
      </w:pPr>
      <w:r>
        <w:rPr>
          <w:color w:val="FF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Heading1"/>
        <w:ind w:hanging="0" w:start="0"/>
        <w:rPr/>
      </w:pPr>
      <w:r>
        <w:rPr/>
        <w:t>M. 3.6.2.2.3. REPARATION DE REVETEMENTs HYDROCARBONEs – REPARATIONS LOCALISEES DURABLES – EXECUTION AVEC ASPHALTE COULE</w:t>
      </w:r>
    </w:p>
    <w:p>
      <w:pPr>
        <w:pStyle w:val="Normal"/>
        <w:spacing w:lineRule="atLeast" w:line="300"/>
        <w:jc w:val="both"/>
        <w:rPr>
          <w:color w:val="000000"/>
        </w:rPr>
      </w:pPr>
      <w:r>
        <w:rPr>
          <w:color w:val="000000"/>
        </w:rPr>
      </w:r>
    </w:p>
    <w:p>
      <w:pPr>
        <w:pStyle w:val="Cadre"/>
        <w:rPr/>
      </w:pPr>
      <w:r>
        <w:rPr/>
        <w:t>Indiquer le calibre des pierres de gravillonnage (4/7, 7/10 ou 10/14).</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3.7. REPARATION DE REVETEMENTs HYDROCARBONEs – ENROBES STOCKABLES</w:t>
      </w:r>
    </w:p>
    <w:p>
      <w:pPr>
        <w:pStyle w:val="Normal"/>
        <w:spacing w:lineRule="atLeast" w:line="300"/>
        <w:jc w:val="both"/>
        <w:rPr>
          <w:color w:val="000000"/>
        </w:rPr>
      </w:pPr>
      <w:r>
        <w:rPr>
          <w:color w:val="000000"/>
        </w:rPr>
      </w:r>
    </w:p>
    <w:p>
      <w:pPr>
        <w:pStyle w:val="Normal"/>
        <w:spacing w:lineRule="atLeast" w:line="300"/>
        <w:jc w:val="both"/>
        <w:rPr>
          <w:color w:val="000000"/>
        </w:rPr>
      </w:pPr>
      <w:r>
        <w:rPr>
          <w:i/>
          <w:color w:val="000000"/>
        </w:rPr>
        <w:t>Ils peuvent être utilisés lorsqu :</w:t>
      </w:r>
    </w:p>
    <w:p>
      <w:pPr>
        <w:pStyle w:val="Normal"/>
        <w:numPr>
          <w:ilvl w:val="0"/>
          <w:numId w:val="3"/>
        </w:numPr>
        <w:spacing w:lineRule="atLeast" w:line="300"/>
        <w:jc w:val="both"/>
        <w:rPr>
          <w:color w:val="000000"/>
        </w:rPr>
      </w:pPr>
      <w:r>
        <w:rPr>
          <w:i/>
          <w:color w:val="000000"/>
        </w:rPr>
        <w:t>les conditions climatiques ne permettent pas une réparation définitive (pluie, neige, t° &lt; 5° C)</w:t>
      </w:r>
    </w:p>
    <w:p>
      <w:pPr>
        <w:pStyle w:val="Normal"/>
        <w:numPr>
          <w:ilvl w:val="0"/>
          <w:numId w:val="3"/>
        </w:numPr>
        <w:spacing w:lineRule="atLeast" w:line="300"/>
        <w:jc w:val="both"/>
        <w:rPr>
          <w:color w:val="000000"/>
        </w:rPr>
      </w:pPr>
      <w:r>
        <w:rPr>
          <w:i/>
          <w:color w:val="000000"/>
        </w:rPr>
        <w:t>la sécurité du trafic impose une intervention d’urgence.</w:t>
      </w:r>
    </w:p>
    <w:p>
      <w:pPr>
        <w:pStyle w:val="Normal"/>
        <w:spacing w:lineRule="atLeast" w:line="300"/>
        <w:jc w:val="both"/>
        <w:rPr>
          <w:color w:val="000000"/>
        </w:rPr>
      </w:pPr>
      <w:r>
        <w:rPr>
          <w:color w:val="000000"/>
        </w:rPr>
      </w:r>
    </w:p>
    <w:p>
      <w:pPr>
        <w:pStyle w:val="Normal"/>
        <w:tabs>
          <w:tab w:val="clear" w:pos="567"/>
          <w:tab w:val="left" w:pos="851" w:leader="none"/>
        </w:tabs>
        <w:spacing w:lineRule="atLeast" w:line="300"/>
        <w:jc w:val="both"/>
        <w:rPr>
          <w:color w:val="000000"/>
        </w:rPr>
      </w:pPr>
      <w:r>
        <w:rPr>
          <w:i/>
          <w:color w:val="000000"/>
        </w:rPr>
        <w:t>Les enrobés ouverts sont réservés aux réparations d’enrobés drainants.</w:t>
      </w:r>
    </w:p>
    <w:p>
      <w:pPr>
        <w:pStyle w:val="Normal"/>
        <w:tabs>
          <w:tab w:val="clear" w:pos="567"/>
          <w:tab w:val="left" w:pos="851" w:leader="none"/>
        </w:tabs>
        <w:spacing w:lineRule="atLeast" w:line="300"/>
        <w:jc w:val="both"/>
        <w:rPr/>
      </w:pPr>
      <w:r>
        <w:rPr>
          <w:i/>
          <w:color w:val="000000"/>
        </w:rPr>
        <w:t>Certains types d’enrobés stockables peuvent être utilisés pour des réparations définitives</w:t>
      </w:r>
      <w:r>
        <w:rPr>
          <w:color w:val="000000"/>
        </w:rPr>
        <w: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keepNext w:val="true"/>
        <w:ind w:hanging="0" w:start="0"/>
        <w:rPr/>
      </w:pPr>
      <w:r>
        <w:rPr/>
        <w:t>M. 4. INTERFACES antifissures</w:t>
      </w:r>
    </w:p>
    <w:p>
      <w:pPr>
        <w:pStyle w:val="Normal"/>
        <w:keepNext w:val="true"/>
        <w:spacing w:lineRule="atLeast" w:line="300"/>
        <w:jc w:val="both"/>
        <w:rPr>
          <w:color w:val="000000"/>
        </w:rPr>
      </w:pPr>
      <w:r>
        <w:rPr>
          <w:color w:val="000000"/>
        </w:rPr>
      </w:r>
    </w:p>
    <w:p>
      <w:pPr>
        <w:pStyle w:val="Normal"/>
        <w:keepNext w:val="true"/>
        <w:spacing w:lineRule="atLeast" w:line="300"/>
        <w:jc w:val="both"/>
        <w:rPr>
          <w:color w:val="000000"/>
        </w:rPr>
      </w:pPr>
      <w:r>
        <w:rPr>
          <w:i/>
          <w:color w:val="000000"/>
        </w:rPr>
        <w:t>En cas de recouvrement d’un revêtement en béton de ciment, il y a lieu de prévoir une stabilisation par injection à hauteur des joints là où un battement de dalle important apparaît et de sceller les joints.</w:t>
      </w:r>
    </w:p>
    <w:p>
      <w:pPr>
        <w:pStyle w:val="Normal"/>
        <w:spacing w:lineRule="atLeast" w:line="300"/>
        <w:jc w:val="both"/>
        <w:rPr/>
      </w:pPr>
      <w:r>
        <w:rPr>
          <w:i/>
          <w:color w:val="000000"/>
        </w:rPr>
        <w:t>En cas de recouvrement d’un revêtement en béton de ciment, les documents d’adjudication peuvent prévoir la fragmentation du béton et la réalisation d’une couche bitumineuse de profilage</w:t>
      </w:r>
      <w:r>
        <w:rPr>
          <w:color w:val="000000"/>
        </w:rPr>
        <w:t>.</w:t>
      </w:r>
    </w:p>
    <w:p>
      <w:pPr>
        <w:pStyle w:val="Normal"/>
        <w:spacing w:lineRule="atLeast" w:line="300"/>
        <w:jc w:val="both"/>
        <w:rPr/>
      </w:pPr>
      <w:r>
        <w:rPr>
          <w:i/>
          <w:color w:val="000000"/>
        </w:rPr>
        <w:t>En cas d’inégalités importantes de la surface sur laquelle l’interface doit être placée, il y a lieu de prévoir la pose préalable d’une couche de profilage en revêtement hydrocarboné.</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pPr>
      <w:r>
        <w:rPr/>
        <w:t>M. 4.3.2.2. INTERFACES antifissures – INTERFACES BITUMINEUSES AVEC GEOTEXTILE – application de la membrane</w:t>
      </w:r>
    </w:p>
    <w:p>
      <w:pPr>
        <w:pStyle w:val="Normal"/>
        <w:spacing w:lineRule="atLeast" w:line="300"/>
        <w:jc w:val="both"/>
        <w:rPr>
          <w:color w:val="000000"/>
        </w:rPr>
      </w:pPr>
      <w:r>
        <w:rPr>
          <w:color w:val="000000"/>
        </w:rPr>
      </w:r>
    </w:p>
    <w:p>
      <w:pPr>
        <w:pStyle w:val="Cadre"/>
        <w:rPr/>
      </w:pPr>
      <w:r>
        <w:rPr/>
        <w:t>Indiquer la quantité minimale de liant à absorber par le non-tissé si elle diffère du M. 4.3.2.2.</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4.6.1. INTERFACES antifissures – INTERFACES AVEC GRILLAGE D’ARMATURES METALLIQUES - MATERIAUX</w:t>
      </w:r>
    </w:p>
    <w:p>
      <w:pPr>
        <w:pStyle w:val="Normal"/>
        <w:spacing w:lineRule="atLeast" w:line="300"/>
        <w:jc w:val="both"/>
        <w:rPr>
          <w:color w:val="000000"/>
        </w:rPr>
      </w:pPr>
      <w:r>
        <w:rPr>
          <w:color w:val="000000"/>
        </w:rPr>
      </w:r>
    </w:p>
    <w:p>
      <w:pPr>
        <w:pStyle w:val="Corpsdetexte3"/>
        <w:jc w:val="both"/>
        <w:rPr/>
      </w:pPr>
      <w:r>
        <w:rPr/>
        <w:t>Les grillages de types 4 et 5 remplacent progressivement les types antérieurs. L’auteur de projet est donc invité à vérifier préalablement la disponibilité des grillages de types 1, 2 ou 3 au cas où il souhaiterait recourir à l’un de ces derniers.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4.6.2.2.1. INTERFACES antifissures – POSE DU GRILLAGE D’ARMATURES METALLIQUES</w:t>
      </w:r>
    </w:p>
    <w:p>
      <w:pPr>
        <w:pStyle w:val="Normal"/>
        <w:spacing w:lineRule="atLeast" w:line="300"/>
        <w:jc w:val="both"/>
        <w:rPr>
          <w:color w:val="000000"/>
        </w:rPr>
      </w:pPr>
      <w:r>
        <w:rPr>
          <w:color w:val="000000"/>
        </w:rPr>
      </w:r>
    </w:p>
    <w:p>
      <w:pPr>
        <w:pStyle w:val="Normal"/>
        <w:spacing w:lineRule="atLeast" w:line="300"/>
        <w:jc w:val="both"/>
        <w:rPr>
          <w:color w:val="000000"/>
        </w:rPr>
      </w:pPr>
      <w:r>
        <w:rPr>
          <w:i/>
          <w:color w:val="000000"/>
        </w:rPr>
        <w:t>Pour le recouvrement, il est recommandé de poser deux couches d’enrobés. Cette disposition permet de recourir ultérieurement à la technique du fraisage.</w:t>
      </w:r>
    </w:p>
    <w:p>
      <w:pPr>
        <w:pStyle w:val="Corpsdetexte3"/>
        <w:jc w:val="both"/>
        <w:rPr/>
      </w:pPr>
      <w:r>
        <w:rPr/>
        <w:t>La première couche posée sur la grille d’armature ne peut être compactée par vibration.</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4.7.1. INTERFACES antifissures – INTERFACES AVEC ARMATURES ALVEOLAIRES - MATERIAUX</w:t>
      </w:r>
    </w:p>
    <w:p>
      <w:pPr>
        <w:pStyle w:val="Normal"/>
        <w:spacing w:lineRule="atLeast" w:line="300"/>
        <w:jc w:val="both"/>
        <w:rPr>
          <w:color w:val="000000"/>
        </w:rPr>
      </w:pPr>
      <w:r>
        <w:rPr>
          <w:color w:val="000000"/>
        </w:rPr>
      </w:r>
    </w:p>
    <w:p>
      <w:pPr>
        <w:pStyle w:val="Cadre"/>
        <w:rPr/>
      </w:pPr>
      <w:r>
        <w:rPr/>
        <w:t>Indiquer si l’acier doit être galvanisé.</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4.7.2.2. INTERFACES antifissures – INTERFACES AVEC ARMATURES ALVEOLAIRES – APPLICATION DE LA STRUCTURE</w:t>
      </w:r>
    </w:p>
    <w:p>
      <w:pPr>
        <w:pStyle w:val="Normal"/>
        <w:spacing w:lineRule="atLeast" w:line="300"/>
        <w:jc w:val="both"/>
        <w:rPr>
          <w:color w:val="000000"/>
        </w:rPr>
      </w:pPr>
      <w:r>
        <w:rPr>
          <w:color w:val="000000"/>
        </w:rPr>
      </w:r>
    </w:p>
    <w:p>
      <w:pPr>
        <w:pStyle w:val="Cadre"/>
        <w:rPr/>
      </w:pPr>
      <w:r>
        <w:rPr/>
        <w:t>Prévoir un rabotage ou un remplacement de la couche support si celle-ci n’est pas suffisamment  plane ou résistante.</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M. 6.2. TRANCHEES OU FOUILLES D’ACCES – Clauses techniques</w:t>
      </w:r>
    </w:p>
    <w:p>
      <w:pPr>
        <w:pStyle w:val="Normal"/>
        <w:spacing w:lineRule="atLeast" w:line="300"/>
        <w:jc w:val="both"/>
        <w:rPr>
          <w:color w:val="000000"/>
        </w:rPr>
      </w:pPr>
      <w:r>
        <w:rPr>
          <w:color w:val="000000"/>
        </w:rPr>
      </w:r>
    </w:p>
    <w:p>
      <w:pPr>
        <w:pStyle w:val="Normal"/>
        <w:spacing w:lineRule="atLeast" w:line="300"/>
        <w:jc w:val="both"/>
        <w:rPr>
          <w:color w:val="000000"/>
        </w:rPr>
      </w:pPr>
      <w:r>
        <w:rPr>
          <w:i/>
          <w:color w:val="000000"/>
        </w:rPr>
        <w:t>S’il est nécessaire de réaliser une tranchée dans un revêtement en béton, il y a lieu de respecter les largeurs minimales d’ouverture préconisées aux M. 2.9 et M. 2.10 pour la réparation des revêtements en question.</w:t>
      </w:r>
    </w:p>
    <w:p>
      <w:pPr>
        <w:pStyle w:val="Normal"/>
        <w:tabs>
          <w:tab w:val="clear" w:pos="567"/>
          <w:tab w:val="left" w:pos="0" w:leader="none"/>
          <w:tab w:val="left" w:pos="720" w:leader="none"/>
        </w:tabs>
        <w:spacing w:lineRule="atLeast" w:line="300"/>
        <w:jc w:val="both"/>
        <w:rPr>
          <w:color w:val="000000"/>
        </w:rPr>
      </w:pPr>
      <w:r>
        <w:rPr>
          <w:color w:val="000000"/>
        </w:rPr>
      </w:r>
    </w:p>
    <w:sectPr>
      <w:headerReference w:type="default" r:id="rId2"/>
      <w:footerReference w:type="default" r:id="rId3"/>
      <w:type w:val="nextPage"/>
      <w:pgSz w:w="11906" w:h="16838"/>
      <w:pgMar w:left="1304" w:right="1304" w:gutter="0" w:header="72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Elite">
    <w:altName w:val="Courier New"/>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Arial" w:ascii="Arial" w:hAnsi="Arial"/>
        <w:color w:val="000000"/>
        <w:sz w:val="20"/>
      </w:rPr>
      <w:t xml:space="preserve">Modèle de CSC du Chapitre M – Version du 01/01/2024 – </w:t>
    </w:r>
    <w:r>
      <w:rPr>
        <w:rFonts w:cs="Arial" w:ascii="Arial" w:hAnsi="Arial"/>
        <w:color w:val="000000"/>
        <w:sz w:val="20"/>
      </w:rPr>
      <w:fldChar w:fldCharType="begin"/>
    </w:r>
    <w:r>
      <w:rPr>
        <w:rFonts w:cs="Arial" w:ascii="Arial" w:hAnsi="Arial"/>
        <w:color w:val="000000"/>
        <w:sz w:val="20"/>
      </w:rPr>
      <w:instrText xml:space="preserve"> PAGE </w:instrText>
    </w:r>
    <w:r>
      <w:rPr>
        <w:rFonts w:cs="Arial" w:ascii="Arial" w:hAnsi="Arial"/>
        <w:color w:val="000000"/>
        <w:sz w:val="20"/>
      </w:rPr>
      <w:fldChar w:fldCharType="separate"/>
    </w:r>
    <w:r>
      <w:rPr>
        <w:rFonts w:cs="Arial" w:ascii="Arial" w:hAnsi="Arial"/>
        <w:color w:val="000000"/>
        <w:sz w:val="20"/>
      </w:rPr>
      <w:t>6</w:t>
    </w:r>
    <w:r>
      <w:rPr>
        <w:rFonts w:cs="Arial" w:ascii="Arial" w:hAnsi="Arial"/>
        <w:color w:val="000000"/>
        <w:sz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both"/>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40" w:hanging="340"/>
      </w:pPr>
      <w:rPr>
        <w:rFonts w:ascii="Symbol" w:hAnsi="Symbol" w:cs="Symbol" w:hint="default"/>
      </w:rPr>
    </w:lvl>
  </w:abstractNum>
  <w:abstractNum w:abstractNumId="3">
    <w:lvl w:ilvl="0">
      <w:start w:val="1"/>
      <w:numFmt w:val="bullet"/>
      <w:lvlText w:val=""/>
      <w:lvlJc w:val="start"/>
      <w:pPr>
        <w:tabs>
          <w:tab w:val="num" w:pos="360"/>
        </w:tabs>
        <w:ind w:start="340" w:hanging="340"/>
      </w:pPr>
      <w:rPr>
        <w:rFonts w:ascii="Symbol" w:hAnsi="Symbol" w:cs="Symbol" w:hint="default"/>
      </w:rPr>
    </w:lvl>
  </w:abstractNum>
  <w:abstractNum w:abstractNumId="4">
    <w:lvl w:ilvl="0">
      <w:numFmt w:val="bullet"/>
      <w:lvlText w:val="–"/>
      <w:lvlJc w:val="start"/>
      <w:pPr>
        <w:tabs>
          <w:tab w:val="num" w:pos="360"/>
        </w:tabs>
        <w:ind w:start="360" w:hanging="360"/>
      </w:pPr>
      <w:rPr>
        <w:rFonts w:ascii="Arial" w:hAnsi="Arial" w:cs="Arial" w:hint="default"/>
      </w:rPr>
    </w:lvl>
  </w:abstractNum>
  <w:abstractNum w:abstractNumId="5">
    <w:lvl w:ilvl="0">
      <w:start w:val="1"/>
      <w:numFmt w:val="bullet"/>
      <w:lvlText w:val=""/>
      <w:lvlJc w:val="start"/>
      <w:pPr>
        <w:tabs>
          <w:tab w:val="num" w:pos="360"/>
        </w:tabs>
        <w:ind w:start="340" w:hanging="34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val="bestFit" w:percent="20"/>
  <w:defaultTabStop w:val="567"/>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bidi w:val="0"/>
      <w:spacing w:lineRule="exact" w:line="312"/>
    </w:pPr>
    <w:rPr>
      <w:rFonts w:ascii="Times New Roman" w:hAnsi="Times New Roman" w:eastAsia="Times New Roman" w:cs="Times New Roman"/>
      <w:color w:val="00FFFF"/>
      <w:sz w:val="24"/>
      <w:szCs w:val="20"/>
      <w:lang w:val="fr-FR" w:bidi="ar-SA" w:eastAsia="zh-CN"/>
    </w:rPr>
  </w:style>
  <w:style w:type="paragraph" w:styleId="Heading1">
    <w:name w:val="heading 1"/>
    <w:basedOn w:val="Normal"/>
    <w:next w:val="Normal"/>
    <w:qFormat/>
    <w:pPr>
      <w:numPr>
        <w:ilvl w:val="0"/>
        <w:numId w:val="1"/>
      </w:numPr>
      <w:spacing w:lineRule="atLeast" w:line="300"/>
      <w:jc w:val="both"/>
      <w:outlineLvl w:val="0"/>
    </w:pPr>
    <w:rPr>
      <w:b/>
      <w:caps/>
      <w:color w:val="auto"/>
    </w:rPr>
  </w:style>
  <w:style w:type="paragraph" w:styleId="Heading2">
    <w:name w:val="heading 2"/>
    <w:basedOn w:val="Normal"/>
    <w:next w:val="Normal"/>
    <w:qFormat/>
    <w:pPr>
      <w:keepNext w:val="true"/>
      <w:numPr>
        <w:ilvl w:val="1"/>
        <w:numId w:val="1"/>
      </w:numPr>
      <w:jc w:val="both"/>
      <w:outlineLvl w:val="1"/>
    </w:pPr>
    <w:rPr>
      <w:b/>
      <w:color w:val="auto"/>
    </w:rPr>
  </w:style>
  <w:style w:type="paragraph" w:styleId="Heading3">
    <w:name w:val="heading 3"/>
    <w:basedOn w:val="Normal"/>
    <w:next w:val="Normal"/>
    <w:qFormat/>
    <w:pPr>
      <w:keepNext w:val="true"/>
      <w:numPr>
        <w:ilvl w:val="2"/>
        <w:numId w:val="1"/>
      </w:numPr>
      <w:pBdr>
        <w:top w:val="single" w:sz="12" w:space="1" w:color="000000"/>
        <w:left w:val="single" w:sz="12" w:space="4" w:color="000000"/>
        <w:bottom w:val="single" w:sz="12" w:space="1" w:color="000000"/>
        <w:right w:val="single" w:sz="12" w:space="4" w:color="000000"/>
      </w:pBdr>
      <w:jc w:val="both"/>
      <w:outlineLvl w:val="2"/>
    </w:pPr>
    <w:rPr>
      <w:b/>
      <w:color w:val="auto"/>
      <w:u w:val="single"/>
    </w:rPr>
  </w:style>
  <w:style w:type="paragraph" w:styleId="Heading4">
    <w:name w:val="heading 4"/>
    <w:basedOn w:val="Normal"/>
    <w:next w:val="Normal"/>
    <w:qFormat/>
    <w:pPr>
      <w:keepNext w:val="true"/>
      <w:numPr>
        <w:ilvl w:val="3"/>
        <w:numId w:val="1"/>
      </w:numPr>
      <w:outlineLvl w:val="3"/>
    </w:pPr>
    <w:rPr>
      <w:b/>
      <w:color w:val="auto"/>
    </w:rPr>
  </w:style>
  <w:style w:type="paragraph" w:styleId="Heading5">
    <w:name w:val="heading 5"/>
    <w:basedOn w:val="Normal"/>
    <w:next w:val="Normal"/>
    <w:qFormat/>
    <w:pPr>
      <w:keepNext w:val="true"/>
      <w:numPr>
        <w:ilvl w:val="4"/>
        <w:numId w:val="1"/>
      </w:numPr>
      <w:outlineLvl w:val="4"/>
    </w:pPr>
    <w:rPr>
      <w:i/>
      <w:color w:val="auto"/>
      <w:u w:val="single"/>
    </w:rPr>
  </w:style>
  <w:style w:type="paragraph" w:styleId="Heading6">
    <w:name w:val="heading 6"/>
    <w:basedOn w:val="Normal"/>
    <w:next w:val="Normal"/>
    <w:qFormat/>
    <w:pPr>
      <w:keepNext w:val="true"/>
      <w:numPr>
        <w:ilvl w:val="5"/>
        <w:numId w:val="1"/>
      </w:numPr>
      <w:jc w:val="both"/>
      <w:outlineLvl w:val="5"/>
    </w:pPr>
    <w:rPr>
      <w:i/>
      <w:color w:val="auto"/>
      <w:u w:val="single"/>
    </w:rPr>
  </w:style>
  <w:style w:type="paragraph" w:styleId="Heading7">
    <w:name w:val="heading 7"/>
    <w:basedOn w:val="Normal"/>
    <w:next w:val="Normal"/>
    <w:qFormat/>
    <w:pPr>
      <w:keepNext w:val="true"/>
      <w:numPr>
        <w:ilvl w:val="6"/>
        <w:numId w:val="1"/>
      </w:numPr>
      <w:jc w:val="center"/>
      <w:outlineLvl w:val="6"/>
    </w:pPr>
    <w:rPr>
      <w:b/>
      <w:color w:val="auto"/>
    </w:rPr>
  </w:style>
  <w:style w:type="paragraph" w:styleId="Heading8">
    <w:name w:val="heading 8"/>
    <w:basedOn w:val="Normal"/>
    <w:next w:val="Normal"/>
    <w:qFormat/>
    <w:pPr>
      <w:keepNext w:val="true"/>
      <w:numPr>
        <w:ilvl w:val="7"/>
        <w:numId w:val="1"/>
      </w:numPr>
      <w:tabs>
        <w:tab w:val="clear" w:pos="567"/>
        <w:tab w:val="left" w:pos="1843" w:leader="none"/>
        <w:tab w:val="left" w:pos="6521" w:leader="none"/>
      </w:tabs>
      <w:spacing w:lineRule="atLeast" w:line="300"/>
      <w:outlineLvl w:val="7"/>
    </w:pPr>
    <w:rPr>
      <w:i/>
      <w:color w:val="auto"/>
    </w:rPr>
  </w:style>
  <w:style w:type="paragraph" w:styleId="Heading9">
    <w:name w:val="heading 9"/>
    <w:basedOn w:val="Normal"/>
    <w:next w:val="Normal"/>
    <w:qFormat/>
    <w:pPr>
      <w:keepNext w:val="true"/>
      <w:numPr>
        <w:ilvl w:val="8"/>
        <w:numId w:val="1"/>
      </w:numPr>
      <w:spacing w:lineRule="atLeast" w:line="300"/>
      <w:jc w:val="center"/>
      <w:outlineLvl w:val="8"/>
    </w:pPr>
    <w:rPr>
      <w:b/>
      <w:caps/>
      <w:color w:val="FF0000"/>
      <w:sz w:val="32"/>
    </w:rPr>
  </w:style>
  <w:style w:type="character" w:styleId="WW8Num2z0">
    <w:name w:val="WW8Num2z0"/>
    <w:qFormat/>
    <w:rPr>
      <w:rFonts w:ascii="Arial" w:hAnsi="Arial" w:cs="Arial"/>
      <w:sz w:val="20"/>
    </w:rPr>
  </w:style>
  <w:style w:type="character" w:styleId="WW8Num3z0">
    <w:name w:val="WW8Num3z0"/>
    <w:qFormat/>
    <w:rPr>
      <w:rFonts w:ascii="Symbol" w:hAnsi="Symbol" w:cs="Symbol"/>
    </w:rPr>
  </w:style>
  <w:style w:type="character" w:styleId="WW8Num4z0">
    <w:name w:val="WW8Num4z0"/>
    <w:qFormat/>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rFonts w:ascii="Symbol" w:hAnsi="Symbol" w:cs="Symbol"/>
    </w:rPr>
  </w:style>
  <w:style w:type="character" w:styleId="WW8Num8z0">
    <w:name w:val="WW8Num8z0"/>
    <w:qFormat/>
    <w:rPr/>
  </w:style>
  <w:style w:type="character" w:styleId="WW8Num9z0">
    <w:name w:val="WW8Num9z0"/>
    <w:qFormat/>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1z4">
    <w:name w:val="WW8Num11z4"/>
    <w:qFormat/>
    <w:rPr>
      <w:rFonts w:ascii="Courier New" w:hAnsi="Courier New" w:cs="Courier New"/>
    </w:rPr>
  </w:style>
  <w:style w:type="character" w:styleId="WW8Num12z0">
    <w:name w:val="WW8Num12z0"/>
    <w:qFormat/>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Arial" w:hAnsi="Arial" w:cs="Arial"/>
    </w:rPr>
  </w:style>
  <w:style w:type="character" w:styleId="WW8Num16z0">
    <w:name w:val="WW8Num16z0"/>
    <w:qFormat/>
    <w:rPr>
      <w:rFonts w:ascii="Arial" w:hAnsi="Arial" w:cs="Arial"/>
      <w:sz w:val="20"/>
    </w:rPr>
  </w:style>
  <w:style w:type="character" w:styleId="WW8Num17z0">
    <w:name w:val="WW8Num17z0"/>
    <w:qFormat/>
    <w:rPr/>
  </w:style>
  <w:style w:type="character" w:styleId="WW8Num18z0">
    <w:name w:val="WW8Num18z0"/>
    <w:qFormat/>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1z0">
    <w:name w:val="WW8Num21z0"/>
    <w:qFormat/>
    <w:rPr>
      <w:rFonts w:ascii="Arial" w:hAnsi="Arial" w:cs="Arial"/>
      <w:sz w:val="20"/>
    </w:rPr>
  </w:style>
  <w:style w:type="character" w:styleId="WW8Num22z0">
    <w:name w:val="WW8Num22z0"/>
    <w:qFormat/>
    <w:rPr>
      <w:rFonts w:ascii="Symbol" w:hAnsi="Symbol" w:cs="Symbol"/>
    </w:rPr>
  </w:style>
  <w:style w:type="character" w:styleId="WW8Num23z0">
    <w:name w:val="WW8Num23z0"/>
    <w:qFormat/>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8z0">
    <w:name w:val="WW8Num28z0"/>
    <w:qFormat/>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St1z0">
    <w:name w:val="WW8NumSt1z0"/>
    <w:qFormat/>
    <w:rPr>
      <w:rFonts w:ascii="Symbol" w:hAnsi="Symbol" w:cs="Symbol"/>
    </w:rPr>
  </w:style>
  <w:style w:type="character" w:styleId="WW8NumSt7z0">
    <w:name w:val="WW8NumSt7z0"/>
    <w:qFormat/>
    <w:rPr>
      <w:rFonts w:ascii="Symbol" w:hAnsi="Symbol" w:cs="Symbol"/>
    </w:rPr>
  </w:style>
  <w:style w:type="character" w:styleId="Policepardfaut">
    <w:name w:val="Police par défaut"/>
    <w:qFormat/>
    <w:rPr/>
  </w:style>
  <w:style w:type="character" w:styleId="FootnoteCharacters">
    <w:name w:val="Footnote Characters"/>
    <w:qFormat/>
    <w:rPr>
      <w:vertAlign w:val="superscript"/>
    </w:rPr>
  </w:style>
  <w:style w:type="character" w:styleId="PageNumber">
    <w:name w:val="page number"/>
    <w:basedOn w:val="Policepardfaut"/>
    <w:rPr/>
  </w:style>
  <w:style w:type="character" w:styleId="PieddepageCar">
    <w:name w:val="Pied de page Car"/>
    <w:qFormat/>
    <w:rPr>
      <w:color w:val="00FFFF"/>
      <w:sz w:val="24"/>
      <w:lang w:val="fr-F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i/>
      <w:color w:val="auto"/>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next w:val="Normal"/>
    <w:pPr>
      <w:widowControl/>
      <w:bidi w:val="0"/>
      <w:spacing w:lineRule="exact" w:line="240" w:before="0" w:after="480"/>
      <w:jc w:val="center"/>
    </w:pPr>
    <w:rPr>
      <w:rFonts w:ascii="Elite;Courier New" w:hAnsi="Elite;Courier New" w:eastAsia="Times New Roman" w:cs="Elite;Courier New"/>
      <w:color w:val="auto"/>
      <w:sz w:val="24"/>
      <w:szCs w:val="20"/>
      <w:lang w:val="fr-FR" w:bidi="ar-SA" w:eastAsia="zh-CN"/>
    </w:rPr>
  </w:style>
  <w:style w:type="paragraph" w:styleId="concerne">
    <w:name w:val="concerne"/>
    <w:basedOn w:val="Normal"/>
    <w:qFormat/>
    <w:pPr>
      <w:spacing w:before="1440" w:after="0"/>
      <w:ind w:hanging="1134" w:start="1134" w:end="0"/>
    </w:pPr>
    <w:rPr>
      <w:b/>
    </w:rPr>
  </w:style>
  <w:style w:type="paragraph" w:styleId="texte">
    <w:name w:val="texte"/>
    <w:basedOn w:val="Normal"/>
    <w:qFormat/>
    <w:pPr>
      <w:ind w:firstLine="1134" w:start="0" w:end="0"/>
      <w:jc w:val="both"/>
    </w:pPr>
    <w:rPr/>
  </w:style>
  <w:style w:type="paragraph" w:styleId="adresse">
    <w:name w:val="adresse"/>
    <w:basedOn w:val="Normal"/>
    <w:qFormat/>
    <w:pPr>
      <w:tabs>
        <w:tab w:val="clear" w:pos="567"/>
        <w:tab w:val="left" w:pos="4820" w:leader="none"/>
      </w:tabs>
      <w:spacing w:before="1920" w:after="0"/>
      <w:ind w:hanging="0" w:start="4820" w:end="0"/>
    </w:pPr>
    <w:rPr/>
  </w:style>
  <w:style w:type="paragraph" w:styleId="signature">
    <w:name w:val="signature"/>
    <w:basedOn w:val="Normal"/>
    <w:qFormat/>
    <w:pPr>
      <w:tabs>
        <w:tab w:val="clear" w:pos="567"/>
        <w:tab w:val="left" w:pos="5670" w:leader="none"/>
      </w:tabs>
      <w:ind w:hanging="0" w:start="5670" w:end="0"/>
    </w:pPr>
    <w:rPr/>
  </w:style>
  <w:style w:type="paragraph" w:styleId="rfrence">
    <w:name w:val="référence"/>
    <w:basedOn w:val="Normal"/>
    <w:qFormat/>
    <w:pPr/>
    <w:rPr/>
  </w:style>
  <w:style w:type="paragraph" w:styleId="rapport">
    <w:name w:val="rapport"/>
    <w:basedOn w:val="Normal"/>
    <w:qFormat/>
    <w:pPr>
      <w:ind w:hanging="0" w:start="567" w:end="0"/>
    </w:pPr>
    <w:rPr/>
  </w:style>
  <w:style w:type="paragraph" w:styleId="FootnoteText">
    <w:name w:val="footnote text"/>
    <w:basedOn w:val="Normal"/>
    <w:pPr/>
    <w:rPr>
      <w:sz w:val="20"/>
    </w:rPr>
  </w:style>
  <w:style w:type="paragraph" w:styleId="Footer">
    <w:name w:val="footer"/>
    <w:basedOn w:val="Normal"/>
    <w:pPr>
      <w:tabs>
        <w:tab w:val="clear" w:pos="567"/>
        <w:tab w:val="center" w:pos="4536" w:leader="none"/>
        <w:tab w:val="right" w:pos="9072" w:leader="none"/>
      </w:tabs>
    </w:pPr>
    <w:rPr/>
  </w:style>
  <w:style w:type="paragraph" w:styleId="Corpsdetexte2">
    <w:name w:val="Corps de texte 2"/>
    <w:basedOn w:val="Normal"/>
    <w:qFormat/>
    <w:pPr>
      <w:pBdr>
        <w:top w:val="single" w:sz="12" w:space="1" w:color="000000"/>
        <w:left w:val="single" w:sz="12" w:space="1" w:color="000000"/>
        <w:bottom w:val="single" w:sz="12" w:space="1" w:color="000000"/>
        <w:right w:val="single" w:sz="12" w:space="1" w:color="000000"/>
      </w:pBdr>
      <w:jc w:val="both"/>
    </w:pPr>
    <w:rPr>
      <w:b/>
      <w:color w:val="auto"/>
    </w:rPr>
  </w:style>
  <w:style w:type="paragraph" w:styleId="Corpsdetexte3">
    <w:name w:val="Corps de texte 3"/>
    <w:basedOn w:val="Normal"/>
    <w:qFormat/>
    <w:pPr/>
    <w:rPr>
      <w:i/>
      <w:color w:val="auto"/>
    </w:rPr>
  </w:style>
  <w:style w:type="paragraph" w:styleId="BodyTextIndent">
    <w:name w:val="Body Text Indent"/>
    <w:basedOn w:val="Normal"/>
    <w:pPr>
      <w:tabs>
        <w:tab w:val="clear" w:pos="567"/>
        <w:tab w:val="left" w:pos="142" w:leader="none"/>
      </w:tabs>
      <w:spacing w:lineRule="atLeast" w:line="300"/>
      <w:ind w:hanging="0" w:start="360" w:end="0"/>
      <w:jc w:val="both"/>
    </w:pPr>
    <w:rPr>
      <w:i/>
      <w:color w:val="auto"/>
    </w:rPr>
  </w:style>
  <w:style w:type="paragraph" w:styleId="Puces1">
    <w:name w:val="Puces 1"/>
    <w:basedOn w:val="Normal"/>
    <w:qFormat/>
    <w:pPr>
      <w:numPr>
        <w:ilvl w:val="0"/>
        <w:numId w:val="4"/>
      </w:numPr>
      <w:tabs>
        <w:tab w:val="clear" w:pos="567"/>
        <w:tab w:val="left" w:pos="284" w:leader="none"/>
      </w:tabs>
      <w:spacing w:lineRule="atLeast" w:line="300"/>
      <w:jc w:val="both"/>
    </w:pPr>
    <w:rPr>
      <w:i/>
      <w:color w:val="auto"/>
    </w:rPr>
  </w:style>
  <w:style w:type="paragraph" w:styleId="Retraitcorpsdetexte2">
    <w:name w:val="Retrait corps de texte 2"/>
    <w:basedOn w:val="Normal"/>
    <w:qFormat/>
    <w:pPr>
      <w:tabs>
        <w:tab w:val="clear" w:pos="567"/>
        <w:tab w:val="left" w:pos="142" w:leader="none"/>
        <w:tab w:val="left" w:pos="284" w:leader="none"/>
      </w:tabs>
      <w:spacing w:lineRule="atLeast" w:line="300"/>
      <w:ind w:hanging="0" w:start="284" w:end="0"/>
      <w:jc w:val="both"/>
    </w:pPr>
    <w:rPr>
      <w:i/>
      <w:color w:val="auto"/>
    </w:rPr>
  </w:style>
  <w:style w:type="paragraph" w:styleId="Retraitcorpsdetexte3">
    <w:name w:val="Retrait corps de texte 3"/>
    <w:basedOn w:val="Normal"/>
    <w:qFormat/>
    <w:pPr>
      <w:tabs>
        <w:tab w:val="clear" w:pos="567"/>
        <w:tab w:val="left" w:pos="180" w:leader="none"/>
      </w:tabs>
      <w:spacing w:lineRule="atLeast" w:line="300"/>
      <w:ind w:hanging="0" w:start="357" w:end="0"/>
      <w:jc w:val="both"/>
    </w:pPr>
    <w:rPr>
      <w:i/>
      <w:color w:val="auto"/>
    </w:rPr>
  </w:style>
  <w:style w:type="paragraph" w:styleId="Puces2">
    <w:name w:val="Puces 2"/>
    <w:basedOn w:val="Puces1"/>
    <w:qFormat/>
    <w:pPr>
      <w:pBdr>
        <w:top w:val="single" w:sz="12" w:space="1" w:color="000000"/>
        <w:left w:val="single" w:sz="12" w:space="4" w:color="000000"/>
        <w:bottom w:val="single" w:sz="12" w:space="1" w:color="000000"/>
        <w:right w:val="single" w:sz="12" w:space="4" w:color="000000"/>
      </w:pBdr>
    </w:pPr>
    <w:rPr>
      <w:i w:val="false"/>
    </w:rPr>
  </w:style>
  <w:style w:type="paragraph" w:styleId="Cadre">
    <w:name w:val="Cadre"/>
    <w:basedOn w:val="Corpsdetexte2"/>
    <w:qFormat/>
    <w:pPr>
      <w:spacing w:lineRule="auto" w:line="240"/>
    </w:pPr>
    <w:rPr>
      <w:b w:val="false"/>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2014-12-15T17:26:00Z</dcterms:created>
  <dc:creator>MRW</dc:creator>
  <dc:description/>
  <cp:keywords/>
  <dc:language>fr-FR</dc:language>
  <cp:lastModifiedBy>MICHAUX Gauthier</cp:lastModifiedBy>
  <cp:lastPrinted>2011-03-23T14:10:00Z</cp:lastPrinted>
  <dcterms:modified xsi:type="dcterms:W3CDTF">2023-12-27T17:47:00Z</dcterms:modified>
  <cp:revision>9</cp:revision>
  <dc:subject/>
  <dc:title>03.06.97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ActionId">
    <vt:lpwstr>fa0080b7-ca4b-4cca-8b8c-03cb2a07ec09</vt:lpwstr>
  </property>
  <property fmtid="{D5CDD505-2E9C-101B-9397-08002B2CF9AE}" pid="3" name="MSIP_Label_e72a09c5-6e26-4737-a926-47ef1ab198ae_Application">
    <vt:lpwstr>Microsoft Azure Information Protection</vt:lpwstr>
  </property>
  <property fmtid="{D5CDD505-2E9C-101B-9397-08002B2CF9AE}" pid="4" name="MSIP_Label_e72a09c5-6e26-4737-a926-47ef1ab198ae_Enabled">
    <vt:lpwstr>True</vt:lpwstr>
  </property>
  <property fmtid="{D5CDD505-2E9C-101B-9397-08002B2CF9AE}" pid="5" name="MSIP_Label_e72a09c5-6e26-4737-a926-47ef1ab198ae_Extended_MSFT_Method">
    <vt:lpwstr>Automatic</vt:lpwstr>
  </property>
  <property fmtid="{D5CDD505-2E9C-101B-9397-08002B2CF9AE}" pid="6" name="MSIP_Label_e72a09c5-6e26-4737-a926-47ef1ab198ae_Name">
    <vt:lpwstr>Confidentiel</vt:lpwstr>
  </property>
  <property fmtid="{D5CDD505-2E9C-101B-9397-08002B2CF9AE}" pid="7" name="MSIP_Label_e72a09c5-6e26-4737-a926-47ef1ab198ae_Owner">
    <vt:lpwstr>gauthier.michaux@spw.wallonie.be</vt:lpwstr>
  </property>
  <property fmtid="{D5CDD505-2E9C-101B-9397-08002B2CF9AE}" pid="8" name="MSIP_Label_e72a09c5-6e26-4737-a926-47ef1ab198ae_SetDate">
    <vt:lpwstr>2019-11-27T14:26:26.7242321Z</vt:lpwstr>
  </property>
  <property fmtid="{D5CDD505-2E9C-101B-9397-08002B2CF9AE}" pid="9" name="MSIP_Label_e72a09c5-6e26-4737-a926-47ef1ab198ae_SiteId">
    <vt:lpwstr>1f816a84-7aa6-4a56-b22a-7b3452fa8681</vt:lpwstr>
  </property>
  <property fmtid="{D5CDD505-2E9C-101B-9397-08002B2CF9AE}" pid="10" name="Sensitivity">
    <vt:lpwstr>Confidentiel</vt:lpwstr>
  </property>
</Properties>
</file>