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atLeast" w:line="300"/>
        <w:jc w:val="center"/>
        <w:rPr>
          <w:b/>
          <w:color w:val="000000"/>
          <w:sz w:val="28"/>
        </w:rPr>
      </w:pPr>
      <w:r>
        <w:rPr>
          <w:b/>
          <w:caps/>
          <w:color w:val="000000"/>
          <w:sz w:val="28"/>
        </w:rPr>
        <w:t xml:space="preserve">Précisions et commentaires relatifs àU chapitre O </w:t>
        <w:br/>
        <w:t xml:space="preserve">– Gazonnements, plantations et mobilier urbain </w:t>
        <w:br/>
        <w:t>du CCT QUALIROUTES</w:t>
      </w:r>
    </w:p>
    <w:p>
      <w:pPr>
        <w:pStyle w:val="Normal"/>
        <w:spacing w:lineRule="atLeast" w:line="300"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1.1. Terminologie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Spécifier les caractéristiques des plantes vivaces, annuelles et à bulbe.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1.2.1. terre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au </w:t>
      </w:r>
      <w:r>
        <w:rPr>
          <w:color w:val="0000FF"/>
        </w:rPr>
        <w:t>C. 2.3</w:t>
      </w:r>
      <w:r>
        <w:rPr/>
        <w:t xml:space="preserve"> le type de terre demandée ainsi que le cas échéant, les prescriptions complémentaires.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au </w:t>
      </w:r>
      <w:r>
        <w:rPr>
          <w:color w:val="0000FF"/>
        </w:rPr>
        <w:t>C. 2.3.1.2</w:t>
      </w:r>
      <w:r>
        <w:rPr/>
        <w:t xml:space="preserve"> le pH des terres arables s’il n’est pas compris entre 6 et 7.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le cas échéant au </w:t>
      </w:r>
      <w:r>
        <w:rPr>
          <w:color w:val="0000FF"/>
        </w:rPr>
        <w:t>C. 2.3.1.2</w:t>
      </w:r>
      <w:r>
        <w:rPr/>
        <w:t xml:space="preserve"> le pourcentage de pierres admis.</w:t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1.2.2. Amendements organiques, amendements physiques, engrais et produits connexes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 type, la composition, le conditionnement (le cas échéant) ainsi que les quantités par unité de surface, la période et le mode d’application.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1.2.4. Paillis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 type, les dimensions et les caractéristiques du paillis.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1.3.2.5. fraisage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la profondeur du fraisage.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1.3.3. Travaux du sol – Paiement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les produits des travaux préparatoires à ramasser et charger.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2. GAZONNEMENT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Prévoir les fournitures nécessaires en terre arable, amendements, engrais, fumier ou autre matière.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2.1.1. Plaques ou rouleaux de gazon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les prescriptions relatives à la composition du tapis herbacé ainsi que du support éventuel en terre arable.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2.2.1. Création de gazonnement par semis – Graminées et autres semences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la composition du mélange si elle diffère de celle reprise au </w:t>
      </w:r>
      <w:r>
        <w:rPr>
          <w:color w:val="0000FF"/>
        </w:rPr>
        <w:t>O. 2.2.1</w:t>
      </w:r>
      <w:r>
        <w:rPr/>
        <w:t xml:space="preserve"> ainsi que sa tolérance.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le poids des graines à semer par unité de surface si elle diffère de celle reprise au </w:t>
      </w:r>
      <w:r>
        <w:rPr>
          <w:color w:val="0000FF"/>
        </w:rPr>
        <w:t>O. 2.2.1</w:t>
      </w:r>
      <w:r>
        <w:rPr/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2.2.3. Semis de pelouse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la profondeur sur laquelle le sol est travaillé.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2.2.4. Semis sur talus et terre-plein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la technique d’ensemencement et les opérations prévues.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Dans le cas d’un ensemencement hydraulique, préciser la composition des produits annexes ainsi que les caractéristiques de mise en oeuvre.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2.6.1. Coupe de l’herbe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la hauteur de coupe de l’herbe si elle diffère de 8 cm.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le type de matériel utilisé et la fréquence de coupe.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les prescriptions relatives au chargement et à l’évacuation des produits.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2.6.7. destruction des vegetaux nuisibles ou/et indesirables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Préciser les espèces végétales considérées comme nuisibles ou/et indésirables.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les prescriptions relatives au chargement et à l’évacuation des produits.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9"/>
        <w:keepNext w:val="false"/>
        <w:ind w:hanging="0" w:start="0"/>
        <w:jc w:val="both"/>
        <w:rPr>
          <w:b w:val="false"/>
          <w:i/>
          <w:caps w:val="false"/>
          <w:smallCaps w:val="false"/>
          <w:color w:val="000000"/>
          <w:sz w:val="24"/>
        </w:rPr>
      </w:pPr>
      <w:r>
        <w:rPr>
          <w:b w:val="false"/>
          <w:i/>
          <w:caps w:val="false"/>
          <w:smallCaps w:val="false"/>
          <w:color w:val="000000"/>
          <w:sz w:val="24"/>
        </w:rPr>
        <w:t>L’usage des herbicides dans les espaces verts est légalement proscrit.</w:t>
      </w:r>
    </w:p>
    <w:p>
      <w:pPr>
        <w:pStyle w:val="Normal"/>
        <w:jc w:val="both"/>
        <w:rPr>
          <w:b/>
          <w:i/>
          <w:caps/>
          <w:color w:val="000000"/>
          <w:sz w:val="24"/>
        </w:rPr>
      </w:pPr>
      <w:r>
        <w:rPr>
          <w:b/>
          <w:i/>
          <w:caps/>
          <w:color w:val="000000"/>
          <w:sz w:val="24"/>
        </w:rPr>
      </w:r>
    </w:p>
    <w:p>
      <w:pPr>
        <w:pStyle w:val="Heading1"/>
        <w:keepNext w:val="true"/>
        <w:ind w:hanging="0" w:start="0"/>
        <w:rPr/>
      </w:pPr>
      <w:r>
        <w:rPr/>
        <w:t>O. 3. PLANTATIONS</w:t>
      </w:r>
    </w:p>
    <w:p>
      <w:pPr>
        <w:pStyle w:val="Normal"/>
        <w:keepNext w:val="true"/>
        <w:jc w:val="both"/>
        <w:rPr>
          <w:i/>
          <w:iCs/>
          <w:color w:val="FF0000"/>
        </w:rPr>
      </w:pPr>
      <w:r>
        <w:rPr>
          <w:i/>
          <w:iCs/>
          <w:color w:val="FF0000"/>
        </w:rPr>
      </w:r>
    </w:p>
    <w:p>
      <w:pPr>
        <w:pStyle w:val="Normal"/>
        <w:keepNext w:val="true"/>
        <w:jc w:val="both"/>
        <w:rPr/>
      </w:pPr>
      <w:r>
        <w:rPr>
          <w:i/>
          <w:iCs/>
          <w:color w:val="000000"/>
          <w:szCs w:val="24"/>
        </w:rPr>
        <w:t>Les essences sont choisies afin d’éviter:</w:t>
      </w:r>
    </w:p>
    <w:p>
      <w:pPr>
        <w:pStyle w:val="Paragraphedeliste"/>
        <w:keepNext w:val="true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de constituer des obstacles dans les zones de sécurité </w:t>
      </w:r>
    </w:p>
    <w:p>
      <w:pPr>
        <w:pStyle w:val="Paragraphedeliste"/>
        <w:keepNext w:val="true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les difficultés d’entretien dans les zones de talus.</w:t>
      </w:r>
    </w:p>
    <w:p>
      <w:pPr>
        <w:pStyle w:val="Paragraphedeliste"/>
        <w:keepNext w:val="true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</w:r>
    </w:p>
    <w:p>
      <w:pPr>
        <w:pStyle w:val="Normal"/>
        <w:keepNext w:val="true"/>
        <w:jc w:val="both"/>
        <w:rPr>
          <w:i/>
          <w:iCs/>
          <w:color w:val="000000"/>
          <w:szCs w:val="24"/>
        </w:rPr>
      </w:pPr>
      <w:r>
        <w:rPr>
          <w:i/>
          <w:iCs/>
          <w:color w:val="000000"/>
          <w:szCs w:val="24"/>
        </w:rPr>
        <w:t>A défaut, la fréquence d’entretien est adaptée afin d’éviter les fûts de gros diamètre et/ou de grande hauteur.</w:t>
      </w:r>
    </w:p>
    <w:p>
      <w:pPr>
        <w:pStyle w:val="Normal"/>
        <w:keepNext w:val="true"/>
        <w:jc w:val="both"/>
        <w:rPr>
          <w:i/>
          <w:iCs/>
          <w:color w:val="000000"/>
          <w:szCs w:val="24"/>
        </w:rPr>
      </w:pPr>
      <w:r>
        <w:rPr>
          <w:i/>
          <w:iCs/>
          <w:color w:val="000000"/>
          <w:szCs w:val="24"/>
        </w:rPr>
      </w:r>
    </w:p>
    <w:p>
      <w:pPr>
        <w:pStyle w:val="Puces2"/>
        <w:keepNext w:val="true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Prévoir les fournitures nécessaires en terre arable, amendements, engrais, fumier ou autre matière.</w:t>
      </w:r>
    </w:p>
    <w:p>
      <w:pPr>
        <w:pStyle w:val="Puces2"/>
        <w:keepNext w:val="true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Prescrire les nombres, espèces et dimensions des plants.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3.2. Plants, baliveaux, arbustes, plants forestiers, resineux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0"/>
        </w:numPr>
        <w:tabs>
          <w:tab w:val="clear" w:pos="284"/>
        </w:tabs>
        <w:ind w:hanging="0" w:start="0"/>
        <w:rPr/>
      </w:pPr>
      <w:r>
        <w:rPr/>
        <w:t>Indiquer: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la hauteur de tronc sous couronne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si les plants sont fournis avec ou sans motte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la dimension des plants.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3.5. Creusement des fosses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Indiquer le volume des fosses s’il diffère de celui prescrit au </w:t>
      </w:r>
      <w:r>
        <w:rPr>
          <w:color w:val="0000FF"/>
        </w:rPr>
        <w:t>O. 3.5</w:t>
      </w:r>
      <w:r>
        <w:rPr/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3.7. TUTEURS, CLOTURES POUR HAIE, ANCRAGES, HAUBANAGES ET SUPPORTS POUR PLANTES GRIMPANTES ET AUTRES ACCESSOIRES DE PLANTATIONS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Préciser les dimensions et caractéristiques des tuteurs ainsi que leur profondeur d’enfoncement.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si une protection des troncs des arbres contre la dessiccation est nécessaire. 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Indiquer, le cas échéant, la longueur et le diamètre du drain.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3.8. Plantation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si la plantation dite « en fente » est autorisée.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3.9. LIENS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Préciser les types de liens s’ils diffèrent de ceux prévus au </w:t>
      </w:r>
      <w:r>
        <w:rPr>
          <w:color w:val="0000FF"/>
        </w:rPr>
        <w:t>O. 3.9</w:t>
      </w:r>
      <w:r>
        <w:rPr/>
        <w:t>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3.14. Soins culturaux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 type, le nombre annuel et l’époque des soins culturaux.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3.14.1. Entretien du sol entre plantations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Préciser les dates d’intervention.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les prescriptions relatives au chargement et à l’évacuation des produits.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3.14.2. traitement du sol entre les plantations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les amendements, les engrais et paillis à mettre en œuvre, leurs caractéristiques et leurs dosages.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3.14.3. taille d’arbustes, de rosiers et de graminées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Cadre"/>
        <w:numPr>
          <w:ilvl w:val="0"/>
          <w:numId w:val="7"/>
        </w:numPr>
        <w:rPr/>
      </w:pPr>
      <w:r>
        <w:rPr/>
        <w:t>Préciser le gabarit de la haie à traiter (épaisseur et hauteur à obtenir).</w:t>
      </w:r>
    </w:p>
    <w:p>
      <w:pPr>
        <w:pStyle w:val="Puces2"/>
        <w:numPr>
          <w:ilvl w:val="0"/>
          <w:numId w:val="7"/>
        </w:numPr>
        <w:tabs>
          <w:tab w:val="clear" w:pos="284"/>
        </w:tabs>
        <w:ind w:hanging="0" w:start="0" w:end="0"/>
        <w:rPr/>
      </w:pPr>
      <w:r>
        <w:rPr/>
        <w:t>Indiquer les prescriptions relatives au chargement et à l’évacuation des produits.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3.14.4. taille d’arbres a haute-tige et baliveaux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Préciser les prescriptions d'élagage.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Préciser les prescriptions de taille.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les résineux à soumettre à la taille.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Eventuellement, indiquer les prescriptions relatives au chargement et à l’évacuation des produits.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3.14.5. Entretien phytosanitaire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les prescriptions relatives au badigeonnage et à la pulvérisation.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3.15. Transplantation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les dimensions des mottes.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 Mobilier urbain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numPr>
          <w:ilvl w:val="0"/>
          <w:numId w:val="5"/>
        </w:numPr>
        <w:rPr/>
      </w:pPr>
      <w:r>
        <w:rPr/>
        <w:t>Le cas échéant, définir les prescriptions particulières relatives au mobilier urbain.</w:t>
      </w:r>
    </w:p>
    <w:p>
      <w:pPr>
        <w:pStyle w:val="Cadre"/>
        <w:numPr>
          <w:ilvl w:val="0"/>
          <w:numId w:val="5"/>
        </w:numPr>
        <w:rPr/>
      </w:pPr>
      <w:r>
        <w:rPr/>
        <w:t>Indiquer les emplacements du mobilier urbain.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O. 4.1.1. Mobilier urbain – Tables – Description</w:t>
      </w:r>
    </w:p>
    <w:p>
      <w:pPr>
        <w:pStyle w:val="Normal"/>
        <w:keepNext w:val="true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Indiquer les tables prescrites, leurs dimensions et leur couleur.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4.1.2.1. Tables – Matériaux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Eventuellement indiquer au </w:t>
      </w:r>
      <w:r>
        <w:rPr>
          <w:color w:val="0000FF"/>
        </w:rPr>
        <w:t>C. 55.1.1.2</w:t>
      </w:r>
      <w:r>
        <w:rPr/>
        <w:t xml:space="preserve"> la nature du bois.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4.2.1. Mobilier urbain – Bancs – Description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les bancs prescrits, leurs dimensions et leur couleur.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4.2.2.1. Bancs – Matériaux</w:t>
      </w:r>
    </w:p>
    <w:p>
      <w:pPr>
        <w:pStyle w:val="BodyText"/>
        <w:rPr/>
      </w:pPr>
      <w:r>
        <w:rPr/>
      </w:r>
    </w:p>
    <w:p>
      <w:pPr>
        <w:pStyle w:val="Cadre"/>
        <w:rPr/>
      </w:pPr>
      <w:r>
        <w:rPr/>
        <w:t xml:space="preserve">Eventuellement indiquer au </w:t>
      </w:r>
      <w:r>
        <w:rPr>
          <w:color w:val="0000FF"/>
        </w:rPr>
        <w:t>C. 55.2.2</w:t>
      </w:r>
      <w:r>
        <w:rPr/>
        <w:t xml:space="preserve"> la nature du bois.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4.3.1. Mobilier urbain – POUBELLEs – Description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les poubelles prescrites.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4.3.2. Poubelles – Matériaux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au </w:t>
      </w:r>
      <w:r>
        <w:rPr>
          <w:color w:val="0000FF"/>
        </w:rPr>
        <w:t>C. 55.3</w:t>
      </w:r>
      <w:r>
        <w:rPr/>
        <w:t xml:space="preserve"> les poubelles prescrites, leurs dimensions et leur couleur ainsi que la nature du récipient pour déchets.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Préciser au </w:t>
      </w:r>
      <w:r>
        <w:rPr>
          <w:color w:val="0000FF"/>
        </w:rPr>
        <w:t>C. 55.3.2.1</w:t>
      </w:r>
      <w:r>
        <w:rPr/>
        <w:t>, dans le cas d’une poubelle à tête basculante, le système de protection des matériaux ferreux à utiliser.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4.4. Mini-conteneurs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numPr>
          <w:ilvl w:val="0"/>
          <w:numId w:val="4"/>
        </w:numPr>
        <w:rPr/>
      </w:pPr>
      <w:r>
        <w:rPr/>
        <w:t>Indiquer si une puce électronique est prévue.</w:t>
      </w:r>
    </w:p>
    <w:p>
      <w:pPr>
        <w:pStyle w:val="Cadre"/>
        <w:numPr>
          <w:ilvl w:val="0"/>
          <w:numId w:val="4"/>
        </w:numPr>
        <w:rPr/>
      </w:pPr>
      <w:r>
        <w:rPr/>
        <w:t xml:space="preserve">Indiquer au </w:t>
      </w:r>
      <w:r>
        <w:rPr>
          <w:color w:val="0000FF"/>
        </w:rPr>
        <w:t>C. 55.4.1</w:t>
      </w:r>
      <w:r>
        <w:rPr/>
        <w:t xml:space="preserve"> la contenance du mini-conteneur si elle diffère de 240 l.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4.5.1.1. Mobilier urbain – Bornes – Matériaux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Indiquer aux </w:t>
      </w:r>
      <w:r>
        <w:rPr>
          <w:color w:val="0000FF"/>
        </w:rPr>
        <w:t xml:space="preserve">C. 55.4 à 7 </w:t>
      </w:r>
      <w:r>
        <w:rPr/>
        <w:t>la couleur des bornes en acier.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keepNext w:val="true"/>
        <w:ind w:hanging="0" w:start="0"/>
        <w:rPr/>
      </w:pPr>
      <w:r>
        <w:rPr/>
        <w:t>O. 4.5.1.2. Bornes – Exécution</w:t>
      </w:r>
    </w:p>
    <w:p>
      <w:pPr>
        <w:pStyle w:val="Normal"/>
        <w:keepNext w:val="true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keepNext w:val="true"/>
        <w:rPr/>
      </w:pPr>
      <w:r>
        <w:rPr/>
        <w:t>Indiquer la hauteur hors sol des bornes si elle diffère de la valeur définie par défaut.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4.6.1. Bacs-jardinières – Clauses techniques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au </w:t>
      </w:r>
      <w:r>
        <w:rPr>
          <w:color w:val="0000FF"/>
        </w:rPr>
        <w:t>C. 55.6</w:t>
      </w:r>
      <w:r>
        <w:rPr/>
        <w:t xml:space="preserve"> les matériaux, la forme, les dimensions et la couleur des jardinières.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 xml:space="preserve">Indiquer au </w:t>
      </w:r>
      <w:r>
        <w:rPr>
          <w:color w:val="0000FF"/>
        </w:rPr>
        <w:t>C. 55.6</w:t>
      </w:r>
      <w:r>
        <w:rPr/>
        <w:t xml:space="preserve"> la nécessité ou non d’un système de mise à niveau ou/et d’un réservoir d’eau permanent.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4.8.1. panneau d’affichage – Clauses techniques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Indiquer au </w:t>
      </w:r>
      <w:r>
        <w:rPr>
          <w:color w:val="0000FF"/>
        </w:rPr>
        <w:t>C. 55.8</w:t>
      </w:r>
      <w:r>
        <w:rPr/>
        <w:t xml:space="preserve"> les matériaux, le mode de protection de ces matériaux ainsi que les dimensions.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4.9. Grilles pour arbres – Matériaux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 xml:space="preserve">Indiquer au </w:t>
      </w:r>
      <w:r>
        <w:rPr>
          <w:color w:val="0000FF"/>
        </w:rPr>
        <w:t>C. 55.9</w:t>
      </w:r>
      <w:r>
        <w:rPr/>
        <w:t xml:space="preserve"> la résistance de la grille.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4.11.4. Traitement de protection des pièces en bois et des pièces métalliques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 cas échéant le produit de traitement du mobilier.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4.11.6. vidange des poubelles et des mini-conteneurs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Indiquer le volume des poubelles et le rythme de vidange.</w:t>
      </w:r>
    </w:p>
    <w:p>
      <w:pPr>
        <w:pStyle w:val="Puces2"/>
        <w:numPr>
          <w:ilvl w:val="0"/>
          <w:numId w:val="3"/>
        </w:numPr>
        <w:tabs>
          <w:tab w:val="clear" w:pos="284"/>
        </w:tabs>
        <w:ind w:hanging="0" w:start="0"/>
        <w:rPr/>
      </w:pPr>
      <w:r>
        <w:rPr/>
        <w:t>Prévoir le cas échéant la fourniture et la mise en place, à chaque opération, d’un sac de la capacité de la poubelle.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5.1. Débroussaillage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Indiquer les prescriptions relatives au chargement et à l’évacuation des produits.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5.3.1.1. DESHERBAGE MECANIQUE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 rythme des opérations.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5.3.1.2. DESHERBAGE THERMIQUE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 rythme des opérations.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5.3.1.2. DESHERBAGE CHIMIQUE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le type de produit et l'intervention.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1"/>
        <w:ind w:hanging="0" w:start="0"/>
        <w:rPr/>
      </w:pPr>
      <w:r>
        <w:rPr/>
        <w:t>O. 5.4. Nettoyage complet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Cadre"/>
        <w:rPr/>
      </w:pPr>
      <w:r>
        <w:rPr/>
        <w:t>Préciser la ou les zones de nettoyage complet.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567"/>
          <w:tab w:val="left" w:pos="0" w:leader="none"/>
          <w:tab w:val="left" w:pos="720" w:leader="none"/>
        </w:tabs>
        <w:spacing w:lineRule="atLeast" w:line="300"/>
        <w:jc w:val="both"/>
        <w:rPr>
          <w:color w:val="000000"/>
        </w:rPr>
      </w:pPr>
      <w:r>
        <w:rPr>
          <w:color w:val="000000"/>
        </w:rPr>
      </w:r>
    </w:p>
    <w:sectPr>
      <w:headerReference w:type="default" r:id="rId2"/>
      <w:footerReference w:type="default" r:id="rId3"/>
      <w:type w:val="nextPage"/>
      <w:pgSz w:w="11906" w:h="16838"/>
      <w:pgMar w:left="1304" w:right="1304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Elite">
    <w:altName w:val="Courier New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Arial" w:ascii="Arial" w:hAnsi="Arial"/>
        <w:color w:val="000000"/>
        <w:sz w:val="20"/>
      </w:rPr>
      <w:t xml:space="preserve">Modèle de CSC du Chapitre O – Version du 01/07/2017 – </w:t>
    </w:r>
    <w:r>
      <w:rPr>
        <w:rFonts w:cs="Arial" w:ascii="Arial" w:hAnsi="Arial"/>
        <w:color w:val="000000"/>
        <w:sz w:val="20"/>
      </w:rPr>
      <w:fldChar w:fldCharType="begin"/>
    </w:r>
    <w:r>
      <w:rPr>
        <w:rFonts w:cs="Arial" w:ascii="Arial" w:hAnsi="Arial"/>
        <w:color w:val="000000"/>
        <w:sz w:val="20"/>
      </w:rPr>
      <w:instrText xml:space="preserve"> PAGE </w:instrText>
    </w:r>
    <w:r>
      <w:rPr>
        <w:rFonts w:cs="Arial" w:ascii="Arial" w:hAnsi="Arial"/>
        <w:color w:val="000000"/>
        <w:sz w:val="20"/>
      </w:rPr>
      <w:fldChar w:fldCharType="separate"/>
    </w:r>
    <w:r>
      <w:rPr>
        <w:rFonts w:cs="Arial" w:ascii="Arial" w:hAnsi="Arial"/>
        <w:color w:val="000000"/>
        <w:sz w:val="20"/>
      </w:rPr>
      <w:t>7</w:t>
    </w:r>
    <w:r>
      <w:rPr>
        <w:rFonts w:cs="Arial" w:ascii="Arial" w:hAnsi="Arial"/>
        <w:color w:val="000000"/>
        <w:sz w:val="20"/>
      </w:rPr>
      <w:fldChar w:fldCharType="end"/>
    </w:r>
    <w:r>
      <w:rPr>
        <w:rFonts w:cs="Arial" w:ascii="Arial" w:hAnsi="Arial"/>
        <w:color w:val="000000"/>
        <w:sz w:val="20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jc w:val="both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5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</w:abstractNum>
  <w:abstractNum w:abstractNumId="3">
    <w:lvl w:ilvl="0">
      <w:numFmt w:val="bullet"/>
      <w:lvlText w:val="–"/>
      <w:lvlJc w:val="start"/>
      <w:pPr>
        <w:tabs>
          <w:tab w:val="num" w:pos="360"/>
        </w:tabs>
        <w:ind w:start="360" w:hanging="360"/>
      </w:pPr>
      <w:rPr>
        <w:rFonts w:ascii="Arial" w:hAnsi="Arial" w:cs="Arial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284"/>
        </w:tabs>
        <w:ind w:start="0" w:hanging="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284"/>
        </w:tabs>
        <w:ind w:start="0" w:hanging="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  <w:sz w:val="16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284"/>
        </w:tabs>
        <w:ind w:start="0" w:hanging="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12"/>
    </w:pPr>
    <w:rPr>
      <w:rFonts w:ascii="Times New Roman" w:hAnsi="Times New Roman" w:eastAsia="Times New Roman" w:cs="Times New Roman"/>
      <w:color w:val="00FFFF"/>
      <w:sz w:val="24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lineRule="atLeast" w:line="300"/>
      <w:jc w:val="both"/>
      <w:outlineLvl w:val="0"/>
    </w:pPr>
    <w:rPr>
      <w:b/>
      <w:caps/>
      <w:color w:val="auto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color w:val="auto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jc w:val="both"/>
      <w:outlineLvl w:val="2"/>
    </w:pPr>
    <w:rPr>
      <w:b/>
      <w:color w:val="auto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color w:val="auto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i/>
      <w:color w:val="auto"/>
      <w:u w:val="single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i/>
      <w:color w:val="auto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color w:val="auto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567"/>
        <w:tab w:val="left" w:pos="1843" w:leader="none"/>
        <w:tab w:val="left" w:pos="6521" w:leader="none"/>
      </w:tabs>
      <w:spacing w:lineRule="atLeast" w:line="300"/>
      <w:outlineLvl w:val="7"/>
    </w:pPr>
    <w:rPr>
      <w:i/>
      <w:color w:val="auto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tLeast" w:line="300"/>
      <w:jc w:val="center"/>
      <w:outlineLvl w:val="8"/>
    </w:pPr>
    <w:rPr>
      <w:b/>
      <w:caps/>
      <w:color w:val="FF0000"/>
      <w:sz w:val="32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  <w:sz w:val="16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Calibri" w:hAnsi="Calibri" w:eastAsia="Calibri" w:cs="Times New Roman"/>
    </w:rPr>
  </w:style>
  <w:style w:type="character" w:styleId="WW8Num17z0">
    <w:name w:val="WW8Num17z0"/>
    <w:qFormat/>
    <w:rPr>
      <w:rFonts w:ascii="Times New Roman" w:hAnsi="Times New Roman" w:eastAsia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Arial" w:hAnsi="Arial" w:cs="Arial"/>
    </w:rPr>
  </w:style>
  <w:style w:type="character" w:styleId="WW8Num21z0">
    <w:name w:val="WW8Num21z0"/>
    <w:qFormat/>
    <w:rPr>
      <w:rFonts w:ascii="Arial" w:hAnsi="Arial" w:cs="Arial"/>
      <w:sz w:val="20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Arial" w:hAnsi="Arial" w:cs="Arial"/>
      <w:sz w:val="20"/>
    </w:rPr>
  </w:style>
  <w:style w:type="character" w:styleId="WW8Num27z0">
    <w:name w:val="WW8Num27z0"/>
    <w:qFormat/>
    <w:rPr>
      <w:rFonts w:ascii="Symbol" w:hAnsi="Symbol" w:cs="Symbol"/>
      <w:sz w:val="16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/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  <w:sz w:val="16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/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/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38z0">
    <w:name w:val="WW8Num38z0"/>
    <w:qFormat/>
    <w:rPr/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7z0">
    <w:name w:val="WW8NumSt7z0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Policepardfaut"/>
    <w:rPr/>
  </w:style>
  <w:style w:type="character" w:styleId="PieddepageCar">
    <w:name w:val="Pied de page Car"/>
    <w:qFormat/>
    <w:rPr>
      <w:color w:val="00FFFF"/>
      <w:sz w:val="24"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color w:val="auto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next w:val="Normal"/>
    <w:pPr>
      <w:widowControl/>
      <w:bidi w:val="0"/>
      <w:spacing w:lineRule="exact" w:line="240" w:before="0" w:after="480"/>
      <w:jc w:val="center"/>
    </w:pPr>
    <w:rPr>
      <w:rFonts w:ascii="Elite;Courier New" w:hAnsi="Elite;Courier New" w:eastAsia="Times New Roman" w:cs="Elite;Courier New"/>
      <w:color w:val="auto"/>
      <w:sz w:val="24"/>
      <w:szCs w:val="20"/>
      <w:lang w:val="fr-FR" w:bidi="ar-SA" w:eastAsia="zh-CN"/>
    </w:rPr>
  </w:style>
  <w:style w:type="paragraph" w:styleId="concerne">
    <w:name w:val="concerne"/>
    <w:basedOn w:val="Normal"/>
    <w:qFormat/>
    <w:pPr>
      <w:spacing w:before="1440" w:after="0"/>
      <w:ind w:hanging="1134" w:start="1134" w:end="0"/>
    </w:pPr>
    <w:rPr>
      <w:b/>
    </w:rPr>
  </w:style>
  <w:style w:type="paragraph" w:styleId="texte">
    <w:name w:val="texte"/>
    <w:basedOn w:val="Normal"/>
    <w:qFormat/>
    <w:pPr>
      <w:ind w:firstLine="1134" w:start="0" w:end="0"/>
      <w:jc w:val="both"/>
    </w:pPr>
    <w:rPr/>
  </w:style>
  <w:style w:type="paragraph" w:styleId="adresse">
    <w:name w:val="adresse"/>
    <w:basedOn w:val="Normal"/>
    <w:qFormat/>
    <w:pPr>
      <w:tabs>
        <w:tab w:val="clear" w:pos="567"/>
        <w:tab w:val="left" w:pos="4820" w:leader="none"/>
      </w:tabs>
      <w:spacing w:before="1920" w:after="0"/>
      <w:ind w:hanging="0" w:start="4820" w:end="0"/>
    </w:pPr>
    <w:rPr/>
  </w:style>
  <w:style w:type="paragraph" w:styleId="signature">
    <w:name w:val="signature"/>
    <w:basedOn w:val="Normal"/>
    <w:qFormat/>
    <w:pPr>
      <w:tabs>
        <w:tab w:val="clear" w:pos="567"/>
        <w:tab w:val="left" w:pos="5670" w:leader="none"/>
      </w:tabs>
      <w:ind w:hanging="0" w:start="5670" w:end="0"/>
    </w:pPr>
    <w:rPr/>
  </w:style>
  <w:style w:type="paragraph" w:styleId="rfrence">
    <w:name w:val="référence"/>
    <w:basedOn w:val="Normal"/>
    <w:qFormat/>
    <w:pPr/>
    <w:rPr/>
  </w:style>
  <w:style w:type="paragraph" w:styleId="rapport">
    <w:name w:val="rapport"/>
    <w:basedOn w:val="Normal"/>
    <w:qFormat/>
    <w:pPr>
      <w:ind w:hanging="0" w:start="567" w:end="0"/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oter">
    <w:name w:val="footer"/>
    <w:basedOn w:val="Normal"/>
    <w:pPr>
      <w:tabs>
        <w:tab w:val="clear" w:pos="567"/>
        <w:tab w:val="center" w:pos="4536" w:leader="none"/>
        <w:tab w:val="right" w:pos="9072" w:leader="none"/>
      </w:tabs>
    </w:pPr>
    <w:rPr/>
  </w:style>
  <w:style w:type="paragraph" w:styleId="Corpsdetexte2">
    <w:name w:val="Corps de texte 2"/>
    <w:basedOn w:val="Normal"/>
    <w:qFormat/>
    <w:p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jc w:val="both"/>
    </w:pPr>
    <w:rPr>
      <w:b/>
      <w:color w:val="auto"/>
    </w:rPr>
  </w:style>
  <w:style w:type="paragraph" w:styleId="Corpsdetexte3">
    <w:name w:val="Corps de texte 3"/>
    <w:basedOn w:val="Normal"/>
    <w:qFormat/>
    <w:pPr/>
    <w:rPr>
      <w:i/>
      <w:color w:val="auto"/>
    </w:rPr>
  </w:style>
  <w:style w:type="paragraph" w:styleId="BodyTextIndent">
    <w:name w:val="Body Text Indent"/>
    <w:basedOn w:val="Normal"/>
    <w:pPr>
      <w:tabs>
        <w:tab w:val="clear" w:pos="567"/>
        <w:tab w:val="left" w:pos="142" w:leader="none"/>
      </w:tabs>
      <w:spacing w:lineRule="atLeast" w:line="300"/>
      <w:ind w:hanging="0" w:start="360" w:end="0"/>
      <w:jc w:val="both"/>
    </w:pPr>
    <w:rPr>
      <w:i/>
      <w:color w:val="auto"/>
    </w:rPr>
  </w:style>
  <w:style w:type="paragraph" w:styleId="Puces1">
    <w:name w:val="Puces 1"/>
    <w:basedOn w:val="Normal"/>
    <w:qFormat/>
    <w:pPr>
      <w:numPr>
        <w:ilvl w:val="0"/>
        <w:numId w:val="3"/>
      </w:numPr>
      <w:tabs>
        <w:tab w:val="clear" w:pos="567"/>
        <w:tab w:val="left" w:pos="284" w:leader="none"/>
      </w:tabs>
      <w:spacing w:lineRule="atLeast" w:line="300"/>
      <w:jc w:val="both"/>
    </w:pPr>
    <w:rPr>
      <w:i/>
      <w:color w:val="auto"/>
    </w:rPr>
  </w:style>
  <w:style w:type="paragraph" w:styleId="Retraitcorpsdetexte2">
    <w:name w:val="Retrait corps de texte 2"/>
    <w:basedOn w:val="Normal"/>
    <w:qFormat/>
    <w:pPr>
      <w:tabs>
        <w:tab w:val="clear" w:pos="567"/>
        <w:tab w:val="left" w:pos="142" w:leader="none"/>
        <w:tab w:val="left" w:pos="284" w:leader="none"/>
      </w:tabs>
      <w:spacing w:lineRule="atLeast" w:line="300"/>
      <w:ind w:hanging="0" w:start="284" w:end="0"/>
      <w:jc w:val="both"/>
    </w:pPr>
    <w:rPr>
      <w:i/>
      <w:color w:val="auto"/>
    </w:rPr>
  </w:style>
  <w:style w:type="paragraph" w:styleId="Retraitcorpsdetexte3">
    <w:name w:val="Retrait corps de texte 3"/>
    <w:basedOn w:val="Normal"/>
    <w:qFormat/>
    <w:pPr>
      <w:tabs>
        <w:tab w:val="clear" w:pos="567"/>
        <w:tab w:val="left" w:pos="180" w:leader="none"/>
      </w:tabs>
      <w:spacing w:lineRule="atLeast" w:line="300"/>
      <w:ind w:hanging="0" w:start="357" w:end="0"/>
      <w:jc w:val="both"/>
    </w:pPr>
    <w:rPr>
      <w:i/>
      <w:color w:val="auto"/>
    </w:rPr>
  </w:style>
  <w:style w:type="paragraph" w:styleId="Puces2">
    <w:name w:val="Puces 2"/>
    <w:basedOn w:val="Puces1"/>
    <w:qFormat/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</w:pPr>
    <w:rPr>
      <w:i w:val="false"/>
    </w:rPr>
  </w:style>
  <w:style w:type="paragraph" w:styleId="puces11">
    <w:name w:val="puces 11"/>
    <w:basedOn w:val="Normal"/>
    <w:qFormat/>
    <w:pPr>
      <w:numPr>
        <w:ilvl w:val="0"/>
        <w:numId w:val="6"/>
      </w:numPr>
    </w:pPr>
    <w:rPr/>
  </w:style>
  <w:style w:type="paragraph" w:styleId="Cadre">
    <w:name w:val="Cadre"/>
    <w:basedOn w:val="Normal"/>
    <w:qFormat/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pacing w:lineRule="atLeast" w:line="300"/>
      <w:jc w:val="both"/>
    </w:pPr>
    <w:rPr>
      <w:color w:val="auto"/>
    </w:rPr>
  </w:style>
  <w:style w:type="paragraph" w:styleId="Paragraphedeliste">
    <w:name w:val="Paragraphe de liste"/>
    <w:basedOn w:val="Normal"/>
    <w:qFormat/>
    <w:pPr>
      <w:spacing w:lineRule="auto" w:line="240"/>
      <w:ind w:hanging="0" w:start="720" w:end="0"/>
    </w:pPr>
    <w:rPr>
      <w:rFonts w:ascii="Calibri" w:hAnsi="Calibri" w:eastAsia="Calibri" w:cs="Calibri"/>
      <w:color w:val="000000"/>
      <w:sz w:val="22"/>
      <w:szCs w:val="22"/>
      <w:lang w:val="fr-BE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2020-01-06T13:03:00Z</dcterms:created>
  <dc:creator>MRW</dc:creator>
  <dc:description/>
  <cp:keywords/>
  <dc:language>fr-FR</dc:language>
  <cp:lastModifiedBy>LESCUT Mégane</cp:lastModifiedBy>
  <cp:lastPrinted>2004-02-10T11:54:00Z</cp:lastPrinted>
  <dcterms:modified xsi:type="dcterms:W3CDTF">2020-01-06T13:03:00Z</dcterms:modified>
  <cp:revision>2</cp:revision>
  <dc:subject/>
  <dc:title>03.06.97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ActionId">
    <vt:lpwstr>3e0b597d-55ce-4b0d-aad7-facf1d50f5fa</vt:lpwstr>
  </property>
  <property fmtid="{D5CDD505-2E9C-101B-9397-08002B2CF9AE}" pid="3" name="MSIP_Label_e72a09c5-6e26-4737-a926-47ef1ab198ae_Application">
    <vt:lpwstr>Microsoft Azure Information Protection</vt:lpwstr>
  </property>
  <property fmtid="{D5CDD505-2E9C-101B-9397-08002B2CF9AE}" pid="4" name="MSIP_Label_e72a09c5-6e26-4737-a926-47ef1ab198ae_Enabled">
    <vt:lpwstr>True</vt:lpwstr>
  </property>
  <property fmtid="{D5CDD505-2E9C-101B-9397-08002B2CF9AE}" pid="5" name="MSIP_Label_e72a09c5-6e26-4737-a926-47ef1ab198ae_Extended_MSFT_Method">
    <vt:lpwstr>Automatic</vt:lpwstr>
  </property>
  <property fmtid="{D5CDD505-2E9C-101B-9397-08002B2CF9AE}" pid="6" name="MSIP_Label_e72a09c5-6e26-4737-a926-47ef1ab198ae_Name">
    <vt:lpwstr>Confidentiel</vt:lpwstr>
  </property>
  <property fmtid="{D5CDD505-2E9C-101B-9397-08002B2CF9AE}" pid="7" name="MSIP_Label_e72a09c5-6e26-4737-a926-47ef1ab198ae_Owner">
    <vt:lpwstr>gauthier.michaux@spw.wallonie.be</vt:lpwstr>
  </property>
  <property fmtid="{D5CDD505-2E9C-101B-9397-08002B2CF9AE}" pid="8" name="MSIP_Label_e72a09c5-6e26-4737-a926-47ef1ab198ae_SetDate">
    <vt:lpwstr>2019-11-27T14:27:37.3254699Z</vt:lpwstr>
  </property>
  <property fmtid="{D5CDD505-2E9C-101B-9397-08002B2CF9AE}" pid="9" name="MSIP_Label_e72a09c5-6e26-4737-a926-47ef1ab198ae_SiteId">
    <vt:lpwstr>1f816a84-7aa6-4a56-b22a-7b3452fa8681</vt:lpwstr>
  </property>
  <property fmtid="{D5CDD505-2E9C-101B-9397-08002B2CF9AE}" pid="10" name="Sensitivity">
    <vt:lpwstr>Confidentiel</vt:lpwstr>
  </property>
</Properties>
</file>