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atLeast" w:line="300"/>
        <w:jc w:val="center"/>
        <w:rPr>
          <w:b/>
          <w:color w:val="000000"/>
          <w:sz w:val="28"/>
        </w:rPr>
      </w:pPr>
      <w:r>
        <w:rPr>
          <w:b/>
          <w:caps/>
          <w:color w:val="000000"/>
          <w:sz w:val="28"/>
        </w:rPr>
        <w:t xml:space="preserve">Précisions et commentaires relatifs àU chapitre P </w:t>
        <w:br/>
        <w:t>– Distribution d’eau du CCT QUALIROUTES</w:t>
      </w:r>
    </w:p>
    <w:p>
      <w:pPr>
        <w:pStyle w:val="Normal"/>
        <w:tabs>
          <w:tab w:val="clear" w:pos="567"/>
          <w:tab w:val="left" w:pos="0" w:leader="none"/>
          <w:tab w:val="left" w:pos="720" w:leader="none"/>
        </w:tabs>
        <w:spacing w:lineRule="atLeast" w:line="300"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Heading1"/>
        <w:ind w:hanging="0" w:start="0"/>
        <w:rPr/>
      </w:pPr>
      <w:r>
        <w:rPr/>
        <w:t>P. 1.1.1.1. Adduction et distribution d’eau – Conduites d’eau – Considérations générales – Préambule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Si le profil en long des canalisations à poser n’est pas repris dans les plans d’adjudication, préciser l'implantation et la profondeur de pose minimale.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Préciser: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la nature du ou des matériau(x) autorisé(s) en cas de fourniture des composants par l’entrepreneur ou du ou des matériau(x) prévu(s) en cas de fourniture par le pouvoir adjudicateur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les diamètres nominaux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soit la série ou la classe de résistance des tuyaux, soit les valeurs de la pression maximale admissible (PMA) et de la pression de fonctionnement admissible (PFA)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la pression nominale.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1.1.2.1.2. EXECUTION DES TRANCHEES ET FOUILLES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l’emploi de machines pour exécuter les terrassements est interdit sur certains tronçons. 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 le matériau qui comble l'espace libre entre l'extérieur de l'ouvrage et la paroi de la tranchée ou le blindage.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1.1.2.2.3.1. POSE DES TUYAUX ET RACCORDS EN TRANCHEES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s’il y a lieu de ne pas placer un fil de repérage lors de la pose des conduites en PVC ou en PE.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Indiquer les prescriptions relatives aux passages et aux traversées dans les carrefours si celles-ci diffèrent des prescriptions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1.1.2.2.3.1.2.2. POSE DE CONDUITE EN FONTE DUCTILE OU EN ACIER AU VOISINAGE DE POINTS SENSIBLES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Indiquer le type de conduite si celui-ci diffère des prescriptions par défaut.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long des lignes de chemin de fer, indiquer si des dispositions spéciales autorisent la pose de canalisations différentes des prescriptions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1.1.2.2.3.1.4.1. BUTEES, AMARRAGES ET ANCRAGES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Le cas échéant, spécifier que le dimensionnement des massifs n'incombe pas à l’entrepreneur.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1.1.2.2.3.1.4.2. VERROUILLAGE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cas échéant, préciser que les calculs spécifiques à l'utilisation des joints verrouillés n'incombent pas à l’entrepreneur.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la nature du terrain.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si le coefficient de sécurité diffère des prescriptions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 xml:space="preserve">P. 1.1.2.2.3.1.5.1.1. QUALIFICATIONS DES SOUDEURS ET DES MODES OPERATOIRES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 modèle du carnet de soudage qui devra être tenu à jour et transmis au fonctionnaire dirigeant à la réception provisoire.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1.1.2.2.3.1.5.2. SOUDURE SUR COMPOSANTS EN POLYETHYLENE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si la technique de soudage bout à bout peut également être utilisée.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1.1.2.2.3.1.5.3.4. METHODOLOGIE POUR L’ELECTROSOUDAGE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la classe minimale des grattoirs rotatifs mécaniques à utiliser.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1.1.2.2.3.2.1.1. POSE DES ROBINETS EN CHAMBRE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Le cas échéant, préciser que les robinets vannes et les robinets papillons placés en chambre ne doivent pas être posés avec pièce de démontage.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P.1.1.2.2.3.3. POSE DES BOUCHES D’INCENDIE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si les bouches d'incendie sont placées avec ou sans robinet de garde.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Indiquer le type de protection du dispositif de vidange automatique s’il diffère des prescriptions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1.1.2.2.3.4. POSE DES BORNES D’INCENDIE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si les bornes d'incendie sont placées avec ou sans robinet de garde.</w:t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Indiquer le type de protection du dispositif de vidange automatique s’il diffère des prescriptions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 xml:space="preserve">P. 1.1.2.2.3.5. POSE DES AUTRES APPAREILS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 mode de pose des autres appareils.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1.1.2.2.3.6. ENROBAGE DES CANALISATIONS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 type d’enrobage et, pour les types 2 et 4, la nature du matériau d’apport à utiliser.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1.1.2.2.4. PLAQUES SIGNALETIQUES, PAVES ET BORNES (REPERES)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Décrire les plaques signalétiques, les pavés et les bornes repères.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1.1.2.4.1. PAIEMENT – TRANCHEES, FOUILLES ET ENROBAGE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 xml:space="preserve">Utiliser le poste E9110-E et les postes de la série D9000 pour l'évacuation des excédents de déblai (déchets).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1.1.2.4.2. CANALISATIONS ET RACCORDS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si les raccords sont payés à la pièce ou en longueur conventionnelle.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cas échéant, préciser si le prix comprend la fourniture et la pose d'une manche polyéthylène.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cas échéant, préciser si les massifs de butée et d’ancrage, le verrouillage des joints et/ou les épreuves sur les canalisations ne font pas l’objet de postes séparés.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1.1.2.4.3. APPAREILS, ACCESSOIRES, ELEMENTS DE REPERAGE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Préciser le mode de paiement si celui-ci diffère de celui prévu par défaut.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1.1.3.3.2.1.1.2. POSE DE RACCORDEMENTS EN FONTE DUCTILE AU VOISINAGE DE POINTS SENSIBLES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Indiquer le type de conduite si celui-ci diffère des prescriptions par défaut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1.1.3.3.2.1.2.1.1. POSE DE ROBINETS EN CHAMBRE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Le cas échéant, préciser que les robinets vannes et les robinets papillons placés en chambre ne doivent pas être posés avec pièce de démontage.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1.1.3.3.2.1.2.1.2. POSE DE ROBINETS EN PLEINE TERRE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Le cas échéant, préciser que les robinets vannes et les robinets papillons placés en pleine terre ne doivent pas être posés avec pièce de démontage.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1.1.3.3.2.1.3.1. PRISE EN CHARGE SUR LA CONDUITE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l'orientation du percement de la conduite-mère sous pression.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1.1.3.3.2.1.3.2. GAINE TELESCOPIQUE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si une gaine télescopique sablée extérieurement avec joint d’étanchéité et raccord d’extrémité mâle doit être utilisée dans les traversées de mur ou de sol.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1.1.3.3.2.1.3.7. SYSTEME DE FIXATION DU COMPTEUR ET ACCESSOIRES ASSOCIES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 système de fixation du compteur et accessoires associés à utiliser.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1.1.3.3.2.1.4.1.1. TUYAU SUR LA PARTIE DU RACCORDEMENT EXISTANT SITUE EN DOMAINE PUBLIC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 le remblai.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Débranchement et obturation: indiquer si une pièce d'obturation est prévue.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1.1.3.3.2.1.4.1.2.2. RACCORDEMENT EN CAVE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Le cas échéant, donner les prescriptions relatives aux raccordements industriels.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1.1.3.3.2.1.4.1.2.3. RACCORDEMENT SANS CAVE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Le cas échéant, donner les prescriptions relatives aux raccordements industriels.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1.1.3.3.2.1.4.1.4. PAIEMENT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 mode de paiement.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1.1.3.3.4.3. PAIEMENT - BRANCHEMENT SUR LA CONDUITE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si les branchements effectués en dehors des heures de travail font l'objet d'un supplément de prix.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1.1.3.3.4.4. PAIEMENT - CANALISATIONS ET RACCORDS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cas échéant, préciser si le prix comprend la fourniture et la pose d'une manche polyéthylène.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cas échéant, préciser si les massifs de butée et d’ancrage, l'enrobage des joints et/ou les épreuves sur les canalisations ne font pas l’objet de postes séparés.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1.1.3.3.4.5. PAIEMENT - ROBINETS DE BRANCHEMENT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mode de paiement s'il diffère de celui prévu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 REHABILITATION DE CANALISATIONS SOUS PRESSION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comment est déterminé le choix de la technique et le cas échéant joindre les documents adéquats.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1.1.5.1.1. INSPECTION ENDOSCOPIQUE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Fournir les renseignements nécessaires aux travaux préparatoires.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 le but et les critères de réalisation de l'inspection.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mode de paiement s'il diffère de celui prévu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1.1.5.1.2.1. NETTOYAGE MECANIQUE PAR TRINGLAGE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quels travaux préparatoires doivent être réalisés par l’entrepreneur. </w:t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1.1.5.1.2.2. NETTOYAGE MECANIQUE PAR RACLAGE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quels travaux préparatoires doivent être réalisés par l'entrepreneur. 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1.1.5.1.2.3. NETTOYAGE HYDRAULIQUE HAUTE PRESSION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quels travaux préparatoires doivent être réalisés par l'entrepreneur. 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1.1.5.1.2.4. NETTOYAGE HYDROMECANIQUE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quels travaux préparatoires doivent être réalisés par l'entrepreneur. 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1.1.5.2.1.1. PROJECTION DE RESINE EPOXY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quels travaux préparatoires doivent être réalisés par l'entrepreneur. 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l'épaisseur du revêtement et le nombre de passes.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1.1.5.2.1.2. PROJECTION DE MORTIER DE CIMENT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Définir les prescriptions techniques.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1.1.5.2.1.3. CHEMISAGE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quels travaux préparatoires doivent être réalisés par l'entrepreneur.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les modalités de vérification après pose. 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1.1.5.2.1.4. TUBAGE SANS ESPACE ANNULAIRE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quels travaux préparatoires doivent être réalisés par l'entrepreneur. </w:t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1.1.5.2.1.5. TUBAGE AVEC ESPACE ANNULAIRE PAR TUBE CONTINU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quels travaux préparatoires doivent être réalisés par l'entrepreneur.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si un contrôle visuel par caméra est demandé après réalisation des travaux.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1.1.5.2.1.7. ETANCHEMENT DES JOINTS PAR MANCHETTES INTERIEURES OU EXTERIEURES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les prescriptions techniques.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1.1.5.3.2.1. ECLATEMENT DE LA CONDUITE EXISTANTE DITE «PIPE BURSTING»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 les caractéristiques des tuyaux PEHD.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quels travaux préparatoires et quelles études doivent être réalisés par l'entrepreneur.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1.1.5.3.2.2. SUBSTITUTION DE LA CONDUITE EXISTANTE PAR EXTRACTION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quels travaux préparatoires et quelles études doivent être réalisés par l'entrepreneur.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1.1.6.2.1. PROTECTION CONTRE LA CORROSION, LES COURANTS VAGABONDS ET L’ACTION DU SOL, EFFECTUEE SUR LE CHANTIER – PROTECTION CATHODIQUE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 cas échéant les clauses particulières relatives à la protection cathodique.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1.1.7. JONCTION SUR LE RESEAU EXISTANT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le cas échéant quels appareils, tuyaux ou accessoires doivent être démontés.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quelles interventions doivent avoir lieu en dehors des heures normales de travail.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1.1.7.2.1.1. JONCTION PAR RECOUPE DE LA TUYAUTERIE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 le matériel supplémentaire et les matériaux de secours éventuels à approvisionner avant la mise hors service de la canalisation.</w:t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cas échéant, indiquer si une pièce d'obturation est prévue.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1.1.8.2. EPREUVES EN TRANCHEE – EXECUTION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les spécificités d'exécution de l'épreuve.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1.1.8.3.2. EPREUVES EN TRANCHEE – VERIFICATION - TUYAUX EN POLYETHYLENE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l'épreuve si elle diffère de celle prévue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1.1.8.4. PAIEMENT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les modalités et le prix de fourniture de l’eau nécessaire aux épreuves.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1.1.9.2. DESINFECTION – MODE D’EXECUTION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Définir le mode d’exécution de la désinfection.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1.1.9.4. PAIEMENT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Le cas échéant, préciser que les frais relatifs à la désinfection des installations ainsi qu'aux accessoires, matériel, énergie, transport de l'eau, etc. nécessaires pour permettre sa réalisation ne constituent pas une charge d'entreprise.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les modalités et le prix de fourniture de l’eau nécessaire à la désinfection.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 xml:space="preserve">Préciser les dispositions concernant la prise en charge financière des analyses et du désinfectant.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1.1.10. HYPOTHESES DE CALCUL POUR LE DIMENSIONNEMENT DES REGARDS POUR APPAREILS, CONSTRUITS SUR SITE EN MAÇONNERIE ET EN BETON ARME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pour chaque chambre d’appareils les courbes, tés, etc. qui ne doivent pas être butés.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si les pièces de traversée munies d’ailettes de scellement sont autorisées.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 GROUPE MOTOPOMPE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1.2.1.1. SPECIFICATIONS GENERALES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Si le groupe est non immersible, préciser si le groupe motopompe est vertical ou horizontal et préciser une classe 1 ou 2.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Si le groupe est immersible, préciser une classe I1 ou I2.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1.2.1.3. VARIANTES DE CONSTRUCTION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Selon la procédure de passation du marché, le cas échéant, autoriser les variantes.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1.2.2. COURBE CARACTERISTIQUE (Q, H) DU GROUPE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Définir, le cas échéant, la courbe caractéristique de l’installation.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Décrire l'automatisme souhaité.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si le groupe est à vitesse fixe ou vitesse variable.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1.2.2.1. VITESSE FIXE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les couples (Qmin, Hmin) et (Qmax, Hmax).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1.2.2.2. VITESSE VARIABLE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couple (Qmin, Hmin).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Expliciter la régulation à laquelle le groupe motopompe répond.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1.2.2.3. FAIBLES DEBITS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les zones de fonctionnement.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1.2.3. COUT ACTUALISE DU GROUPE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les formules de coût actualisé, fixer le prix du Kwh et le volume annuel de la pompe.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1.2.4. PUISSANCE MAXIMALE ABSORBEE PAR LE GROUPE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Spécifier, le cas échéant, la puissance électrique maximale que le groupe peut absorber.</w:t>
        <w:tab/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>
          <w:lang w:val="en-GB"/>
        </w:rPr>
      </w:pPr>
      <w:r>
        <w:rPr>
          <w:lang w:val="en-GB"/>
        </w:rPr>
        <w:t>P. 1.2.5. N. P. S. H. (NET POSITIVE SUCTION HEAD)</w:t>
      </w:r>
    </w:p>
    <w:p>
      <w:pPr>
        <w:pStyle w:val="Normal"/>
        <w:rPr>
          <w:color w:val="000000"/>
          <w:lang w:val="en-GB"/>
        </w:rPr>
      </w:pPr>
      <w:r>
        <w:rPr>
          <w:color w:val="000000"/>
          <w:lang w:val="en-GB"/>
        </w:rPr>
      </w:r>
    </w:p>
    <w:p>
      <w:pPr>
        <w:pStyle w:val="Cadre"/>
        <w:rPr/>
      </w:pPr>
      <w:r>
        <w:rPr/>
        <w:t>Spécifier les éléments permettant au soumissionnaire de déterminer le N.P.S.H. disponible.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>
          <w:lang w:val="fr-BE"/>
        </w:rPr>
      </w:pPr>
      <w:r>
        <w:rPr>
          <w:lang w:val="fr-BE"/>
        </w:rPr>
        <w:t>P. 1.2.7.6.1. POMPE</w:t>
      </w:r>
    </w:p>
    <w:p>
      <w:pPr>
        <w:pStyle w:val="Normal"/>
        <w:rPr>
          <w:color w:val="000000"/>
          <w:lang w:val="fr-BE"/>
        </w:rPr>
      </w:pPr>
      <w:r>
        <w:rPr>
          <w:color w:val="000000"/>
          <w:lang w:val="fr-BE"/>
        </w:rPr>
      </w:r>
    </w:p>
    <w:p>
      <w:pPr>
        <w:pStyle w:val="Cadre"/>
        <w:rPr/>
      </w:pPr>
      <w:r>
        <w:rPr/>
        <w:t>Indiquer si l'eau à pomper est de qualité difficile.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1.2.7.12.1. DISPOSITIFS D'ETANCHEITE DE L'ARBRE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dispositif d’étanchéité s'il diffère de celui prévu par défaut.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Spécifier, le cas échéant, un dispositif de balayage.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1.2.7.13. TUBULURES ET RACCORDS DIVERS POUR GROUPES MOTOPOMPES IMMERSIBLES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l'équipement de l'orifice de refoulement s'il diffère de celui prévu par défaut.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 les dimensions de la bride.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1.2.7.14.2. EVENT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un purgeur automatique.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1.2.7.15. VITESSE CONTINUE MAXIMALE ADMISSIBLE (CLASSE 1)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 l'indication de cette vitesse est nécessaire.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1.2.7.16. PREMIERE VITESSE CRITIQUE (CLASSE 1)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 l'indication de cette vitesse est nécessaire.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1.2.7.19.1. QUALITE DE L'EAU</w:t>
      </w:r>
    </w:p>
    <w:p>
      <w:pPr>
        <w:pStyle w:val="Normal"/>
        <w:keepNext w:val="true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Spécifier la qualité de l’eau à pomper.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1.2.7.21. PEINTURE EXTERIEURE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les conditions d'utilisation.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1.2.8.8. MOTEUR POUR GROUPE NON IMMERSIBLE – DISPOSITIONS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si l'axe du moteur est horizontal ou vertical.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1.2.8.9. TENSION D'ALIMENTATION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la tension d’alimentation avec une tolérance éventuelle si elles diffèrent de celles prévues par défaut.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1.2.8.10. COUPLAGE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choix du couplage.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1.2.8.13. DEMARRAGE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mode de démarrage s'il diffère de celui prévu par défaut.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1.2.8.14.2. RESERVE DE PUISSANCE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si le moteur doit être dimensionné en fonction du (Q</w:t>
      </w:r>
      <w:r>
        <w:rPr>
          <w:vertAlign w:val="subscript"/>
        </w:rPr>
        <w:t>s</w:t>
      </w:r>
      <w:r>
        <w:rPr/>
        <w:t>,H</w:t>
      </w:r>
      <w:r>
        <w:rPr>
          <w:vertAlign w:val="subscript"/>
        </w:rPr>
        <w:t>s</w:t>
      </w:r>
      <w:r>
        <w:rPr/>
        <w:t>).</w:t>
      </w:r>
    </w:p>
    <w:p>
      <w:pPr>
        <w:pStyle w:val="Cadre"/>
        <w:rPr/>
      </w:pPr>
      <w:r>
        <w:rPr/>
        <w:t>Dans ce cas, spécifier H</w:t>
      </w:r>
      <w:r>
        <w:rPr>
          <w:vertAlign w:val="subscript"/>
        </w:rPr>
        <w:t>s</w:t>
      </w:r>
      <w:r>
        <w:rPr/>
        <w:t xml:space="preserve">. 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1.2.8.14.3. LIMITE D'ECHAUFFEMENT DES BOBINAGES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service.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1.2.8.14.4. SERVICE</w:t>
      </w:r>
    </w:p>
    <w:p>
      <w:pPr>
        <w:pStyle w:val="Normal"/>
        <w:keepNext w:val="true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Spécifier le service.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1.2.8.18. SONDES DE TEMPERATURE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l'équipement du moteur en sondes de type PT100.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1.2.8.19. INDICATEURS DE VIBRATIONS DANS LES PALIERS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l’installation d’indicateurs de vibrations dans les paliers.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1.2.8.21. PEINTURE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des éventuelles conditions d’utilisation du groupe motopompe.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1.2.9.2. TENSION D'ALIMENTATION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la tension d’alimentation et, le cas échéant, une tolérance.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1.2.9.3. DEMARRAGE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mode de démarrage.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 xml:space="preserve">P. 1.2.9.4. PUISSANCE DU MOTEUR 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service.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1.2.9.11. ETANCHEITE D'ARBRE (CLASSE I1)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une garniture mécanique.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1.2.12.1. VITESSE DE ROTATION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ou laisser au choix la vitesse de rotation.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Définir le cas échéant la formule du coût actualisé.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1.2.12.2. ACCOUPLEMENT (CLASSE 1)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s'il y a des entretoises.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1.2.13.1.2. RECEPTION TECHNIQUE PREALABLE DU GROUPE - LISTE DES MESURES A RELEVER ET/OU A CALCULER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la valeur maximale de P</w:t>
      </w:r>
      <w:r>
        <w:rPr>
          <w:vertAlign w:val="subscript"/>
        </w:rPr>
        <w:t>n</w:t>
      </w:r>
      <w:r>
        <w:rPr/>
        <w:t>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1.2.13.2. PRECISION DES MESURES - LIMITES ADMISSIBLES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Définir éventuellement le coût actualisé.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1.2.13.3. LIEU DES MESURES ET VERIFICATIONS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 lieu de réception.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1.2.14. PIECES DE RECHANGE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les pièces de rechange à fournir.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1.3. GROUPE HYDROPHORE AUTONOME – GÉNÉRALITÉS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si le groupe fonctionne en système hydrophore, en système mixte (hydrophore/régulation de pression) ou en régulation de pression sans cuve.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Indiquer le cas échéant si le variateur de fréquence est intégré au moteur.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1.3.2. GROUPE MOTOPOMPE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nombre de groupes motopompes.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la classe si elle diffère de celle prévue par défaut.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les caractéristiques dimensionnelles, les mises en parallèle éventuelles et si une réserve est nécessaire.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1.3.3. CUVE HYDROPHORE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Spécifier, le cas échéant, le volume de la cuve.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1.4.2. GROUPE MOTOPOMPE IMMERGE SOUS JUPE  - CARACTERISTIQUES DE LA JUPE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les caractéristiques des brides.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1.4.3. GROUPE IMMERGE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si le montage est vertical.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1.5.1. CUVE SOUS PRESSION ET ACCESSOIRES – CONSTRUCTION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la pression de calcul.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1.5.4. DIMENSIONS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volume total.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1.5.5.4. TUBULURES DE RACCORDEMENT D'APPAREIL DE MESURE ET D'ACCESSOIRES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Mentionner les tubulures et leur diamètre.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1.6.1. TUYAUTERIES EN ACIER INOXYDABLE ET ACCESSOIRES - GENERALITES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Mentionner la pression de service.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1.6.3.2. TYPES DE BRIDES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 type de bride s'il diffère de celui prévu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1.6.12.2. RECEPTION TECHNIQUE PREALABLE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Prescrire, le cas échéant, la radiographie des cordons de soudure.</w:t>
      </w:r>
    </w:p>
    <w:p>
      <w:pPr>
        <w:pStyle w:val="Puces2"/>
        <w:keepNext w:val="true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Spécifier, le cas échéant, si l'inspection est réalisée par une société externe de contrôle technique.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1.6.12.3. CONTROLES APRES EXECUTION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que l'épreuve sous pression n'est pas réalisée.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1.8.1. GROUPE MOTOCOMPRESSEUR D’AIR ET ACCESSOIRES – TYPE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 le compresseur est de type air sec non lubrifié ou est lubrifié à l’huile.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1.8.2. DIMENSIONNEMENT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la pression de service et la pression maximale admissible.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1.8.4. TRAITEMENT DE L’AIR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la qualité de l’air à atteindre.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1.8.6. CUVE D’AIR COMPRIME ET ACCESSOIRES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Spécifier, le cas échéant, le volume de la cuve d’air.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1.9.3.2. SERVOMOTEUR – POSITION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 le servomoteur est équipé d'un transmetteur.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1.9.5. CARTE DE GESTION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Imposer, le cas échéant, l’utilisation d’un bus de terrain.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Spécifier, le cas échéant, l’utilisation d’une carte de régulation.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Préciser la position du servomoteur.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2.2.1.1.1. APPAREILS DE MESURE - ISOLATION DES EQUIPEMENTS - TYPE DE MESURES - MESURE DE DEBITS - COMPTEUR D’EAU FROIDE - DN &lt; 50 MM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diamètre.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type s'il diffère de celui prévu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2.2.1.1.2. DN ≥ 50 mm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diamètre.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type s'il diffère de celui prévu par défaut.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>
          <w:color w:val="000000"/>
        </w:rPr>
        <w:t>P.2.2.2.1.</w:t>
        <w:tab/>
        <w:t xml:space="preserve">MESURE DU NIVEAU – GENERALITES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 la tension d’alimentation est 230 V AC ou 24 V DC.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 xml:space="preserve">P. 2.2.2.1.6.2. CONTACTEUR MAGNETIQUE - PRINCIPE DE FONCTIONNEMENT - DISPOSITIONS CONSTRUCTIVES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Elément de mesure: spécifier si nécessaire le matériau souhaité inox ou synthétique.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Système de lecture: spécifier le système souhaité (index suiveur ou volets).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2.2.2.1.7.4. MONTAGE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 le montage est horizontal ou vertical.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2.2.3.1.2.3. MESURE DE PRESSION – GENERALITES – MANOMETRE - TRANSMETTEUR DE PRESSION - PRINCIPE DE MESURE - DISPOSITIONS CONSTRUCTIVES – CARACTERISTIQUES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 la tension d’alimentation est 230 V AC ou 24 V DC.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P. 3.2.1. POMPES DOSEUSES – GENERALITES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s’il s’agit bien d’une pompe à membranes, préciser le débit de refoulement souhaité en  l/h et la pression de refoulement maximale en bars.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P. 3.2.2. TUYAUTERIES</w:t>
      </w:r>
    </w:p>
    <w:p>
      <w:pPr>
        <w:pStyle w:val="Normal"/>
        <w:keepNext w:val="true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Spécifier la nature du matériau souhaité pour les tuyauteries des appareils de dosage, rigide PVC ou souple PE ou PTFE.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3.2.4. DISPOSITIFS D’INJECTION DES REACTIFS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comment se fait l’injection du réactif.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3.2.5. FONCTIONNEMENT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si, en plus du signal 4-20 mA, il faut prévoir la présence ou non de l’option Modbus port RS 485.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3.4.1. CUVE DE STOCKAGE DES REACTIFS – GENERALITES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la nature du matériau souhaité pour les cuves, soit PEHD (PVC à proscrire car cassant) ou en acier pour réactif de type acide base ou de très grandes tailles.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le volume de la cuve et éventuellement la forme souhaitée (cylindrique, rectangulaire).</w:t>
      </w:r>
    </w:p>
    <w:p>
      <w:pPr>
        <w:pStyle w:val="Puces2"/>
        <w:numPr>
          <w:ilvl w:val="0"/>
          <w:numId w:val="2"/>
        </w:numPr>
        <w:tabs>
          <w:tab w:val="clear" w:pos="284"/>
        </w:tabs>
        <w:ind w:hanging="0" w:start="0"/>
        <w:rPr/>
      </w:pPr>
      <w:r>
        <w:rPr/>
        <w:t>Spécifier si la cuve est à double paroi ou si un bac de rétention ou cuvelage est nécessaire.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3.5.1. CUVELAGE – GENERALITES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volume de la cuve et le type de réactif pour lequel un cuvelage est nécessaire.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P. 3.6. LOCAL DE STOCKAGE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 nombre de cuves, le volume de ces cuves et le type de réactif pour lequel un local de stockage est nécessaire.</w:t>
      </w:r>
    </w:p>
    <w:sectPr>
      <w:headerReference w:type="default" r:id="rId2"/>
      <w:footerReference w:type="default" r:id="rId3"/>
      <w:type w:val="nextPage"/>
      <w:pgSz w:w="11906" w:h="16838"/>
      <w:pgMar w:left="1304" w:right="130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Elite">
    <w:altName w:val="Courier New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Arial" w:ascii="Arial" w:hAnsi="Arial"/>
        <w:color w:val="000000"/>
        <w:sz w:val="20"/>
      </w:rPr>
      <w:t xml:space="preserve">Modèle de CSC du Chapitre P – Version du 01/07/2014 – </w:t>
    </w:r>
    <w:r>
      <w:rPr>
        <w:rFonts w:cs="Arial" w:ascii="Arial" w:hAnsi="Arial"/>
        <w:color w:val="000000"/>
        <w:sz w:val="20"/>
      </w:rPr>
      <w:fldChar w:fldCharType="begin"/>
    </w:r>
    <w:r>
      <w:rPr>
        <w:rFonts w:cs="Arial" w:ascii="Arial" w:hAnsi="Arial"/>
        <w:color w:val="000000"/>
        <w:sz w:val="20"/>
      </w:rPr>
      <w:instrText xml:space="preserve"> PAGE </w:instrText>
    </w:r>
    <w:r>
      <w:rPr>
        <w:rFonts w:cs="Arial" w:ascii="Arial" w:hAnsi="Arial"/>
        <w:color w:val="000000"/>
        <w:sz w:val="20"/>
      </w:rPr>
      <w:fldChar w:fldCharType="separate"/>
    </w:r>
    <w:r>
      <w:rPr>
        <w:rFonts w:cs="Arial" w:ascii="Arial" w:hAnsi="Arial"/>
        <w:color w:val="000000"/>
        <w:sz w:val="20"/>
      </w:rPr>
      <w:t>17</w:t>
    </w:r>
    <w:r>
      <w:rPr>
        <w:rFonts w:cs="Arial" w:ascii="Arial" w:hAnsi="Arial"/>
        <w:color w:val="000000"/>
        <w:sz w:val="20"/>
      </w:rPr>
      <w:fldChar w:fldCharType="end"/>
    </w:r>
    <w:r>
      <w:rPr>
        <w:rFonts w:cs="Arial" w:ascii="Arial" w:hAnsi="Arial"/>
        <w:color w:val="000000"/>
        <w:sz w:val="20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jc w:val="both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–"/>
      <w:lvlJc w:val="start"/>
      <w:pPr>
        <w:tabs>
          <w:tab w:val="num" w:pos="360"/>
        </w:tabs>
        <w:ind w:start="360" w:hanging="360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  <w:sz w:val="16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567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12"/>
    </w:pPr>
    <w:rPr>
      <w:rFonts w:ascii="Times New Roman" w:hAnsi="Times New Roman" w:eastAsia="Times New Roman" w:cs="Times New Roman"/>
      <w:color w:val="00FFFF"/>
      <w:sz w:val="24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lineRule="atLeast" w:line="300"/>
      <w:jc w:val="both"/>
      <w:outlineLvl w:val="0"/>
    </w:pPr>
    <w:rPr>
      <w:b/>
      <w:caps/>
      <w:color w:val="auto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color w:val="auto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jc w:val="both"/>
      <w:outlineLvl w:val="2"/>
    </w:pPr>
    <w:rPr>
      <w:b/>
      <w:color w:val="auto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color w:val="auto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i/>
      <w:color w:val="auto"/>
      <w:u w:val="single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i/>
      <w:color w:val="auto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color w:val="auto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567"/>
        <w:tab w:val="left" w:pos="1843" w:leader="none"/>
        <w:tab w:val="left" w:pos="6521" w:leader="none"/>
      </w:tabs>
      <w:spacing w:lineRule="atLeast" w:line="300"/>
      <w:outlineLvl w:val="7"/>
    </w:pPr>
    <w:rPr>
      <w:i/>
      <w:color w:val="auto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tLeast" w:line="300"/>
      <w:jc w:val="center"/>
      <w:outlineLvl w:val="8"/>
    </w:pPr>
    <w:rPr>
      <w:b/>
      <w:caps/>
      <w:color w:val="FF0000"/>
      <w:sz w:val="32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  <w:sz w:val="16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Times New Roman" w:hAnsi="Times New Roman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Arial" w:hAnsi="Arial" w:cs="Arial"/>
    </w:rPr>
  </w:style>
  <w:style w:type="character" w:styleId="WW8Num19z0">
    <w:name w:val="WW8Num19z0"/>
    <w:qFormat/>
    <w:rPr>
      <w:rFonts w:ascii="Arial" w:hAnsi="Arial" w:cs="Arial"/>
      <w:sz w:val="20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Arial" w:hAnsi="Arial" w:cs="Arial"/>
      <w:sz w:val="20"/>
    </w:rPr>
  </w:style>
  <w:style w:type="character" w:styleId="WW8Num25z0">
    <w:name w:val="WW8Num25z0"/>
    <w:qFormat/>
    <w:rPr>
      <w:rFonts w:ascii="Symbol" w:hAnsi="Symbol" w:cs="Symbol"/>
      <w:sz w:val="16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  <w:sz w:val="16"/>
    </w:rPr>
  </w:style>
  <w:style w:type="character" w:styleId="WW8Num30z0">
    <w:name w:val="WW8Num30z0"/>
    <w:qFormat/>
    <w:rPr/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3z0">
    <w:name w:val="WW8Num33z0"/>
    <w:qFormat/>
    <w:rPr/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7z0">
    <w:name w:val="WW8NumSt7z0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Policepardfaut"/>
    <w:rPr/>
  </w:style>
  <w:style w:type="character" w:styleId="PieddepageCar">
    <w:name w:val="Pied de page Car"/>
    <w:qFormat/>
    <w:rPr>
      <w:color w:val="00FFFF"/>
      <w:sz w:val="24"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color w:val="auto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next w:val="Normal"/>
    <w:pPr>
      <w:widowControl/>
      <w:bidi w:val="0"/>
      <w:spacing w:lineRule="exact" w:line="240" w:before="0" w:after="480"/>
      <w:jc w:val="center"/>
    </w:pPr>
    <w:rPr>
      <w:rFonts w:ascii="Elite;Courier New" w:hAnsi="Elite;Courier New" w:eastAsia="Times New Roman" w:cs="Elite;Courier New"/>
      <w:color w:val="auto"/>
      <w:sz w:val="24"/>
      <w:szCs w:val="20"/>
      <w:lang w:val="fr-FR" w:bidi="ar-SA" w:eastAsia="zh-CN"/>
    </w:rPr>
  </w:style>
  <w:style w:type="paragraph" w:styleId="concerne">
    <w:name w:val="concerne"/>
    <w:basedOn w:val="Normal"/>
    <w:qFormat/>
    <w:pPr>
      <w:spacing w:before="1440" w:after="0"/>
      <w:ind w:hanging="1134" w:start="1134" w:end="0"/>
    </w:pPr>
    <w:rPr>
      <w:b/>
    </w:rPr>
  </w:style>
  <w:style w:type="paragraph" w:styleId="texte">
    <w:name w:val="texte"/>
    <w:basedOn w:val="Normal"/>
    <w:qFormat/>
    <w:pPr>
      <w:ind w:firstLine="1134" w:start="0" w:end="0"/>
      <w:jc w:val="both"/>
    </w:pPr>
    <w:rPr/>
  </w:style>
  <w:style w:type="paragraph" w:styleId="adresse">
    <w:name w:val="adresse"/>
    <w:basedOn w:val="Normal"/>
    <w:qFormat/>
    <w:pPr>
      <w:tabs>
        <w:tab w:val="clear" w:pos="567"/>
        <w:tab w:val="left" w:pos="4820" w:leader="none"/>
      </w:tabs>
      <w:spacing w:before="1920" w:after="0"/>
      <w:ind w:hanging="0" w:start="4820" w:end="0"/>
    </w:pPr>
    <w:rPr/>
  </w:style>
  <w:style w:type="paragraph" w:styleId="signature">
    <w:name w:val="signature"/>
    <w:basedOn w:val="Normal"/>
    <w:qFormat/>
    <w:pPr>
      <w:tabs>
        <w:tab w:val="clear" w:pos="567"/>
        <w:tab w:val="left" w:pos="5670" w:leader="none"/>
      </w:tabs>
      <w:ind w:hanging="0" w:start="5670" w:end="0"/>
    </w:pPr>
    <w:rPr/>
  </w:style>
  <w:style w:type="paragraph" w:styleId="rfrence">
    <w:name w:val="référence"/>
    <w:basedOn w:val="Normal"/>
    <w:qFormat/>
    <w:pPr/>
    <w:rPr/>
  </w:style>
  <w:style w:type="paragraph" w:styleId="rapport">
    <w:name w:val="rapport"/>
    <w:basedOn w:val="Normal"/>
    <w:qFormat/>
    <w:pPr>
      <w:ind w:hanging="0" w:start="567" w:end="0"/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oter">
    <w:name w:val="footer"/>
    <w:basedOn w:val="Normal"/>
    <w:pPr>
      <w:tabs>
        <w:tab w:val="clear" w:pos="567"/>
        <w:tab w:val="center" w:pos="4536" w:leader="none"/>
        <w:tab w:val="right" w:pos="9072" w:leader="none"/>
      </w:tabs>
    </w:pPr>
    <w:rPr/>
  </w:style>
  <w:style w:type="paragraph" w:styleId="Corpsdetexte2">
    <w:name w:val="Corps de texte 2"/>
    <w:basedOn w:val="Normal"/>
    <w:qFormat/>
    <w:p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jc w:val="both"/>
    </w:pPr>
    <w:rPr>
      <w:b/>
      <w:color w:val="auto"/>
    </w:rPr>
  </w:style>
  <w:style w:type="paragraph" w:styleId="Corpsdetexte3">
    <w:name w:val="Corps de texte 3"/>
    <w:basedOn w:val="Normal"/>
    <w:qFormat/>
    <w:pPr/>
    <w:rPr>
      <w:i/>
      <w:color w:val="auto"/>
    </w:rPr>
  </w:style>
  <w:style w:type="paragraph" w:styleId="BodyTextIndent">
    <w:name w:val="Body Text Indent"/>
    <w:basedOn w:val="Normal"/>
    <w:pPr>
      <w:tabs>
        <w:tab w:val="clear" w:pos="567"/>
        <w:tab w:val="left" w:pos="142" w:leader="none"/>
      </w:tabs>
      <w:spacing w:lineRule="atLeast" w:line="300"/>
      <w:ind w:hanging="0" w:start="360" w:end="0"/>
      <w:jc w:val="both"/>
    </w:pPr>
    <w:rPr>
      <w:i/>
      <w:color w:val="auto"/>
    </w:rPr>
  </w:style>
  <w:style w:type="paragraph" w:styleId="Puces1">
    <w:name w:val="Puces 1"/>
    <w:basedOn w:val="Normal"/>
    <w:qFormat/>
    <w:pPr>
      <w:numPr>
        <w:ilvl w:val="0"/>
        <w:numId w:val="2"/>
      </w:numPr>
      <w:tabs>
        <w:tab w:val="clear" w:pos="567"/>
        <w:tab w:val="left" w:pos="284" w:leader="none"/>
      </w:tabs>
      <w:spacing w:lineRule="atLeast" w:line="300"/>
      <w:jc w:val="both"/>
    </w:pPr>
    <w:rPr>
      <w:i/>
      <w:color w:val="auto"/>
    </w:rPr>
  </w:style>
  <w:style w:type="paragraph" w:styleId="Retraitcorpsdetexte2">
    <w:name w:val="Retrait corps de texte 2"/>
    <w:basedOn w:val="Normal"/>
    <w:qFormat/>
    <w:pPr>
      <w:tabs>
        <w:tab w:val="clear" w:pos="567"/>
        <w:tab w:val="left" w:pos="142" w:leader="none"/>
        <w:tab w:val="left" w:pos="284" w:leader="none"/>
      </w:tabs>
      <w:spacing w:lineRule="atLeast" w:line="300"/>
      <w:ind w:hanging="0" w:start="284" w:end="0"/>
      <w:jc w:val="both"/>
    </w:pPr>
    <w:rPr>
      <w:i/>
      <w:color w:val="auto"/>
    </w:rPr>
  </w:style>
  <w:style w:type="paragraph" w:styleId="Retraitcorpsdetexte3">
    <w:name w:val="Retrait corps de texte 3"/>
    <w:basedOn w:val="Normal"/>
    <w:qFormat/>
    <w:pPr>
      <w:tabs>
        <w:tab w:val="clear" w:pos="567"/>
        <w:tab w:val="left" w:pos="180" w:leader="none"/>
      </w:tabs>
      <w:spacing w:lineRule="atLeast" w:line="300"/>
      <w:ind w:hanging="0" w:start="357" w:end="0"/>
      <w:jc w:val="both"/>
    </w:pPr>
    <w:rPr>
      <w:i/>
      <w:color w:val="auto"/>
    </w:rPr>
  </w:style>
  <w:style w:type="paragraph" w:styleId="Puces2">
    <w:name w:val="Puces 2"/>
    <w:basedOn w:val="Puces1"/>
    <w:qFormat/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</w:pPr>
    <w:rPr>
      <w:i w:val="false"/>
    </w:rPr>
  </w:style>
  <w:style w:type="paragraph" w:styleId="puces11">
    <w:name w:val="puces 11"/>
    <w:basedOn w:val="Normal"/>
    <w:qFormat/>
    <w:pPr>
      <w:numPr>
        <w:ilvl w:val="0"/>
        <w:numId w:val="3"/>
      </w:numPr>
    </w:pPr>
    <w:rPr/>
  </w:style>
  <w:style w:type="paragraph" w:styleId="Cadre">
    <w:name w:val="Cadre"/>
    <w:basedOn w:val="Normal"/>
    <w:qFormat/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pacing w:lineRule="atLeast" w:line="300"/>
      <w:jc w:val="both"/>
    </w:pPr>
    <w:rPr>
      <w:color w:val="auto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2010-09-09T08:20:00Z</dcterms:created>
  <dc:creator>MRW</dc:creator>
  <dc:description/>
  <cp:keywords/>
  <dc:language>fr-FR</dc:language>
  <cp:lastModifiedBy>MICHAUX Gauthier</cp:lastModifiedBy>
  <cp:lastPrinted>2011-03-23T14:22:00Z</cp:lastPrinted>
  <dcterms:modified xsi:type="dcterms:W3CDTF">2019-11-27T16:28:00Z</dcterms:modified>
  <cp:revision>7</cp:revision>
  <dc:subject/>
  <dc:title>03.06.97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ActionId">
    <vt:lpwstr>076b5be6-a58f-47fb-848e-c5823bb36d63</vt:lpwstr>
  </property>
  <property fmtid="{D5CDD505-2E9C-101B-9397-08002B2CF9AE}" pid="3" name="MSIP_Label_e72a09c5-6e26-4737-a926-47ef1ab198ae_Application">
    <vt:lpwstr>Microsoft Azure Information Protection</vt:lpwstr>
  </property>
  <property fmtid="{D5CDD505-2E9C-101B-9397-08002B2CF9AE}" pid="4" name="MSIP_Label_e72a09c5-6e26-4737-a926-47ef1ab198ae_Enabled">
    <vt:lpwstr>True</vt:lpwstr>
  </property>
  <property fmtid="{D5CDD505-2E9C-101B-9397-08002B2CF9AE}" pid="5" name="MSIP_Label_e72a09c5-6e26-4737-a926-47ef1ab198ae_Extended_MSFT_Method">
    <vt:lpwstr>Automatic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Owner">
    <vt:lpwstr>gauthier.michaux@spw.wallonie.be</vt:lpwstr>
  </property>
  <property fmtid="{D5CDD505-2E9C-101B-9397-08002B2CF9AE}" pid="8" name="MSIP_Label_e72a09c5-6e26-4737-a926-47ef1ab198ae_SetDate">
    <vt:lpwstr>2019-11-27T14:28:11.2364083Z</vt:lpwstr>
  </property>
  <property fmtid="{D5CDD505-2E9C-101B-9397-08002B2CF9AE}" pid="9" name="MSIP_Label_e72a09c5-6e26-4737-a926-47ef1ab198ae_SiteId">
    <vt:lpwstr>1f816a84-7aa6-4a56-b22a-7b3452fa8681</vt:lpwstr>
  </property>
  <property fmtid="{D5CDD505-2E9C-101B-9397-08002B2CF9AE}" pid="10" name="Sensitivity">
    <vt:lpwstr>Confidentiel</vt:lpwstr>
  </property>
</Properties>
</file>