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1A445B" w14:textId="77777777" w:rsidR="00B4765E" w:rsidRPr="00FF4B0F" w:rsidRDefault="00B4765E" w:rsidP="00B4765E">
      <w:pPr>
        <w:spacing w:line="240" w:lineRule="auto"/>
        <w:jc w:val="center"/>
        <w:rPr>
          <w:rFonts w:cs="Arial"/>
          <w:b/>
          <w:bCs/>
          <w:sz w:val="28"/>
          <w:szCs w:val="28"/>
        </w:rPr>
      </w:pPr>
      <w:r w:rsidRPr="00FF4B0F">
        <w:rPr>
          <w:rFonts w:cs="Arial"/>
          <w:b/>
          <w:bCs/>
          <w:sz w:val="28"/>
          <w:szCs w:val="28"/>
        </w:rPr>
        <w:t>UNIVERSIDAD DE COSTA RICA</w:t>
      </w:r>
    </w:p>
    <w:p w14:paraId="2ABD1720" w14:textId="77777777" w:rsidR="00B4765E" w:rsidRPr="00FF4B0F" w:rsidRDefault="00B4765E" w:rsidP="00B4765E">
      <w:pPr>
        <w:spacing w:line="240" w:lineRule="auto"/>
        <w:jc w:val="center"/>
        <w:rPr>
          <w:rFonts w:cs="Arial"/>
          <w:b/>
          <w:bCs/>
          <w:sz w:val="28"/>
          <w:szCs w:val="28"/>
        </w:rPr>
      </w:pPr>
      <w:r w:rsidRPr="00FF4B0F">
        <w:rPr>
          <w:rFonts w:cs="Arial"/>
          <w:b/>
          <w:bCs/>
          <w:sz w:val="28"/>
          <w:szCs w:val="28"/>
        </w:rPr>
        <w:t>Sede de Occidente</w:t>
      </w:r>
    </w:p>
    <w:p w14:paraId="332CE5B7" w14:textId="77777777" w:rsidR="00B4765E" w:rsidRPr="00FF4B0F" w:rsidRDefault="00B4765E" w:rsidP="00B4765E">
      <w:pPr>
        <w:spacing w:line="240" w:lineRule="auto"/>
        <w:jc w:val="center"/>
        <w:rPr>
          <w:rFonts w:cs="Arial"/>
          <w:b/>
          <w:bCs/>
          <w:sz w:val="28"/>
          <w:szCs w:val="28"/>
        </w:rPr>
      </w:pPr>
      <w:r w:rsidRPr="00FF4B0F">
        <w:rPr>
          <w:rFonts w:cs="Arial"/>
          <w:b/>
          <w:bCs/>
          <w:sz w:val="28"/>
          <w:szCs w:val="28"/>
        </w:rPr>
        <w:t>Carrera de informática Empresarial</w:t>
      </w:r>
    </w:p>
    <w:p w14:paraId="5C757512" w14:textId="77777777" w:rsidR="00B4765E" w:rsidRPr="00FF4B0F" w:rsidRDefault="00B4765E" w:rsidP="00B4765E">
      <w:pPr>
        <w:spacing w:line="240" w:lineRule="auto"/>
        <w:jc w:val="center"/>
        <w:rPr>
          <w:rFonts w:cs="Arial"/>
          <w:b/>
          <w:bCs/>
          <w:sz w:val="28"/>
          <w:szCs w:val="28"/>
        </w:rPr>
      </w:pPr>
    </w:p>
    <w:p w14:paraId="21191A58" w14:textId="77777777" w:rsidR="00B4765E" w:rsidRDefault="00B4765E" w:rsidP="00B4765E">
      <w:pPr>
        <w:spacing w:after="240"/>
        <w:jc w:val="center"/>
        <w:rPr>
          <w:rFonts w:cs="Arial"/>
          <w:b/>
          <w:bCs/>
          <w:sz w:val="28"/>
          <w:szCs w:val="28"/>
        </w:rPr>
      </w:pPr>
      <w:r w:rsidRPr="00FF4B0F">
        <w:rPr>
          <w:rFonts w:cs="Arial"/>
          <w:b/>
          <w:bCs/>
          <w:sz w:val="28"/>
          <w:szCs w:val="28"/>
        </w:rPr>
        <w:t>Modalidad Regular</w:t>
      </w:r>
    </w:p>
    <w:p w14:paraId="2FFA215E" w14:textId="6CED149A" w:rsidR="00B4765E" w:rsidRPr="00FF4B0F" w:rsidRDefault="00B4765E" w:rsidP="00B4765E">
      <w:pPr>
        <w:spacing w:after="240"/>
        <w:jc w:val="center"/>
        <w:rPr>
          <w:rFonts w:cs="Arial"/>
          <w:b/>
          <w:bCs/>
          <w:sz w:val="28"/>
          <w:szCs w:val="28"/>
        </w:rPr>
      </w:pPr>
      <w:r>
        <w:rPr>
          <w:rFonts w:cs="Arial"/>
          <w:b/>
          <w:bCs/>
          <w:sz w:val="28"/>
          <w:szCs w:val="28"/>
        </w:rPr>
        <w:t>IF</w:t>
      </w:r>
      <w:r w:rsidRPr="00B4765E">
        <w:rPr>
          <w:rFonts w:cs="Arial"/>
          <w:b/>
          <w:bCs/>
          <w:sz w:val="28"/>
          <w:szCs w:val="28"/>
        </w:rPr>
        <w:t xml:space="preserve">6201 - </w:t>
      </w:r>
      <w:r>
        <w:rPr>
          <w:rFonts w:cs="Arial"/>
          <w:b/>
          <w:bCs/>
          <w:sz w:val="28"/>
          <w:szCs w:val="28"/>
        </w:rPr>
        <w:t>I</w:t>
      </w:r>
      <w:r w:rsidRPr="00B4765E">
        <w:rPr>
          <w:rFonts w:cs="Arial"/>
          <w:b/>
          <w:bCs/>
          <w:sz w:val="28"/>
          <w:szCs w:val="28"/>
        </w:rPr>
        <w:t xml:space="preserve">nformática </w:t>
      </w:r>
      <w:r>
        <w:rPr>
          <w:rFonts w:cs="Arial"/>
          <w:b/>
          <w:bCs/>
          <w:sz w:val="28"/>
          <w:szCs w:val="28"/>
        </w:rPr>
        <w:t>A</w:t>
      </w:r>
      <w:r w:rsidRPr="00B4765E">
        <w:rPr>
          <w:rFonts w:cs="Arial"/>
          <w:b/>
          <w:bCs/>
          <w:sz w:val="28"/>
          <w:szCs w:val="28"/>
        </w:rPr>
        <w:t xml:space="preserve">plicada a los </w:t>
      </w:r>
      <w:r>
        <w:rPr>
          <w:rFonts w:cs="Arial"/>
          <w:b/>
          <w:bCs/>
          <w:sz w:val="28"/>
          <w:szCs w:val="28"/>
        </w:rPr>
        <w:t>N</w:t>
      </w:r>
      <w:r w:rsidRPr="00B4765E">
        <w:rPr>
          <w:rFonts w:cs="Arial"/>
          <w:b/>
          <w:bCs/>
          <w:sz w:val="28"/>
          <w:szCs w:val="28"/>
        </w:rPr>
        <w:t>egocios</w:t>
      </w:r>
    </w:p>
    <w:p w14:paraId="5B145D89" w14:textId="3CDD5CEB" w:rsidR="00B4765E" w:rsidRPr="00FF4B0F" w:rsidRDefault="00B4765E" w:rsidP="00B4765E">
      <w:pPr>
        <w:spacing w:after="240"/>
        <w:jc w:val="center"/>
        <w:rPr>
          <w:rFonts w:cs="Arial"/>
          <w:b/>
          <w:bCs/>
          <w:sz w:val="28"/>
          <w:szCs w:val="28"/>
        </w:rPr>
      </w:pPr>
      <w:r>
        <w:rPr>
          <w:rFonts w:cs="Arial"/>
          <w:b/>
          <w:bCs/>
          <w:sz w:val="28"/>
          <w:szCs w:val="28"/>
        </w:rPr>
        <w:t xml:space="preserve">Trabajo de Investigación: enfoque gerencial sobre la herramienta de Camunda + bpmn.io. </w:t>
      </w:r>
    </w:p>
    <w:p w14:paraId="37553A1F" w14:textId="77777777" w:rsidR="00B4765E" w:rsidRPr="00FF4B0F" w:rsidRDefault="00B4765E" w:rsidP="00B4765E">
      <w:pPr>
        <w:spacing w:line="240" w:lineRule="auto"/>
        <w:jc w:val="center"/>
        <w:rPr>
          <w:rFonts w:cs="Arial"/>
          <w:b/>
          <w:bCs/>
          <w:sz w:val="28"/>
          <w:szCs w:val="28"/>
        </w:rPr>
      </w:pPr>
    </w:p>
    <w:p w14:paraId="5BA37992" w14:textId="77777777" w:rsidR="00B4765E" w:rsidRPr="00FF4B0F" w:rsidRDefault="00B4765E" w:rsidP="00B4765E">
      <w:pPr>
        <w:spacing w:line="240" w:lineRule="auto"/>
        <w:jc w:val="center"/>
        <w:rPr>
          <w:rFonts w:cs="Arial"/>
          <w:b/>
          <w:bCs/>
          <w:sz w:val="28"/>
          <w:szCs w:val="28"/>
        </w:rPr>
      </w:pPr>
      <w:r w:rsidRPr="00FF4B0F">
        <w:rPr>
          <w:rFonts w:cs="Arial"/>
          <w:b/>
          <w:bCs/>
          <w:sz w:val="28"/>
          <w:szCs w:val="28"/>
        </w:rPr>
        <w:t>Integrantes:</w:t>
      </w:r>
    </w:p>
    <w:p w14:paraId="17C34B85" w14:textId="56D01A39" w:rsidR="00B4765E" w:rsidRPr="00B4765E" w:rsidRDefault="00B4765E" w:rsidP="00B4765E">
      <w:pPr>
        <w:jc w:val="center"/>
        <w:rPr>
          <w:rFonts w:cs="Arial"/>
          <w:sz w:val="28"/>
          <w:szCs w:val="28"/>
        </w:rPr>
      </w:pPr>
      <w:r w:rsidRPr="00FF4B0F">
        <w:rPr>
          <w:rFonts w:cs="Arial"/>
          <w:sz w:val="28"/>
          <w:szCs w:val="28"/>
        </w:rPr>
        <w:t>Kendal Trejos Cubero C4K374</w:t>
      </w:r>
    </w:p>
    <w:p w14:paraId="3E965174" w14:textId="5180A897" w:rsidR="00B4765E" w:rsidRPr="00B4765E" w:rsidRDefault="00B4765E" w:rsidP="00B4765E">
      <w:pPr>
        <w:spacing w:line="240" w:lineRule="auto"/>
        <w:jc w:val="center"/>
        <w:rPr>
          <w:rFonts w:cs="Arial"/>
          <w:sz w:val="28"/>
          <w:szCs w:val="28"/>
        </w:rPr>
      </w:pPr>
      <w:r w:rsidRPr="00B4765E">
        <w:rPr>
          <w:rFonts w:cs="Arial"/>
          <w:sz w:val="28"/>
          <w:szCs w:val="28"/>
        </w:rPr>
        <w:t xml:space="preserve"> Sebastián Alfaro Arias C4C212</w:t>
      </w:r>
    </w:p>
    <w:p w14:paraId="27BFA349" w14:textId="77777777" w:rsidR="00B4765E" w:rsidRPr="00FF4B0F" w:rsidRDefault="00B4765E" w:rsidP="00B4765E">
      <w:pPr>
        <w:spacing w:line="240" w:lineRule="auto"/>
        <w:jc w:val="center"/>
        <w:rPr>
          <w:rFonts w:cs="Arial"/>
          <w:b/>
          <w:bCs/>
          <w:sz w:val="28"/>
          <w:szCs w:val="28"/>
        </w:rPr>
      </w:pPr>
    </w:p>
    <w:p w14:paraId="7DE800AE" w14:textId="77777777" w:rsidR="00B4765E" w:rsidRDefault="00B4765E" w:rsidP="00B4765E">
      <w:pPr>
        <w:spacing w:line="240" w:lineRule="auto"/>
        <w:jc w:val="center"/>
        <w:rPr>
          <w:rFonts w:cs="Arial"/>
          <w:b/>
          <w:bCs/>
          <w:sz w:val="28"/>
          <w:szCs w:val="28"/>
        </w:rPr>
      </w:pPr>
    </w:p>
    <w:p w14:paraId="0F5D7F61" w14:textId="77777777" w:rsidR="00B4765E" w:rsidRDefault="00B4765E" w:rsidP="00B4765E">
      <w:pPr>
        <w:spacing w:line="240" w:lineRule="auto"/>
        <w:jc w:val="center"/>
        <w:rPr>
          <w:rFonts w:cs="Arial"/>
          <w:b/>
          <w:bCs/>
          <w:sz w:val="28"/>
          <w:szCs w:val="28"/>
        </w:rPr>
      </w:pPr>
    </w:p>
    <w:p w14:paraId="58995036" w14:textId="77777777" w:rsidR="00B4765E" w:rsidRDefault="00B4765E" w:rsidP="00B4765E">
      <w:pPr>
        <w:spacing w:line="240" w:lineRule="auto"/>
        <w:jc w:val="center"/>
        <w:rPr>
          <w:rFonts w:cs="Arial"/>
          <w:b/>
          <w:bCs/>
          <w:sz w:val="28"/>
          <w:szCs w:val="28"/>
        </w:rPr>
      </w:pPr>
    </w:p>
    <w:p w14:paraId="7D741CBC" w14:textId="77777777" w:rsidR="00B4765E" w:rsidRDefault="00B4765E" w:rsidP="00B4765E">
      <w:pPr>
        <w:spacing w:line="240" w:lineRule="auto"/>
        <w:jc w:val="center"/>
        <w:rPr>
          <w:rFonts w:cs="Arial"/>
          <w:b/>
          <w:bCs/>
          <w:sz w:val="28"/>
          <w:szCs w:val="28"/>
        </w:rPr>
      </w:pPr>
    </w:p>
    <w:p w14:paraId="30313251" w14:textId="77777777" w:rsidR="00B4765E" w:rsidRDefault="00B4765E" w:rsidP="00B4765E">
      <w:pPr>
        <w:spacing w:line="240" w:lineRule="auto"/>
        <w:jc w:val="center"/>
        <w:rPr>
          <w:rFonts w:cs="Arial"/>
          <w:b/>
          <w:bCs/>
          <w:sz w:val="28"/>
          <w:szCs w:val="28"/>
        </w:rPr>
      </w:pPr>
    </w:p>
    <w:p w14:paraId="1EEFD121" w14:textId="77777777" w:rsidR="00B4765E" w:rsidRDefault="00B4765E" w:rsidP="00B4765E">
      <w:pPr>
        <w:spacing w:line="240" w:lineRule="auto"/>
        <w:jc w:val="center"/>
        <w:rPr>
          <w:rFonts w:cs="Arial"/>
          <w:b/>
          <w:bCs/>
          <w:sz w:val="28"/>
          <w:szCs w:val="28"/>
        </w:rPr>
      </w:pPr>
    </w:p>
    <w:p w14:paraId="557F2CF8" w14:textId="77777777" w:rsidR="00B4765E" w:rsidRPr="00FF4B0F" w:rsidRDefault="00B4765E" w:rsidP="00B4765E">
      <w:pPr>
        <w:spacing w:line="240" w:lineRule="auto"/>
        <w:jc w:val="center"/>
        <w:rPr>
          <w:rFonts w:cs="Arial"/>
          <w:b/>
          <w:bCs/>
          <w:sz w:val="28"/>
          <w:szCs w:val="28"/>
        </w:rPr>
      </w:pPr>
    </w:p>
    <w:p w14:paraId="486F1942" w14:textId="77777777" w:rsidR="00B4765E" w:rsidRPr="00FF4B0F" w:rsidRDefault="00B4765E" w:rsidP="00B4765E">
      <w:pPr>
        <w:jc w:val="center"/>
        <w:rPr>
          <w:rFonts w:cs="Arial"/>
          <w:b/>
          <w:bCs/>
          <w:sz w:val="28"/>
          <w:szCs w:val="28"/>
        </w:rPr>
      </w:pPr>
      <w:r w:rsidRPr="00FF4B0F">
        <w:rPr>
          <w:rFonts w:cs="Arial"/>
          <w:b/>
          <w:bCs/>
          <w:sz w:val="28"/>
          <w:szCs w:val="28"/>
        </w:rPr>
        <w:t>Profesora:</w:t>
      </w:r>
    </w:p>
    <w:p w14:paraId="6928D12A" w14:textId="77777777" w:rsidR="00B4765E" w:rsidRPr="00FF4B0F" w:rsidRDefault="00B4765E" w:rsidP="00B4765E">
      <w:pPr>
        <w:jc w:val="center"/>
        <w:rPr>
          <w:rFonts w:cs="Arial"/>
          <w:b/>
          <w:bCs/>
          <w:sz w:val="28"/>
          <w:szCs w:val="28"/>
        </w:rPr>
      </w:pPr>
      <w:r w:rsidRPr="00FF4B0F">
        <w:rPr>
          <w:rFonts w:cs="Arial"/>
          <w:b/>
          <w:bCs/>
          <w:sz w:val="28"/>
          <w:szCs w:val="28"/>
        </w:rPr>
        <w:t>Iyubanit Rodríguez Ramírez</w:t>
      </w:r>
    </w:p>
    <w:p w14:paraId="47A5DD1E" w14:textId="3A85E841" w:rsidR="00F07C0A" w:rsidRDefault="00B4765E" w:rsidP="00B4765E">
      <w:pPr>
        <w:jc w:val="center"/>
        <w:rPr>
          <w:rFonts w:cs="Arial"/>
          <w:b/>
          <w:bCs/>
          <w:sz w:val="28"/>
          <w:szCs w:val="28"/>
        </w:rPr>
      </w:pPr>
      <w:r w:rsidRPr="00FF4B0F">
        <w:rPr>
          <w:rFonts w:cs="Arial"/>
          <w:b/>
          <w:bCs/>
          <w:sz w:val="28"/>
          <w:szCs w:val="28"/>
        </w:rPr>
        <w:t xml:space="preserve">Segundo Ciclo, Año </w:t>
      </w:r>
      <w:r>
        <w:rPr>
          <w:rFonts w:cs="Arial"/>
          <w:b/>
          <w:bCs/>
          <w:sz w:val="28"/>
          <w:szCs w:val="28"/>
        </w:rPr>
        <w:t>2026</w:t>
      </w:r>
    </w:p>
    <w:p w14:paraId="337C15EC" w14:textId="77777777" w:rsidR="00B4765E" w:rsidRDefault="00B4765E" w:rsidP="00B4765E">
      <w:pPr>
        <w:jc w:val="center"/>
        <w:rPr>
          <w:rFonts w:cs="Arial"/>
          <w:b/>
          <w:bCs/>
          <w:sz w:val="28"/>
          <w:szCs w:val="28"/>
        </w:rPr>
      </w:pPr>
    </w:p>
    <w:p w14:paraId="578D47C3" w14:textId="5BB57F66" w:rsidR="00B4765E" w:rsidRDefault="00B4765E" w:rsidP="00B4765E">
      <w:pPr>
        <w:pStyle w:val="Titulo11"/>
      </w:pPr>
      <w:r w:rsidRPr="00B4765E">
        <w:lastRenderedPageBreak/>
        <w:t xml:space="preserve">Introducción. </w:t>
      </w:r>
    </w:p>
    <w:p w14:paraId="1D44AF36" w14:textId="7AA6A3BB" w:rsidR="00B4765E" w:rsidRDefault="00A024F2" w:rsidP="00A024F2">
      <w:pPr>
        <w:ind w:firstLine="360"/>
      </w:pPr>
      <w:r>
        <w:t>Camunda es una plataforma de orquestación de procesos de negocio (Business Process Management - BPM) que permite modelar, automatizar y monitorear procesos empresariales utilizando el estándar internacional BPMN 2.0 (Business Process Management Notation)</w:t>
      </w:r>
      <w:r w:rsidR="00540E0E">
        <w:t xml:space="preserve">. </w:t>
      </w:r>
      <w:r>
        <w:t xml:space="preserve">Camunda permite que los procesos diseñados visualmente se conviertan en flujos de trabajo reales que se ejecutan, monitorean y automatizan dentro de una organización </w:t>
      </w:r>
      <w:r w:rsidR="00540E0E">
        <w:t>(Camunda, s.f.).</w:t>
      </w:r>
    </w:p>
    <w:p w14:paraId="0E019DA5" w14:textId="2C2FE978" w:rsidR="00A024F2" w:rsidRDefault="00A024F2" w:rsidP="00A024F2">
      <w:pPr>
        <w:ind w:firstLine="360"/>
      </w:pPr>
      <w:r>
        <w:t>Por otra parte, bpmn.io es una librería de código abierto sobre la cuál está construido el Camunda Desktop Modeles, la herramienta de modelado utilizada para diseñar los diagramas BPMN Y DMN (Decision Model and Notation). En conjunto, Camunda y bpmn.io ofrecen una solución que cubre tanto el diseño como la ejecución y el monitoreo de procesos de negocio, sin requerir herramientas adicionales para cada una de las etapas</w:t>
      </w:r>
      <w:r w:rsidR="00540E0E">
        <w:t xml:space="preserve"> (</w:t>
      </w:r>
      <w:r w:rsidR="00540E0E" w:rsidRPr="00540E0E">
        <w:t>Camunda Services GmbH</w:t>
      </w:r>
      <w:r w:rsidR="00540E0E">
        <w:t>, 2026).</w:t>
      </w:r>
    </w:p>
    <w:p w14:paraId="50AEFECF" w14:textId="6683E575" w:rsidR="00A024F2" w:rsidRDefault="00A024F2" w:rsidP="00A024F2">
      <w:pPr>
        <w:ind w:firstLine="360"/>
      </w:pPr>
      <w:r>
        <w:t xml:space="preserve">Desde la perspectiva comercial, Camunda se posiciona como una herramienta de automatización de procesos que combina flexibilidad técnica (al ser de código abierto) con capacidad de escalar a un entorno empresarial mediante sus ediciones de producción y servicio en la nube (Camunda SaaS). Esto la hace muy atractiva tanto para equipos técnicos que buscan un control total sobre sus infraestructuras, como para organizaciones que prefieren pagar por un proveedor especializado que se encargue de la operación. </w:t>
      </w:r>
    </w:p>
    <w:p w14:paraId="06B25032" w14:textId="60AA6809" w:rsidR="00A024F2" w:rsidRDefault="00A024F2" w:rsidP="00540E0E">
      <w:pPr>
        <w:ind w:firstLine="360"/>
      </w:pPr>
      <w:r>
        <w:t xml:space="preserve">En el presente documento se analiza la herramienta Camunda + bpmn.io aplicada a un caso hipotético de implementación en MaxiMundo, una empresa ficticia de comercio electrónico tipo Marketplace, con el fin de demostrar su potencial para automatizar procesos reales de negocio. </w:t>
      </w:r>
    </w:p>
    <w:p w14:paraId="497BC968" w14:textId="4FCA931D" w:rsidR="00B4765E" w:rsidRDefault="00B4765E" w:rsidP="00B4765E">
      <w:pPr>
        <w:pStyle w:val="Titulo11"/>
      </w:pPr>
      <w:r>
        <w:t xml:space="preserve">Contexto. </w:t>
      </w:r>
    </w:p>
    <w:p w14:paraId="6001820B" w14:textId="1DAF05AD" w:rsidR="00B4765E" w:rsidRDefault="00540E0E" w:rsidP="00D00838">
      <w:pPr>
        <w:ind w:firstLine="360"/>
      </w:pPr>
      <w:r>
        <w:t xml:space="preserve">MaxiMundo es una empresa ficticia que opera como un Marketplace de comercio electrónico </w:t>
      </w:r>
      <w:r w:rsidR="00D00838">
        <w:t xml:space="preserve">multi-categoría en Latinoamérica, conectando vendedores con compradores finales a través de una plataforma en línea, de manera similar a empresas como Amazon y Temu. Como parte de la operación diaria de MaxiMundo, se generan grandes </w:t>
      </w:r>
      <w:r w:rsidR="00D00838">
        <w:lastRenderedPageBreak/>
        <w:t xml:space="preserve">volúmenes de pedidos que involucran distintas etapas, desde la recepción del pedido, confirmación de pago, preparación logística y entrega al cliente final. </w:t>
      </w:r>
    </w:p>
    <w:p w14:paraId="0CB5EB51" w14:textId="2C3EB91B" w:rsidR="00D00838" w:rsidRDefault="00D00838" w:rsidP="00D00838">
      <w:pPr>
        <w:ind w:firstLine="360"/>
      </w:pPr>
      <w:r>
        <w:t xml:space="preserve">Para efectos de esta investigación. Se utiliza como base el histórico de pedidos (log de datos) de Brazilian E-Commerce Public Dataset by Olist (CITAAAA), una serie de datasets públicos que documenta cerca de 99 000 pedidos; incluyendo información sobre métodos de pago, tiempos de aprobación, entregas y calificaciones de los clientes. Este histórico de pedidos se utiliza como caso hipotético equivalente al comportamiento que tendría MaxiMundo, permitiendo así el análisis de datos reales en lugar de datos completamente ficticios. </w:t>
      </w:r>
    </w:p>
    <w:p w14:paraId="02ED7D12" w14:textId="6580C30F" w:rsidR="00D00838" w:rsidRDefault="00D00838" w:rsidP="00D00838">
      <w:pPr>
        <w:ind w:firstLine="360"/>
      </w:pPr>
      <w:r>
        <w:t xml:space="preserve">Actualmente, el proceso de gestión de pedidos de MaxiMundo se ejecuta de manera manual y de forma dispersa entre los equipos de logística, pagos y atención al cliente, todo sin un mecanismo centralizado que permita monitorear en tiempo real el estado de los pedidos ni automatizar ciertas decisiones (como la validación de métodos de pago). Ante esta situación, la gerencia evalúa la implementación de Camunda como plataforma de orquestación de procesos, con el fin de automatizar y visibilizar el proceso de </w:t>
      </w:r>
      <w:r>
        <w:rPr>
          <w:i/>
          <w:iCs/>
        </w:rPr>
        <w:t>pedido a entrega</w:t>
      </w:r>
      <w:r>
        <w:t xml:space="preserve">. </w:t>
      </w:r>
    </w:p>
    <w:p w14:paraId="2B4CA312" w14:textId="4729AFB5" w:rsidR="00B4765E" w:rsidRDefault="00B4765E" w:rsidP="00B4765E">
      <w:pPr>
        <w:pStyle w:val="Titulo11"/>
      </w:pPr>
      <w:r>
        <w:t xml:space="preserve">Justificación. </w:t>
      </w:r>
    </w:p>
    <w:p w14:paraId="1F9D889B" w14:textId="1E9CDA50" w:rsidR="00B4765E" w:rsidRDefault="00C926FD" w:rsidP="00C926FD">
      <w:pPr>
        <w:ind w:left="360"/>
      </w:pPr>
      <w:r>
        <w:t xml:space="preserve">La decisión de la gerencia de MaxiMundo de implementar Camunda responde a hallazgos identificados al anaizar el histórico de pedidos de la empresa. Se identificaron tres situaciones operativas que justifican la necesidad de automatizar el proceso de pedido a entrega: </w:t>
      </w:r>
    </w:p>
    <w:p w14:paraId="620804B9" w14:textId="6AF23FD0" w:rsidR="00C926FD" w:rsidRPr="00A128ED" w:rsidRDefault="00C926FD" w:rsidP="00C926FD">
      <w:pPr>
        <w:pStyle w:val="Prrafodelista"/>
        <w:numPr>
          <w:ilvl w:val="0"/>
          <w:numId w:val="2"/>
        </w:numPr>
        <w:rPr>
          <w:b/>
          <w:bCs/>
        </w:rPr>
      </w:pPr>
      <w:r w:rsidRPr="00A128ED">
        <w:rPr>
          <w:b/>
          <w:bCs/>
        </w:rPr>
        <w:t xml:space="preserve">Diferencias significativas en el tiempo de confirmación según el método de pago: </w:t>
      </w:r>
      <w:r>
        <w:t xml:space="preserve">el análisis del histórico de pedidos </w:t>
      </w:r>
      <w:r w:rsidR="00895A60">
        <w:t xml:space="preserve">resumido en la Tabla 1, </w:t>
      </w:r>
      <w:r>
        <w:t>revela que los pedidos pagados mediante boleto bancario tardan en promedio 33.1 horas en confirmarse, contra 4.6 horas en el caso de pagos con tarjeta de crédito</w:t>
      </w:r>
      <w:r w:rsidR="00895A60">
        <w:t>, 9.55 con tarjeta de débito y 8.35 con voucher</w:t>
      </w:r>
      <w:r w:rsidR="00A128ED">
        <w:t xml:space="preserve">. </w:t>
      </w:r>
      <w:r w:rsidRPr="00A128ED">
        <w:rPr>
          <w:b/>
          <w:bCs/>
        </w:rPr>
        <w:t xml:space="preserve">Tabla 1. Tiempo de aprobación por método de pago. </w:t>
      </w:r>
      <w:r w:rsidR="00A128ED">
        <w:rPr>
          <w:b/>
          <w:bCs/>
        </w:rPr>
        <w:tab/>
      </w:r>
    </w:p>
    <w:tbl>
      <w:tblPr>
        <w:tblStyle w:val="Tablaconcuadrcula5oscura-nfasis5"/>
        <w:tblW w:w="0" w:type="auto"/>
        <w:tblLook w:val="04A0" w:firstRow="1" w:lastRow="0" w:firstColumn="1" w:lastColumn="0" w:noHBand="0" w:noVBand="1"/>
      </w:tblPr>
      <w:tblGrid>
        <w:gridCol w:w="4495"/>
        <w:gridCol w:w="4855"/>
      </w:tblGrid>
      <w:tr w:rsidR="00C926FD" w14:paraId="76FD637B" w14:textId="77777777" w:rsidTr="00C926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95" w:type="dxa"/>
          </w:tcPr>
          <w:p w14:paraId="13442AC2" w14:textId="6CCFE943" w:rsidR="00C926FD" w:rsidRDefault="00C926FD" w:rsidP="00C926FD">
            <w:pPr>
              <w:pStyle w:val="Prrafodelista"/>
              <w:ind w:left="0"/>
            </w:pPr>
            <w:r>
              <w:rPr>
                <w:b w:val="0"/>
                <w:bCs w:val="0"/>
                <w:color w:val="auto"/>
              </w:rPr>
              <w:t xml:space="preserve">Método de pago </w:t>
            </w:r>
          </w:p>
        </w:tc>
        <w:tc>
          <w:tcPr>
            <w:tcW w:w="4855" w:type="dxa"/>
          </w:tcPr>
          <w:p w14:paraId="39290DA6" w14:textId="72C95D40" w:rsidR="00C926FD" w:rsidRDefault="00C926FD" w:rsidP="00C926FD">
            <w:pPr>
              <w:pStyle w:val="Prrafodelista"/>
              <w:ind w:left="0"/>
              <w:cnfStyle w:val="100000000000" w:firstRow="1" w:lastRow="0" w:firstColumn="0" w:lastColumn="0" w:oddVBand="0" w:evenVBand="0" w:oddHBand="0" w:evenHBand="0" w:firstRowFirstColumn="0" w:firstRowLastColumn="0" w:lastRowFirstColumn="0" w:lastRowLastColumn="0"/>
            </w:pPr>
            <w:r>
              <w:t>Tiempo promedio de aprobación (horas)</w:t>
            </w:r>
          </w:p>
        </w:tc>
      </w:tr>
      <w:tr w:rsidR="00C926FD" w14:paraId="1D49C8E5" w14:textId="77777777" w:rsidTr="00C926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95" w:type="dxa"/>
          </w:tcPr>
          <w:p w14:paraId="71DE5F24" w14:textId="61C67149" w:rsidR="00C926FD" w:rsidRDefault="00C926FD" w:rsidP="00C926FD">
            <w:pPr>
              <w:pStyle w:val="Prrafodelista"/>
              <w:ind w:left="0"/>
            </w:pPr>
            <w:r>
              <w:t xml:space="preserve">Boleto </w:t>
            </w:r>
          </w:p>
        </w:tc>
        <w:tc>
          <w:tcPr>
            <w:tcW w:w="4855" w:type="dxa"/>
          </w:tcPr>
          <w:p w14:paraId="7AF4D2D9" w14:textId="390072BB" w:rsidR="00C926FD" w:rsidRDefault="00C926FD" w:rsidP="00C926FD">
            <w:pPr>
              <w:pStyle w:val="Prrafodelista"/>
              <w:ind w:left="0"/>
              <w:cnfStyle w:val="000000100000" w:firstRow="0" w:lastRow="0" w:firstColumn="0" w:lastColumn="0" w:oddVBand="0" w:evenVBand="0" w:oddHBand="1" w:evenHBand="0" w:firstRowFirstColumn="0" w:firstRowLastColumn="0" w:lastRowFirstColumn="0" w:lastRowLastColumn="0"/>
            </w:pPr>
            <w:r>
              <w:t>33.12</w:t>
            </w:r>
          </w:p>
        </w:tc>
      </w:tr>
      <w:tr w:rsidR="00C926FD" w14:paraId="029D080B" w14:textId="77777777" w:rsidTr="00C926FD">
        <w:tc>
          <w:tcPr>
            <w:cnfStyle w:val="001000000000" w:firstRow="0" w:lastRow="0" w:firstColumn="1" w:lastColumn="0" w:oddVBand="0" w:evenVBand="0" w:oddHBand="0" w:evenHBand="0" w:firstRowFirstColumn="0" w:firstRowLastColumn="0" w:lastRowFirstColumn="0" w:lastRowLastColumn="0"/>
            <w:tcW w:w="4495" w:type="dxa"/>
          </w:tcPr>
          <w:p w14:paraId="32ACA89F" w14:textId="358D4CEF" w:rsidR="00C926FD" w:rsidRDefault="00C926FD" w:rsidP="00C926FD">
            <w:pPr>
              <w:pStyle w:val="Prrafodelista"/>
              <w:ind w:left="0"/>
            </w:pPr>
            <w:r>
              <w:lastRenderedPageBreak/>
              <w:t xml:space="preserve">Tarjeta de crédito </w:t>
            </w:r>
          </w:p>
        </w:tc>
        <w:tc>
          <w:tcPr>
            <w:tcW w:w="4855" w:type="dxa"/>
          </w:tcPr>
          <w:p w14:paraId="24CDB4C7" w14:textId="4E0CF9A1" w:rsidR="00C926FD" w:rsidRDefault="00C926FD" w:rsidP="00C926FD">
            <w:pPr>
              <w:pStyle w:val="Prrafodelista"/>
              <w:ind w:left="0"/>
              <w:cnfStyle w:val="000000000000" w:firstRow="0" w:lastRow="0" w:firstColumn="0" w:lastColumn="0" w:oddVBand="0" w:evenVBand="0" w:oddHBand="0" w:evenHBand="0" w:firstRowFirstColumn="0" w:firstRowLastColumn="0" w:lastRowFirstColumn="0" w:lastRowLastColumn="0"/>
            </w:pPr>
            <w:r>
              <w:t>4.56</w:t>
            </w:r>
          </w:p>
        </w:tc>
      </w:tr>
      <w:tr w:rsidR="00C926FD" w14:paraId="17AD5D5F" w14:textId="77777777" w:rsidTr="00C926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95" w:type="dxa"/>
          </w:tcPr>
          <w:p w14:paraId="5D4A47FD" w14:textId="2948169A" w:rsidR="00C926FD" w:rsidRDefault="00C926FD" w:rsidP="00C926FD">
            <w:pPr>
              <w:pStyle w:val="Prrafodelista"/>
              <w:ind w:left="0"/>
            </w:pPr>
            <w:r>
              <w:t xml:space="preserve">Tarjeta de débito </w:t>
            </w:r>
          </w:p>
        </w:tc>
        <w:tc>
          <w:tcPr>
            <w:tcW w:w="4855" w:type="dxa"/>
          </w:tcPr>
          <w:p w14:paraId="05B8A562" w14:textId="0AF4DFBA" w:rsidR="00C926FD" w:rsidRDefault="00C926FD" w:rsidP="00C926FD">
            <w:pPr>
              <w:pStyle w:val="Prrafodelista"/>
              <w:ind w:left="0"/>
              <w:cnfStyle w:val="000000100000" w:firstRow="0" w:lastRow="0" w:firstColumn="0" w:lastColumn="0" w:oddVBand="0" w:evenVBand="0" w:oddHBand="1" w:evenHBand="0" w:firstRowFirstColumn="0" w:firstRowLastColumn="0" w:lastRowFirstColumn="0" w:lastRowLastColumn="0"/>
            </w:pPr>
            <w:r>
              <w:t>9.55</w:t>
            </w:r>
          </w:p>
        </w:tc>
      </w:tr>
      <w:tr w:rsidR="00C926FD" w14:paraId="0BB25936" w14:textId="77777777" w:rsidTr="00C926FD">
        <w:tc>
          <w:tcPr>
            <w:cnfStyle w:val="001000000000" w:firstRow="0" w:lastRow="0" w:firstColumn="1" w:lastColumn="0" w:oddVBand="0" w:evenVBand="0" w:oddHBand="0" w:evenHBand="0" w:firstRowFirstColumn="0" w:firstRowLastColumn="0" w:lastRowFirstColumn="0" w:lastRowLastColumn="0"/>
            <w:tcW w:w="4495" w:type="dxa"/>
          </w:tcPr>
          <w:p w14:paraId="70E3C4E6" w14:textId="24A273D6" w:rsidR="00C926FD" w:rsidRDefault="00C926FD" w:rsidP="00C926FD">
            <w:pPr>
              <w:pStyle w:val="Prrafodelista"/>
              <w:ind w:left="0"/>
            </w:pPr>
            <w:r>
              <w:t xml:space="preserve">Voucher </w:t>
            </w:r>
          </w:p>
        </w:tc>
        <w:tc>
          <w:tcPr>
            <w:tcW w:w="4855" w:type="dxa"/>
          </w:tcPr>
          <w:p w14:paraId="6D059F04" w14:textId="63E6DC86" w:rsidR="00C926FD" w:rsidRDefault="00C926FD" w:rsidP="00C926FD">
            <w:pPr>
              <w:pStyle w:val="Prrafodelista"/>
              <w:ind w:left="0"/>
              <w:cnfStyle w:val="000000000000" w:firstRow="0" w:lastRow="0" w:firstColumn="0" w:lastColumn="0" w:oddVBand="0" w:evenVBand="0" w:oddHBand="0" w:evenHBand="0" w:firstRowFirstColumn="0" w:firstRowLastColumn="0" w:lastRowFirstColumn="0" w:lastRowLastColumn="0"/>
            </w:pPr>
            <w:r>
              <w:t>8.35</w:t>
            </w:r>
          </w:p>
        </w:tc>
      </w:tr>
    </w:tbl>
    <w:p w14:paraId="25C54806" w14:textId="09BE573A" w:rsidR="00C926FD" w:rsidRPr="00A128ED" w:rsidRDefault="00C926FD" w:rsidP="00A128ED">
      <w:pPr>
        <w:ind w:firstLine="360"/>
        <w:rPr>
          <w:i/>
          <w:iCs/>
        </w:rPr>
      </w:pPr>
      <w:r w:rsidRPr="00A128ED">
        <w:rPr>
          <w:i/>
          <w:iCs/>
        </w:rPr>
        <w:t xml:space="preserve">Nota. Cálculo </w:t>
      </w:r>
      <w:r w:rsidR="00895A60" w:rsidRPr="00A128ED">
        <w:rPr>
          <w:i/>
          <w:iCs/>
        </w:rPr>
        <w:t xml:space="preserve">propio </w:t>
      </w:r>
      <w:r w:rsidRPr="00A128ED">
        <w:rPr>
          <w:i/>
          <w:iCs/>
        </w:rPr>
        <w:t>a partir de Olist (s.f)</w:t>
      </w:r>
      <w:r w:rsidR="00895A60" w:rsidRPr="00A128ED">
        <w:rPr>
          <w:i/>
          <w:iCs/>
        </w:rPr>
        <w:t xml:space="preserve">, mediante el curce de las tablas de pedidos y pagos históricos. </w:t>
      </w:r>
    </w:p>
    <w:p w14:paraId="7E6584F5" w14:textId="77777777" w:rsidR="00A128ED" w:rsidRDefault="00A128ED" w:rsidP="00A128ED">
      <w:pPr>
        <w:ind w:firstLine="360"/>
      </w:pPr>
      <w:r>
        <w:t xml:space="preserve">Actualmente MaxiMundo no diferencia estos 4 escenarios, lo que genera inconsistencias en los tiempos de respuesta hacia el cliente. Al automatizar esta distinción mediante reglas de negocio permitiría que el proceso reaccione de forma distinta según el método de pago, sin ninguna intervención manual.   </w:t>
      </w:r>
    </w:p>
    <w:p w14:paraId="32EB0D2F" w14:textId="77777777" w:rsidR="00A128ED" w:rsidRDefault="00A128ED" w:rsidP="00C926FD"/>
    <w:p w14:paraId="2B5F5818" w14:textId="2B06D46B" w:rsidR="00895A60" w:rsidRDefault="00895A60" w:rsidP="00895A60">
      <w:pPr>
        <w:pStyle w:val="Prrafodelista"/>
        <w:numPr>
          <w:ilvl w:val="0"/>
          <w:numId w:val="2"/>
        </w:numPr>
      </w:pPr>
      <w:r>
        <w:rPr>
          <w:b/>
          <w:bCs/>
        </w:rPr>
        <w:t xml:space="preserve">Exposición financiera no monitoreada en pedidos con financiamiento: </w:t>
      </w:r>
      <w:r>
        <w:t xml:space="preserve">el análisis de la distribución de cuotas de pago de MaxiMundo (Tabla 2) muestra que, si bien el 50.58% de los pedidos se paga de contado, un 11.76% se financia en 7 o más cuotas, un segmento que representa el mayor riesgo financiero para la empresa. </w:t>
      </w:r>
    </w:p>
    <w:p w14:paraId="39D6CB09" w14:textId="6BA81B64" w:rsidR="00895A60" w:rsidRDefault="00895A60" w:rsidP="00895A60">
      <w:pPr>
        <w:rPr>
          <w:b/>
          <w:bCs/>
        </w:rPr>
      </w:pPr>
      <w:r>
        <w:rPr>
          <w:b/>
          <w:bCs/>
        </w:rPr>
        <w:t xml:space="preserve">Tabla 2. Distribución de pedidos por número de cuotas. </w:t>
      </w:r>
    </w:p>
    <w:tbl>
      <w:tblPr>
        <w:tblStyle w:val="Tablaconcuadrcula4-nfasis6"/>
        <w:tblW w:w="0" w:type="auto"/>
        <w:tblLook w:val="04A0" w:firstRow="1" w:lastRow="0" w:firstColumn="1" w:lastColumn="0" w:noHBand="0" w:noVBand="1"/>
      </w:tblPr>
      <w:tblGrid>
        <w:gridCol w:w="4675"/>
        <w:gridCol w:w="4675"/>
      </w:tblGrid>
      <w:tr w:rsidR="00895A60" w14:paraId="078212D8" w14:textId="77777777" w:rsidTr="00895A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E52BAEB" w14:textId="134E1E8E" w:rsidR="00895A60" w:rsidRDefault="00895A60" w:rsidP="00895A60">
            <w:r>
              <w:rPr>
                <w:b w:val="0"/>
                <w:bCs w:val="0"/>
                <w:color w:val="auto"/>
              </w:rPr>
              <w:t>Cuotas</w:t>
            </w:r>
          </w:p>
        </w:tc>
        <w:tc>
          <w:tcPr>
            <w:tcW w:w="4675" w:type="dxa"/>
          </w:tcPr>
          <w:p w14:paraId="26D9AB01" w14:textId="1A590D1D" w:rsidR="00895A60" w:rsidRDefault="00895A60" w:rsidP="00895A60">
            <w:pPr>
              <w:cnfStyle w:val="100000000000" w:firstRow="1" w:lastRow="0" w:firstColumn="0" w:lastColumn="0" w:oddVBand="0" w:evenVBand="0" w:oddHBand="0" w:evenHBand="0" w:firstRowFirstColumn="0" w:firstRowLastColumn="0" w:lastRowFirstColumn="0" w:lastRowLastColumn="0"/>
            </w:pPr>
            <w:r>
              <w:t>% de pedidos</w:t>
            </w:r>
          </w:p>
        </w:tc>
      </w:tr>
      <w:tr w:rsidR="00895A60" w14:paraId="2BC4C629" w14:textId="77777777" w:rsidTr="00895A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241994E7" w14:textId="1E170163" w:rsidR="00895A60" w:rsidRDefault="00895A60" w:rsidP="00895A60">
            <w:r>
              <w:t xml:space="preserve">1 </w:t>
            </w:r>
          </w:p>
        </w:tc>
        <w:tc>
          <w:tcPr>
            <w:tcW w:w="4675" w:type="dxa"/>
          </w:tcPr>
          <w:p w14:paraId="047230BF" w14:textId="0A107687" w:rsidR="00895A60" w:rsidRDefault="00895A60" w:rsidP="00895A60">
            <w:pPr>
              <w:cnfStyle w:val="000000100000" w:firstRow="0" w:lastRow="0" w:firstColumn="0" w:lastColumn="0" w:oddVBand="0" w:evenVBand="0" w:oddHBand="1" w:evenHBand="0" w:firstRowFirstColumn="0" w:firstRowLastColumn="0" w:lastRowFirstColumn="0" w:lastRowLastColumn="0"/>
            </w:pPr>
            <w:r>
              <w:t>50.58%</w:t>
            </w:r>
          </w:p>
        </w:tc>
      </w:tr>
      <w:tr w:rsidR="00895A60" w14:paraId="72867AD6" w14:textId="77777777" w:rsidTr="00895A60">
        <w:tc>
          <w:tcPr>
            <w:cnfStyle w:val="001000000000" w:firstRow="0" w:lastRow="0" w:firstColumn="1" w:lastColumn="0" w:oddVBand="0" w:evenVBand="0" w:oddHBand="0" w:evenHBand="0" w:firstRowFirstColumn="0" w:firstRowLastColumn="0" w:lastRowFirstColumn="0" w:lastRowLastColumn="0"/>
            <w:tcW w:w="4675" w:type="dxa"/>
          </w:tcPr>
          <w:p w14:paraId="36F2E444" w14:textId="53B00C9E" w:rsidR="00895A60" w:rsidRDefault="00A128ED" w:rsidP="00895A60">
            <w:r>
              <w:t>2 a 6</w:t>
            </w:r>
          </w:p>
        </w:tc>
        <w:tc>
          <w:tcPr>
            <w:tcW w:w="4675" w:type="dxa"/>
          </w:tcPr>
          <w:p w14:paraId="1F2BE896" w14:textId="03915667" w:rsidR="00895A60" w:rsidRDefault="00895A60" w:rsidP="00895A60">
            <w:pPr>
              <w:cnfStyle w:val="000000000000" w:firstRow="0" w:lastRow="0" w:firstColumn="0" w:lastColumn="0" w:oddVBand="0" w:evenVBand="0" w:oddHBand="0" w:evenHBand="0" w:firstRowFirstColumn="0" w:firstRowLastColumn="0" w:lastRowFirstColumn="0" w:lastRowLastColumn="0"/>
            </w:pPr>
            <w:r>
              <w:t>37.66%</w:t>
            </w:r>
          </w:p>
        </w:tc>
      </w:tr>
      <w:tr w:rsidR="00895A60" w14:paraId="50C2867E" w14:textId="77777777" w:rsidTr="00895A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2C23545C" w14:textId="79FE0A92" w:rsidR="00895A60" w:rsidRDefault="00A128ED" w:rsidP="00895A60">
            <w:r>
              <w:t xml:space="preserve">7 0 más </w:t>
            </w:r>
          </w:p>
        </w:tc>
        <w:tc>
          <w:tcPr>
            <w:tcW w:w="4675" w:type="dxa"/>
          </w:tcPr>
          <w:p w14:paraId="6268278F" w14:textId="54A5E261" w:rsidR="00895A60" w:rsidRDefault="00895A60" w:rsidP="00895A60">
            <w:pPr>
              <w:cnfStyle w:val="000000100000" w:firstRow="0" w:lastRow="0" w:firstColumn="0" w:lastColumn="0" w:oddVBand="0" w:evenVBand="0" w:oddHBand="1" w:evenHBand="0" w:firstRowFirstColumn="0" w:firstRowLastColumn="0" w:lastRowFirstColumn="0" w:lastRowLastColumn="0"/>
            </w:pPr>
            <w:r>
              <w:t>11.76%</w:t>
            </w:r>
          </w:p>
        </w:tc>
      </w:tr>
    </w:tbl>
    <w:p w14:paraId="32334924" w14:textId="002AEE2C" w:rsidR="00895A60" w:rsidRPr="00A128ED" w:rsidRDefault="00A128ED" w:rsidP="00A128ED">
      <w:pPr>
        <w:ind w:firstLine="360"/>
        <w:rPr>
          <w:i/>
          <w:iCs/>
        </w:rPr>
      </w:pPr>
      <w:r w:rsidRPr="00A128ED">
        <w:rPr>
          <w:i/>
          <w:iCs/>
        </w:rPr>
        <w:t>Nota. Cálculo propio a partir de Olist (s.f).</w:t>
      </w:r>
    </w:p>
    <w:p w14:paraId="3088C1C1" w14:textId="3BE27CC9" w:rsidR="00A128ED" w:rsidRDefault="00A128ED" w:rsidP="00A128ED">
      <w:pPr>
        <w:ind w:firstLine="360"/>
      </w:pPr>
      <w:r>
        <w:t xml:space="preserve">Actualmente, MaxiMundo no cuenta con un mecanismo que identifique estos pedidos de mayor exposición financiera antes de aprobarlos, por lo que se tratan de la misma forma que los pedidos de contado o de pocas cuotas. La automatización de una regla de negocio que identifique cuándo un pedido supera el umbral de 6 cuotas permitiría dirigir únicamente esos casos hacia una revisión de riesgo adicional, sin ralentizar el 88.24% restante de los pedidos que no lo requiere, optimizando así el uso del tiempo del equipo y manteniendo la agilidad operativa. </w:t>
      </w:r>
    </w:p>
    <w:p w14:paraId="16F9949E" w14:textId="09DC3576" w:rsidR="00A128ED" w:rsidRDefault="00A128ED" w:rsidP="00A128ED">
      <w:pPr>
        <w:pStyle w:val="Prrafodelista"/>
        <w:numPr>
          <w:ilvl w:val="0"/>
          <w:numId w:val="2"/>
        </w:numPr>
      </w:pPr>
      <w:r>
        <w:rPr>
          <w:b/>
          <w:bCs/>
        </w:rPr>
        <w:lastRenderedPageBreak/>
        <w:t xml:space="preserve">Incumplimiento del tiempo estimado de entrega: </w:t>
      </w:r>
      <w:r>
        <w:t>e</w:t>
      </w:r>
      <w:r w:rsidRPr="00A128ED">
        <w:t>l análisis del cumplimiento del plazo de entrega estimado en el histórico de pedidos de MaxiMundo (Tabla 3) muestra que, si bien el 89.15% de los pedidos se entrega dentro del plazo estimado o antes, un 7.87% incumple dicho plazo</w:t>
      </w:r>
      <w:r w:rsidR="0093468B">
        <w:t xml:space="preserve">; </w:t>
      </w:r>
      <w:r w:rsidRPr="00A128ED">
        <w:t>es decir, llega tarde al cliente. Un 2.98% corresponde a pedidos sin dato de entrega registrado, generalmente asociados a cancelaciones u otros estados incompletos del proceso.</w:t>
      </w:r>
    </w:p>
    <w:tbl>
      <w:tblPr>
        <w:tblStyle w:val="Tablaconcuadrcula4-nfasis3"/>
        <w:tblW w:w="0" w:type="auto"/>
        <w:tblLook w:val="04A0" w:firstRow="1" w:lastRow="0" w:firstColumn="1" w:lastColumn="0" w:noHBand="0" w:noVBand="1"/>
      </w:tblPr>
      <w:tblGrid>
        <w:gridCol w:w="4675"/>
        <w:gridCol w:w="4675"/>
      </w:tblGrid>
      <w:tr w:rsidR="00A128ED" w14:paraId="78AB66CB" w14:textId="77777777" w:rsidTr="00A128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9BF1404" w14:textId="0132786B" w:rsidR="00A128ED" w:rsidRDefault="00A128ED" w:rsidP="00A128ED">
            <w:pPr>
              <w:pStyle w:val="Prrafodelista"/>
              <w:ind w:left="0"/>
            </w:pPr>
            <w:r>
              <w:rPr>
                <w:b w:val="0"/>
                <w:bCs w:val="0"/>
                <w:color w:val="auto"/>
              </w:rPr>
              <w:t>Estado de entrega</w:t>
            </w:r>
          </w:p>
        </w:tc>
        <w:tc>
          <w:tcPr>
            <w:tcW w:w="4675" w:type="dxa"/>
          </w:tcPr>
          <w:p w14:paraId="626FDE2E" w14:textId="3A32B207" w:rsidR="00A128ED" w:rsidRDefault="00A128ED" w:rsidP="00A128ED">
            <w:pPr>
              <w:pStyle w:val="Prrafodelista"/>
              <w:ind w:left="0"/>
              <w:cnfStyle w:val="100000000000" w:firstRow="1" w:lastRow="0" w:firstColumn="0" w:lastColumn="0" w:oddVBand="0" w:evenVBand="0" w:oddHBand="0" w:evenHBand="0" w:firstRowFirstColumn="0" w:firstRowLastColumn="0" w:lastRowFirstColumn="0" w:lastRowLastColumn="0"/>
            </w:pPr>
            <w:r>
              <w:t>% de pedidos</w:t>
            </w:r>
          </w:p>
        </w:tc>
      </w:tr>
      <w:tr w:rsidR="00A128ED" w14:paraId="773CC06F" w14:textId="77777777" w:rsidTr="00A12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2938303" w14:textId="51F8DC31" w:rsidR="00A128ED" w:rsidRDefault="00A128ED" w:rsidP="00A128ED">
            <w:pPr>
              <w:pStyle w:val="Prrafodelista"/>
              <w:ind w:left="0"/>
            </w:pPr>
            <w:r>
              <w:t>Cumple (a tiempo o antes)</w:t>
            </w:r>
          </w:p>
        </w:tc>
        <w:tc>
          <w:tcPr>
            <w:tcW w:w="4675" w:type="dxa"/>
          </w:tcPr>
          <w:p w14:paraId="5016014D" w14:textId="365E406B" w:rsidR="00A128ED" w:rsidRDefault="00A128ED" w:rsidP="00A128ED">
            <w:pPr>
              <w:pStyle w:val="Prrafodelista"/>
              <w:ind w:left="0"/>
              <w:cnfStyle w:val="000000100000" w:firstRow="0" w:lastRow="0" w:firstColumn="0" w:lastColumn="0" w:oddVBand="0" w:evenVBand="0" w:oddHBand="1" w:evenHBand="0" w:firstRowFirstColumn="0" w:firstRowLastColumn="0" w:lastRowFirstColumn="0" w:lastRowLastColumn="0"/>
            </w:pPr>
            <w:r>
              <w:t>89.15%</w:t>
            </w:r>
          </w:p>
        </w:tc>
      </w:tr>
      <w:tr w:rsidR="00A128ED" w14:paraId="3BF4CE98" w14:textId="77777777" w:rsidTr="00A128ED">
        <w:tc>
          <w:tcPr>
            <w:cnfStyle w:val="001000000000" w:firstRow="0" w:lastRow="0" w:firstColumn="1" w:lastColumn="0" w:oddVBand="0" w:evenVBand="0" w:oddHBand="0" w:evenHBand="0" w:firstRowFirstColumn="0" w:firstRowLastColumn="0" w:lastRowFirstColumn="0" w:lastRowLastColumn="0"/>
            <w:tcW w:w="4675" w:type="dxa"/>
          </w:tcPr>
          <w:p w14:paraId="70AF5DE1" w14:textId="7044C493" w:rsidR="00A128ED" w:rsidRDefault="00A128ED" w:rsidP="00A128ED">
            <w:pPr>
              <w:pStyle w:val="Prrafodelista"/>
              <w:ind w:left="0"/>
            </w:pPr>
            <w:r>
              <w:t>No cumple (tardío)</w:t>
            </w:r>
          </w:p>
        </w:tc>
        <w:tc>
          <w:tcPr>
            <w:tcW w:w="4675" w:type="dxa"/>
          </w:tcPr>
          <w:p w14:paraId="12B16ED0" w14:textId="65289A3C" w:rsidR="00A128ED" w:rsidRDefault="00A128ED" w:rsidP="00A128ED">
            <w:pPr>
              <w:pStyle w:val="Prrafodelista"/>
              <w:ind w:left="0"/>
              <w:cnfStyle w:val="000000000000" w:firstRow="0" w:lastRow="0" w:firstColumn="0" w:lastColumn="0" w:oddVBand="0" w:evenVBand="0" w:oddHBand="0" w:evenHBand="0" w:firstRowFirstColumn="0" w:firstRowLastColumn="0" w:lastRowFirstColumn="0" w:lastRowLastColumn="0"/>
            </w:pPr>
            <w:r>
              <w:t>7.87%</w:t>
            </w:r>
          </w:p>
        </w:tc>
      </w:tr>
      <w:tr w:rsidR="00A128ED" w14:paraId="3C00435C" w14:textId="77777777" w:rsidTr="00A12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9A67D6D" w14:textId="212C12AD" w:rsidR="00A128ED" w:rsidRDefault="00A128ED" w:rsidP="00A128ED">
            <w:pPr>
              <w:pStyle w:val="Prrafodelista"/>
              <w:ind w:left="0"/>
            </w:pPr>
            <w:r>
              <w:t xml:space="preserve">Sin dato </w:t>
            </w:r>
          </w:p>
        </w:tc>
        <w:tc>
          <w:tcPr>
            <w:tcW w:w="4675" w:type="dxa"/>
          </w:tcPr>
          <w:p w14:paraId="4326A121" w14:textId="406DBB59" w:rsidR="00A128ED" w:rsidRDefault="00A128ED" w:rsidP="00A128ED">
            <w:pPr>
              <w:pStyle w:val="Prrafodelista"/>
              <w:ind w:left="0"/>
              <w:cnfStyle w:val="000000100000" w:firstRow="0" w:lastRow="0" w:firstColumn="0" w:lastColumn="0" w:oddVBand="0" w:evenVBand="0" w:oddHBand="1" w:evenHBand="0" w:firstRowFirstColumn="0" w:firstRowLastColumn="0" w:lastRowFirstColumn="0" w:lastRowLastColumn="0"/>
            </w:pPr>
            <w:r>
              <w:t>2.98%</w:t>
            </w:r>
          </w:p>
        </w:tc>
      </w:tr>
    </w:tbl>
    <w:p w14:paraId="5763F1B2" w14:textId="1FF8E4AB" w:rsidR="00A128ED" w:rsidRDefault="00A128ED" w:rsidP="00A128ED">
      <w:pPr>
        <w:pStyle w:val="Prrafodelista"/>
        <w:rPr>
          <w:i/>
          <w:iCs/>
        </w:rPr>
      </w:pPr>
      <w:r w:rsidRPr="00A128ED">
        <w:rPr>
          <w:i/>
          <w:iCs/>
        </w:rPr>
        <w:t>Nota. Cálculo propio a partir de Olist (s.f.).</w:t>
      </w:r>
    </w:p>
    <w:p w14:paraId="56DB146E" w14:textId="562FB4B4" w:rsidR="0093468B" w:rsidRPr="0093468B" w:rsidRDefault="0093468B" w:rsidP="00A128ED">
      <w:pPr>
        <w:pStyle w:val="Prrafodelista"/>
      </w:pPr>
      <w:r>
        <w:t>Aunque el 7.87% del incumplimiento representa una minoría comparado con el total de pedidos, al proyectarlo sobre el volumen histórico de aproximadamente 99 000 pedidos, equivale a mas de 7 700 casos de incumplimiento; lo que es bastante considerable. MaxiMundo actualmente no cuenta con ningún mecanismo que le permita identificar estos casos ni anticiparse a ellos; el incumplimiento por lo general se detecta únicamente cuando el cliente lo reporta. La implementación de un mecanismo de monitoreo, como el que ofrece Camunda, permitiría visualizar en tiempo real que pedidos están en riesgo de incumplir el plazo estimado, lo que permitiría habilitar una gestión</w:t>
      </w:r>
      <w:r w:rsidR="006B2D68">
        <w:t>;</w:t>
      </w:r>
      <w:r>
        <w:t xml:space="preserve"> por </w:t>
      </w:r>
      <w:r w:rsidR="006B2D68">
        <w:t>ejemplo,</w:t>
      </w:r>
      <w:r>
        <w:t xml:space="preserve"> notificar al cliente con anticipación o escalando el caso al equipo de logística. </w:t>
      </w:r>
    </w:p>
    <w:p w14:paraId="68FE7DD4" w14:textId="4958D1C1" w:rsidR="00B4765E" w:rsidRDefault="00B4765E" w:rsidP="00B4765E">
      <w:pPr>
        <w:pStyle w:val="Titulo11"/>
      </w:pPr>
      <w:r>
        <w:t xml:space="preserve">Ventajas y desventajas. </w:t>
      </w:r>
    </w:p>
    <w:p w14:paraId="4404138E" w14:textId="77777777" w:rsidR="00B4765E" w:rsidRDefault="00B4765E" w:rsidP="00B4765E"/>
    <w:p w14:paraId="1DAE8EC1" w14:textId="7D1FE101" w:rsidR="00B4765E" w:rsidRDefault="00B4765E" w:rsidP="00B4765E">
      <w:pPr>
        <w:pStyle w:val="Titulo11"/>
      </w:pPr>
      <w:r>
        <w:t xml:space="preserve">Planes y costos. </w:t>
      </w:r>
    </w:p>
    <w:p w14:paraId="08CEC222" w14:textId="77777777" w:rsidR="00B4765E" w:rsidRDefault="00B4765E" w:rsidP="00B4765E"/>
    <w:p w14:paraId="62E28159" w14:textId="7DF5EEF9" w:rsidR="00B4765E" w:rsidRDefault="00B4765E" w:rsidP="00B4765E">
      <w:pPr>
        <w:pStyle w:val="Titulo11"/>
      </w:pPr>
      <w:r>
        <w:t xml:space="preserve">Casos de éxito. </w:t>
      </w:r>
    </w:p>
    <w:p w14:paraId="7E48E57C" w14:textId="77777777" w:rsidR="00B4765E" w:rsidRDefault="00B4765E" w:rsidP="00B4765E"/>
    <w:p w14:paraId="774E0A57" w14:textId="3196EE8F" w:rsidR="00B4765E" w:rsidRDefault="00B4765E" w:rsidP="00B4765E">
      <w:pPr>
        <w:pStyle w:val="Titulo11"/>
      </w:pPr>
      <w:r>
        <w:lastRenderedPageBreak/>
        <w:t xml:space="preserve">Descripción del proceso de negocio a automatizar. </w:t>
      </w:r>
    </w:p>
    <w:p w14:paraId="79B0BEF6" w14:textId="77777777" w:rsidR="00B4765E" w:rsidRDefault="00B4765E" w:rsidP="00B4765E"/>
    <w:p w14:paraId="2B27E03C" w14:textId="08FB710D" w:rsidR="00B4765E" w:rsidRDefault="00B4765E" w:rsidP="00B4765E">
      <w:pPr>
        <w:pStyle w:val="Titulo11"/>
      </w:pPr>
      <w:r>
        <w:t xml:space="preserve">Conclusiones. </w:t>
      </w:r>
    </w:p>
    <w:p w14:paraId="1C2E0E54" w14:textId="77777777" w:rsidR="00B4765E" w:rsidRDefault="00B4765E" w:rsidP="00B4765E"/>
    <w:p w14:paraId="4A5D9AEA" w14:textId="37214260" w:rsidR="00B4765E" w:rsidRDefault="00B4765E" w:rsidP="00B4765E">
      <w:pPr>
        <w:pStyle w:val="Titulo11"/>
      </w:pPr>
      <w:r>
        <w:t xml:space="preserve">Referencias. </w:t>
      </w:r>
    </w:p>
    <w:p w14:paraId="6641D78E" w14:textId="32DA5D36" w:rsidR="00540E0E" w:rsidRDefault="00540E0E" w:rsidP="00540E0E">
      <w:pPr>
        <w:rPr>
          <w:lang w:val="en-US"/>
        </w:rPr>
      </w:pPr>
      <w:r w:rsidRPr="00540E0E">
        <w:rPr>
          <w:lang w:val="en-US"/>
        </w:rPr>
        <w:t xml:space="preserve">Camunda. (s.f.). Camunda: Process orchestration platform. </w:t>
      </w:r>
      <w:hyperlink r:id="rId8" w:history="1">
        <w:r w:rsidRPr="00975451">
          <w:rPr>
            <w:rStyle w:val="Hipervnculo"/>
            <w:lang w:val="en-US"/>
          </w:rPr>
          <w:t>https://camunda.</w:t>
        </w:r>
        <w:r w:rsidRPr="00975451">
          <w:rPr>
            <w:rStyle w:val="Hipervnculo"/>
            <w:lang w:val="en-US"/>
          </w:rPr>
          <w:t>c</w:t>
        </w:r>
        <w:r w:rsidRPr="00975451">
          <w:rPr>
            <w:rStyle w:val="Hipervnculo"/>
            <w:lang w:val="en-US"/>
          </w:rPr>
          <w:t>om/</w:t>
        </w:r>
      </w:hyperlink>
    </w:p>
    <w:p w14:paraId="7F2F3C89" w14:textId="669C8931" w:rsidR="00540E0E" w:rsidRPr="00540E0E" w:rsidRDefault="00540E0E" w:rsidP="00540E0E">
      <w:pPr>
        <w:rPr>
          <w:lang w:val="en-US"/>
        </w:rPr>
      </w:pPr>
      <w:r w:rsidRPr="00540E0E">
        <w:rPr>
          <w:lang w:val="en-US"/>
        </w:rPr>
        <w:t xml:space="preserve">Camunda Services GmbH. (2026). Web-based tooling for BPMN, DMN, CMMN, and Forms. bpmn.io. </w:t>
      </w:r>
      <w:hyperlink r:id="rId9" w:history="1">
        <w:r w:rsidRPr="00975451">
          <w:rPr>
            <w:rStyle w:val="Hipervnculo"/>
            <w:lang w:val="en-US"/>
          </w:rPr>
          <w:t>https://bpmn.io/</w:t>
        </w:r>
      </w:hyperlink>
    </w:p>
    <w:p w14:paraId="1AB4E446" w14:textId="77777777" w:rsidR="00540E0E" w:rsidRPr="00540E0E" w:rsidRDefault="00540E0E" w:rsidP="00540E0E">
      <w:pPr>
        <w:rPr>
          <w:lang w:val="en-US"/>
        </w:rPr>
      </w:pPr>
    </w:p>
    <w:p w14:paraId="33FD0622" w14:textId="3357CC94" w:rsidR="00B4765E" w:rsidRPr="00540E0E" w:rsidRDefault="00B4765E" w:rsidP="00B4765E">
      <w:pPr>
        <w:rPr>
          <w:lang w:val="en-US"/>
        </w:rPr>
      </w:pPr>
    </w:p>
    <w:sectPr w:rsidR="00B4765E" w:rsidRPr="00540E0E" w:rsidSect="00AA5B6D">
      <w:footerReference w:type="default" r:id="rId10"/>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9F665E" w14:textId="77777777" w:rsidR="000C1099" w:rsidRDefault="000C1099" w:rsidP="00B4765E">
      <w:pPr>
        <w:spacing w:after="0" w:line="240" w:lineRule="auto"/>
      </w:pPr>
      <w:r>
        <w:separator/>
      </w:r>
    </w:p>
  </w:endnote>
  <w:endnote w:type="continuationSeparator" w:id="0">
    <w:p w14:paraId="6B474E7B" w14:textId="77777777" w:rsidR="000C1099" w:rsidRDefault="000C1099" w:rsidP="00B476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Times New Roman PSMT"/>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2121957"/>
      <w:docPartObj>
        <w:docPartGallery w:val="Page Numbers (Bottom of Page)"/>
        <w:docPartUnique/>
      </w:docPartObj>
    </w:sdtPr>
    <w:sdtContent>
      <w:p w14:paraId="43EBCA4A" w14:textId="5143ABAF" w:rsidR="00B4765E" w:rsidRDefault="00B4765E">
        <w:pPr>
          <w:pStyle w:val="Piedepgina"/>
          <w:jc w:val="right"/>
        </w:pPr>
        <w:r>
          <w:fldChar w:fldCharType="begin"/>
        </w:r>
        <w:r>
          <w:instrText>PAGE   \* MERGEFORMAT</w:instrText>
        </w:r>
        <w:r>
          <w:fldChar w:fldCharType="separate"/>
        </w:r>
        <w:r>
          <w:rPr>
            <w:lang w:val="es-ES"/>
          </w:rPr>
          <w:t>2</w:t>
        </w:r>
        <w:r>
          <w:fldChar w:fldCharType="end"/>
        </w:r>
      </w:p>
    </w:sdtContent>
  </w:sdt>
  <w:p w14:paraId="63BD4493" w14:textId="77777777" w:rsidR="00B4765E" w:rsidRDefault="00B4765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B2AB68" w14:textId="77777777" w:rsidR="000C1099" w:rsidRDefault="000C1099" w:rsidP="00B4765E">
      <w:pPr>
        <w:spacing w:after="0" w:line="240" w:lineRule="auto"/>
      </w:pPr>
      <w:r>
        <w:separator/>
      </w:r>
    </w:p>
  </w:footnote>
  <w:footnote w:type="continuationSeparator" w:id="0">
    <w:p w14:paraId="4EAD7693" w14:textId="77777777" w:rsidR="000C1099" w:rsidRDefault="000C1099" w:rsidP="00B4765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583F2F"/>
    <w:multiLevelType w:val="hybridMultilevel"/>
    <w:tmpl w:val="BB342F68"/>
    <w:lvl w:ilvl="0" w:tplc="2AFA1EA4">
      <w:start w:val="1"/>
      <w:numFmt w:val="decimal"/>
      <w:pStyle w:val="Titulo11"/>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1" w15:restartNumberingAfterBreak="0">
    <w:nsid w:val="56C34E24"/>
    <w:multiLevelType w:val="hybridMultilevel"/>
    <w:tmpl w:val="7B1E98BC"/>
    <w:lvl w:ilvl="0" w:tplc="C890C3EA">
      <w:start w:val="9"/>
      <w:numFmt w:val="bullet"/>
      <w:lvlText w:val="-"/>
      <w:lvlJc w:val="left"/>
      <w:pPr>
        <w:ind w:left="720" w:hanging="360"/>
      </w:pPr>
      <w:rPr>
        <w:rFonts w:ascii="Arial" w:eastAsiaTheme="minorHAnsi" w:hAnsi="Arial" w:cs="Aria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num w:numId="1" w16cid:durableId="354694102">
    <w:abstractNumId w:val="0"/>
  </w:num>
  <w:num w:numId="2" w16cid:durableId="15337658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65E"/>
    <w:rsid w:val="00035D4D"/>
    <w:rsid w:val="000C1099"/>
    <w:rsid w:val="001A1F67"/>
    <w:rsid w:val="00244785"/>
    <w:rsid w:val="00477C26"/>
    <w:rsid w:val="00540E0E"/>
    <w:rsid w:val="00616BDA"/>
    <w:rsid w:val="006338C6"/>
    <w:rsid w:val="006B2D68"/>
    <w:rsid w:val="007D2462"/>
    <w:rsid w:val="00895A60"/>
    <w:rsid w:val="008C4739"/>
    <w:rsid w:val="0093468B"/>
    <w:rsid w:val="009D485E"/>
    <w:rsid w:val="00A024F2"/>
    <w:rsid w:val="00A128ED"/>
    <w:rsid w:val="00AA5B6D"/>
    <w:rsid w:val="00AF4275"/>
    <w:rsid w:val="00B006D0"/>
    <w:rsid w:val="00B4765E"/>
    <w:rsid w:val="00BA7111"/>
    <w:rsid w:val="00C508F6"/>
    <w:rsid w:val="00C926FD"/>
    <w:rsid w:val="00CC4186"/>
    <w:rsid w:val="00D00838"/>
    <w:rsid w:val="00E819D5"/>
    <w:rsid w:val="00E96F81"/>
    <w:rsid w:val="00F07C0A"/>
    <w:rsid w:val="00F70CA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843C5A"/>
  <w15:chartTrackingRefBased/>
  <w15:docId w15:val="{6FCEA7A6-6711-4181-B79F-F0538DAE4B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Proyecto"/>
    <w:qFormat/>
    <w:rsid w:val="00B4765E"/>
    <w:pPr>
      <w:spacing w:line="360" w:lineRule="auto"/>
      <w:jc w:val="both"/>
    </w:pPr>
    <w:rPr>
      <w:rFonts w:ascii="Arial" w:hAnsi="Arial"/>
      <w:kern w:val="0"/>
      <w:sz w:val="24"/>
      <w14:ligatures w14:val="none"/>
    </w:rPr>
  </w:style>
  <w:style w:type="paragraph" w:styleId="Ttulo1">
    <w:name w:val="heading 1"/>
    <w:basedOn w:val="Normal"/>
    <w:next w:val="Normal"/>
    <w:link w:val="Ttulo1Car"/>
    <w:uiPriority w:val="9"/>
    <w:qFormat/>
    <w:rsid w:val="00E819D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B4765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B4765E"/>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B4765E"/>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B4765E"/>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B4765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4765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4765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4765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ubttulo">
    <w:name w:val="Subtitle"/>
    <w:aliases w:val="Subtítulo Personalizado"/>
    <w:basedOn w:val="Ttulo1"/>
    <w:next w:val="Normal"/>
    <w:link w:val="SubttuloCar"/>
    <w:uiPriority w:val="11"/>
    <w:qFormat/>
    <w:rsid w:val="00E819D5"/>
    <w:pPr>
      <w:numPr>
        <w:ilvl w:val="1"/>
      </w:numPr>
      <w:spacing w:after="40" w:line="480" w:lineRule="auto"/>
    </w:pPr>
    <w:rPr>
      <w:rFonts w:ascii="Arial" w:hAnsi="Arial"/>
      <w:b/>
      <w:spacing w:val="15"/>
      <w:sz w:val="22"/>
      <w:szCs w:val="28"/>
    </w:rPr>
  </w:style>
  <w:style w:type="character" w:customStyle="1" w:styleId="SubttuloCar">
    <w:name w:val="Subtítulo Car"/>
    <w:aliases w:val="Subtítulo Personalizado Car"/>
    <w:basedOn w:val="Fuentedeprrafopredeter"/>
    <w:link w:val="Subttulo"/>
    <w:uiPriority w:val="11"/>
    <w:rsid w:val="00E819D5"/>
    <w:rPr>
      <w:rFonts w:ascii="Arial" w:eastAsiaTheme="majorEastAsia" w:hAnsi="Arial" w:cstheme="majorBidi"/>
      <w:b/>
      <w:color w:val="2F5496" w:themeColor="accent1" w:themeShade="BF"/>
      <w:spacing w:val="15"/>
      <w:szCs w:val="28"/>
    </w:rPr>
  </w:style>
  <w:style w:type="character" w:customStyle="1" w:styleId="Ttulo1Car">
    <w:name w:val="Título 1 Car"/>
    <w:basedOn w:val="Fuentedeprrafopredeter"/>
    <w:link w:val="Ttulo1"/>
    <w:uiPriority w:val="9"/>
    <w:rsid w:val="00E819D5"/>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B4765E"/>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B4765E"/>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B4765E"/>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B4765E"/>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B4765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4765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4765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4765E"/>
    <w:rPr>
      <w:rFonts w:eastAsiaTheme="majorEastAsia" w:cstheme="majorBidi"/>
      <w:color w:val="272727" w:themeColor="text1" w:themeTint="D8"/>
    </w:rPr>
  </w:style>
  <w:style w:type="paragraph" w:styleId="Ttulo">
    <w:name w:val="Title"/>
    <w:basedOn w:val="Normal"/>
    <w:next w:val="Normal"/>
    <w:link w:val="TtuloCar"/>
    <w:uiPriority w:val="10"/>
    <w:qFormat/>
    <w:rsid w:val="00B476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4765E"/>
    <w:rPr>
      <w:rFonts w:asciiTheme="majorHAnsi" w:eastAsiaTheme="majorEastAsia" w:hAnsiTheme="majorHAnsi" w:cstheme="majorBidi"/>
      <w:spacing w:val="-10"/>
      <w:kern w:val="28"/>
      <w:sz w:val="56"/>
      <w:szCs w:val="56"/>
    </w:rPr>
  </w:style>
  <w:style w:type="paragraph" w:styleId="Cita">
    <w:name w:val="Quote"/>
    <w:basedOn w:val="Normal"/>
    <w:next w:val="Normal"/>
    <w:link w:val="CitaCar"/>
    <w:uiPriority w:val="29"/>
    <w:qFormat/>
    <w:rsid w:val="00B4765E"/>
    <w:pPr>
      <w:spacing w:before="160"/>
      <w:jc w:val="center"/>
    </w:pPr>
    <w:rPr>
      <w:i/>
      <w:iCs/>
      <w:color w:val="404040" w:themeColor="text1" w:themeTint="BF"/>
    </w:rPr>
  </w:style>
  <w:style w:type="character" w:customStyle="1" w:styleId="CitaCar">
    <w:name w:val="Cita Car"/>
    <w:basedOn w:val="Fuentedeprrafopredeter"/>
    <w:link w:val="Cita"/>
    <w:uiPriority w:val="29"/>
    <w:rsid w:val="00B4765E"/>
    <w:rPr>
      <w:i/>
      <w:iCs/>
      <w:color w:val="404040" w:themeColor="text1" w:themeTint="BF"/>
    </w:rPr>
  </w:style>
  <w:style w:type="paragraph" w:styleId="Prrafodelista">
    <w:name w:val="List Paragraph"/>
    <w:basedOn w:val="Normal"/>
    <w:uiPriority w:val="34"/>
    <w:qFormat/>
    <w:rsid w:val="00B4765E"/>
    <w:pPr>
      <w:ind w:left="720"/>
      <w:contextualSpacing/>
    </w:pPr>
  </w:style>
  <w:style w:type="character" w:styleId="nfasisintenso">
    <w:name w:val="Intense Emphasis"/>
    <w:basedOn w:val="Fuentedeprrafopredeter"/>
    <w:uiPriority w:val="21"/>
    <w:qFormat/>
    <w:rsid w:val="00B4765E"/>
    <w:rPr>
      <w:i/>
      <w:iCs/>
      <w:color w:val="2F5496" w:themeColor="accent1" w:themeShade="BF"/>
    </w:rPr>
  </w:style>
  <w:style w:type="paragraph" w:styleId="Citadestacada">
    <w:name w:val="Intense Quote"/>
    <w:basedOn w:val="Normal"/>
    <w:next w:val="Normal"/>
    <w:link w:val="CitadestacadaCar"/>
    <w:uiPriority w:val="30"/>
    <w:qFormat/>
    <w:rsid w:val="00B4765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B4765E"/>
    <w:rPr>
      <w:i/>
      <w:iCs/>
      <w:color w:val="2F5496" w:themeColor="accent1" w:themeShade="BF"/>
    </w:rPr>
  </w:style>
  <w:style w:type="character" w:styleId="Referenciaintensa">
    <w:name w:val="Intense Reference"/>
    <w:basedOn w:val="Fuentedeprrafopredeter"/>
    <w:uiPriority w:val="32"/>
    <w:qFormat/>
    <w:rsid w:val="00B4765E"/>
    <w:rPr>
      <w:b/>
      <w:bCs/>
      <w:smallCaps/>
      <w:color w:val="2F5496" w:themeColor="accent1" w:themeShade="BF"/>
      <w:spacing w:val="5"/>
    </w:rPr>
  </w:style>
  <w:style w:type="paragraph" w:customStyle="1" w:styleId="Titulo11">
    <w:name w:val="Titulo11"/>
    <w:basedOn w:val="Ttulo1"/>
    <w:next w:val="Normal"/>
    <w:link w:val="Titulo11Car"/>
    <w:qFormat/>
    <w:rsid w:val="00B4765E"/>
    <w:pPr>
      <w:numPr>
        <w:numId w:val="1"/>
      </w:numPr>
    </w:pPr>
    <w:rPr>
      <w:rFonts w:ascii="Arial" w:hAnsi="Arial" w:cs="Arial"/>
      <w:b/>
      <w:bCs/>
      <w:sz w:val="24"/>
      <w:szCs w:val="24"/>
    </w:rPr>
  </w:style>
  <w:style w:type="character" w:customStyle="1" w:styleId="Titulo11Car">
    <w:name w:val="Titulo11 Car"/>
    <w:basedOn w:val="Ttulo1Car"/>
    <w:link w:val="Titulo11"/>
    <w:rsid w:val="00B4765E"/>
    <w:rPr>
      <w:rFonts w:ascii="Arial" w:eastAsiaTheme="majorEastAsia" w:hAnsi="Arial" w:cs="Arial"/>
      <w:b/>
      <w:bCs/>
      <w:color w:val="2F5496" w:themeColor="accent1" w:themeShade="BF"/>
      <w:kern w:val="0"/>
      <w:sz w:val="24"/>
      <w:szCs w:val="24"/>
      <w14:ligatures w14:val="none"/>
    </w:rPr>
  </w:style>
  <w:style w:type="paragraph" w:styleId="Encabezado">
    <w:name w:val="header"/>
    <w:basedOn w:val="Normal"/>
    <w:link w:val="EncabezadoCar"/>
    <w:uiPriority w:val="99"/>
    <w:unhideWhenUsed/>
    <w:rsid w:val="00B4765E"/>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B4765E"/>
    <w:rPr>
      <w:rFonts w:ascii="Arial" w:hAnsi="Arial"/>
      <w:kern w:val="0"/>
      <w:sz w:val="24"/>
      <w14:ligatures w14:val="none"/>
    </w:rPr>
  </w:style>
  <w:style w:type="paragraph" w:styleId="Piedepgina">
    <w:name w:val="footer"/>
    <w:basedOn w:val="Normal"/>
    <w:link w:val="PiedepginaCar"/>
    <w:uiPriority w:val="99"/>
    <w:unhideWhenUsed/>
    <w:rsid w:val="00B4765E"/>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B4765E"/>
    <w:rPr>
      <w:rFonts w:ascii="Arial" w:hAnsi="Arial"/>
      <w:kern w:val="0"/>
      <w:sz w:val="24"/>
      <w14:ligatures w14:val="none"/>
    </w:rPr>
  </w:style>
  <w:style w:type="character" w:styleId="Hipervnculo">
    <w:name w:val="Hyperlink"/>
    <w:basedOn w:val="Fuentedeprrafopredeter"/>
    <w:uiPriority w:val="99"/>
    <w:unhideWhenUsed/>
    <w:rsid w:val="00540E0E"/>
    <w:rPr>
      <w:color w:val="0563C1" w:themeColor="hyperlink"/>
      <w:u w:val="single"/>
    </w:rPr>
  </w:style>
  <w:style w:type="character" w:styleId="Mencinsinresolver">
    <w:name w:val="Unresolved Mention"/>
    <w:basedOn w:val="Fuentedeprrafopredeter"/>
    <w:uiPriority w:val="99"/>
    <w:semiHidden/>
    <w:unhideWhenUsed/>
    <w:rsid w:val="00540E0E"/>
    <w:rPr>
      <w:color w:val="605E5C"/>
      <w:shd w:val="clear" w:color="auto" w:fill="E1DFDD"/>
    </w:rPr>
  </w:style>
  <w:style w:type="character" w:styleId="Hipervnculovisitado">
    <w:name w:val="FollowedHyperlink"/>
    <w:basedOn w:val="Fuentedeprrafopredeter"/>
    <w:uiPriority w:val="99"/>
    <w:semiHidden/>
    <w:unhideWhenUsed/>
    <w:rsid w:val="00540E0E"/>
    <w:rPr>
      <w:color w:val="954F72" w:themeColor="followedHyperlink"/>
      <w:u w:val="single"/>
    </w:rPr>
  </w:style>
  <w:style w:type="table" w:styleId="Tablaconcuadrcula">
    <w:name w:val="Table Grid"/>
    <w:basedOn w:val="Tablanormal"/>
    <w:uiPriority w:val="39"/>
    <w:rsid w:val="00C926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nfasis5">
    <w:name w:val="Grid Table 5 Dark Accent 5"/>
    <w:basedOn w:val="Tablanormal"/>
    <w:uiPriority w:val="50"/>
    <w:rsid w:val="00C926F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Tablaconcuadrcula4-nfasis6">
    <w:name w:val="Grid Table 4 Accent 6"/>
    <w:basedOn w:val="Tablanormal"/>
    <w:uiPriority w:val="49"/>
    <w:rsid w:val="00895A60"/>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concuadrcula4-nfasis3">
    <w:name w:val="Grid Table 4 Accent 3"/>
    <w:basedOn w:val="Tablanormal"/>
    <w:uiPriority w:val="49"/>
    <w:rsid w:val="00A128E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amunda.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bpmn.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33C63D-740E-439C-87F0-35271B0FB2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252</TotalTime>
  <Pages>6</Pages>
  <Words>1181</Words>
  <Characters>6496</Characters>
  <Application>Microsoft Office Word</Application>
  <DocSecurity>0</DocSecurity>
  <Lines>54</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KENDAL TREJOS CUBERO</dc:creator>
  <cp:keywords/>
  <dc:description/>
  <cp:lastModifiedBy>KENDAL TREJOS CUBERO</cp:lastModifiedBy>
  <cp:revision>2</cp:revision>
  <dcterms:created xsi:type="dcterms:W3CDTF">2026-09-13T21:21:00Z</dcterms:created>
  <dcterms:modified xsi:type="dcterms:W3CDTF">2026-09-14T01:34:00Z</dcterms:modified>
</cp:coreProperties>
</file>