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UI Designer  |  Visual craft, component libraries, brand systems</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UI designer with 8+ years of experience in visual craft, component libraries, design tokens, and brand systems for web and mobile, across enterprise fintech and independent brands. Builds the interfaces in code when a team needs it.</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New York, NY  |  Part-time</w:t>
      </w:r>
      <w:r>
        <w:tab/>
        <w:t>May 2024 - Aug 2024</w:t>
      </w:r>
    </w:p>
    <w:p>
      <w:pPr>
        <w:pStyle w:val="ListBullet"/>
        <w:spacing w:after="20"/>
        <w:ind w:left="317"/>
      </w:pPr>
      <w:r>
        <w:t>Worked in a cafe and bakery in New York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