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UI Designer  |  Visual craft, component libraries, brand systems</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UI designer with 8+ years of experience in visual craft, component libraries, design tokens, and brand systems for web and mobile, across enterprise fintech and independent brands. Builds the interfaces in code when a team needs it.</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Freelance Designer and Self-Directed Learning, Independent</w:t>
      </w:r>
      <w:r>
        <w:t xml:space="preserve"> (Freelance, Jan 2020 - May 2021). Took on freelance web and design work while teaching myself UX design, front-end development, and prototyping.</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Front-end: </w:t>
      </w:r>
      <w:r>
        <w:t>HTML5, CSS, Sass, JavaScript, TypeScript, Angular, React, Vue, Next.js, WCAG accessibility, Git and GitHub</w:t>
      </w:r>
    </w:p>
    <w:p>
      <w:pPr>
        <w:spacing w:after="20"/>
      </w:pPr>
      <w:r>
        <w:rPr>
          <w:b/>
        </w:rPr>
        <w:t xml:space="preserve">Platforms and tools: </w:t>
      </w:r>
      <w:r>
        <w:t>Shopify, WordPress, Wix, Webflow, Netlify, Vercel, Supabase, Mailchimp, n8n, Canva, Notion, Jira, Agile</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Research: </w:t>
      </w:r>
      <w:r>
        <w:t>User interviews, usability testing, survey design, journey mapping, personas, A/B and multivariate testing, workshop facilitation</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