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ANALIZA STATYSTYCZNA WYNIKÓW BADAŃ WŁASNYCH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Analiza urazów oraz sposoby usprawniania kończyn dolnych u zawodników piłki nożnej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Opracowanie wyników ankiety własnej (N = 78) — statystyka opisowa i wnioskowanie statystyczne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Poziom istotności przyjęty do weryfikacji hipotez: α = 0,05</w:t>
      </w:r>
    </w:p>
    <w:p>
      <w:pPr>
        <w:pStyle w:val="Heading1"/>
        <w:spacing w:after="180" w:before="360"/>
      </w:pPr>
      <w:r>
        <w:t xml:space="preserve">1. Wprowadzenie metodologiczne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Badanie zrealizowano metodą sondażu diagnostycznego z wykorzystaniem autorskiego kwestionariusza ankiety internetowej (Google Forms), skierowanego do czynnych zawodników piłki nożnej. Do analizy zakwalifikowano N = 78 kompletnych odpowiedzi (aktualizacja zbioru danych względem poprzedniej wersji, N = 66). Analizę statystyczną przeprowadzono z zastosowaniem języka Python (biblioteki pandas, SciPy) w sposób odpowiadający procedurom i standardowi prezentacji wyników przyjętemu w pakiecie TIBCO Statistica, z zachowaniem formatu tabel zgodnego ze standardem APA.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Za poziom istotności statystycznej przyjęto α = 0,05. Wyniki testów, dla których wartość p była niższa od przyjętego poziomu istotności, uznano za istotne statystycznie i oznaczono w tabelach symbolem (*). Normalność rozkładu zmiennych ilościowych weryfikowano testem Shapiro-Wilka; w przypadku braku podstaw do przyjęcia rozkładu normalnego oraz dla zmiennych porządkowych zastosowano odpowiedniki nieparametryczne (test U Manna-Whitneya, korelacja rang Spearmana). Dla tabel kontyngencji zastosowano test χ² Pearsona, a w przypadku liczebności oczekiwanych &lt; 5 w którejkolwiek komórce tabeli — Dokładny Test Fishera.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Uwaga dotycząca jakości danych: w toku weryfikacji arkusza stwierdzono dwa przypadki błędów wprowadzania danych: (1) wpis tekstowy niebędący liczbą w zmiennej „Wiek” (N = 77 dla analiz z udziałem wieku) oraz (2) wpis w formacie zakresu lat (np. „2013–2026”) zamiast liczby lat w zmiennej „Staż zawodniczy” (N = 77 dla analiz z udziałem stażu). Oba rekordy wykluczono wyłącznie z analiz dotyczących odpowiednio wieku i stażu, pozostawiając je w analizach pozostałych zmiennych.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Zgodnie z logiką kwestionariusza pytania modułu 2 i 3 (dotyczące charakterystyki klinicznej i procesu usprawniania) kierowane były wyłącznie do zawodników, którzy w ciągu ostatnich 24 miesięcy doznali urazu kończyny dolnej wykluczającego z gry na min. 7 dni (n = 56 spośród N = 78; 71,8% próby). Analizy w modułach 2–3 opierają się zatem na podpróbie n = 56, co każdorazowo zaznaczono.</w:t>
      </w:r>
    </w:p>
    <w:p>
      <w:pPr>
        <w:pStyle w:val="Heading1"/>
        <w:spacing w:after="180" w:before="360"/>
      </w:pPr>
      <w:r>
        <w:t xml:space="preserve">2. Moduł 1: Charakterystyka badanej grupy</w:t>
      </w:r>
    </w:p>
    <w:p>
      <w:pPr>
        <w:pStyle w:val="Heading2"/>
        <w:spacing w:after="140" w:before="280"/>
      </w:pPr>
      <w:r>
        <w:t xml:space="preserve">2.1. Cechy ilościowe (wiek, staż zawodniczy)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1. Statystyki opisowe zmiennych ilościowych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00"/>
        <w:gridCol w:w="1600"/>
        <w:gridCol w:w="1200"/>
        <w:gridCol w:w="1600"/>
        <w:gridCol w:w="1200"/>
        <w:gridCol w:w="1100"/>
      </w:tblGrid>
      <w:tr>
        <w:trPr>
          <w:tblHeader/>
        </w:trPr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Zmienna</w:t>
            </w:r>
          </w:p>
        </w:tc>
        <w:tc>
          <w:tcPr>
            <w:tcW w:type="dxa" w:w="7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 ± SD</w:t>
            </w:r>
          </w:p>
        </w:tc>
        <w:tc>
          <w:tcPr>
            <w:tcW w:type="dxa" w:w="1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Me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Q25–Q75</w:t>
            </w:r>
          </w:p>
        </w:tc>
        <w:tc>
          <w:tcPr>
            <w:tcW w:type="dxa" w:w="1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Min–Max</w:t>
            </w:r>
          </w:p>
        </w:tc>
        <w:tc>
          <w:tcPr>
            <w:tcW w:type="dxa" w:w="1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Shapiro-Wilk (p)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Wiek (lata)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24,58 ± 6,68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24,0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19,0–29,0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16–43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W=0,918; p=&lt; 0,001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Staż zawodniczy (lata)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12,31 ± 5,81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12,0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9,0–16,0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2–30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W=0,964; p=0,029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 M — średnia arytmetyczna; SD — odchylenie standardowe; Me — mediana; Q25–Q75 — kwartyle (rozstęp międzykwartylowy); W — statystyka testu Shapiro-Wilka.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Badaną grupę stanowili zawodnicy w wieku od 16 do 43 lat (M = 24,58; SD = 6,68; Me = 24,0; Q25–Q75: 19,0–29,0). Wynik testu Shapiro-Wilka wskazał na istotne odchylenie rozkładu wieku od rozkładu normalnego (W = 0,918; p &lt; 0,001), co uzasadnia stosowanie w dalszych analizach testów nieparametrycznych dla tej zmiennej. Staż zawodniczy badanych wynosił od 2 do 30 lat (M = 12,31; SD = 5,81; Me = 12,0; Q25–Q75: 9,0–16,0); rozkład tej zmiennej również istotnie odbiegał od rozkładu normalnego (W = 0,964; p = 0,029), co dodatkowo uzasadnia zastosowanie testów nieparametrycznych w dalszych porównaniach z udziałem tej zmiennej.</w:t>
      </w:r>
    </w:p>
    <w:p>
      <w:pPr>
        <w:pStyle w:val="Heading2"/>
        <w:spacing w:after="140" w:before="280"/>
      </w:pPr>
      <w:r>
        <w:t xml:space="preserve">2.2. Cechy jakościowe grupy badanej</w:t>
      </w:r>
    </w:p>
    <w:p>
      <w:pPr>
        <w:pStyle w:val="Heading3"/>
        <w:spacing w:after="100" w:before="200"/>
      </w:pPr>
      <w:r>
        <w:t xml:space="preserve">2.2.1. Poziom rozgrywkowy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2. Poziom rozgrywkowy — liczebność i odsetek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1600"/>
      </w:tblGrid>
      <w:tr>
        <w:trPr>
          <w:tblHeader/>
        </w:trPr>
        <w:tc>
          <w:tcPr>
            <w:tcW w:type="dxa" w:w="5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Kategoria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Półprofesjonalny / Amatorski (IV liga i niższe)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94,9%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Profesjonalny (Ekstraklasa – III liga)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5,1%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Razem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100,0%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</w:t>
      </w:r>
    </w:p>
    <w:p>
      <w:pPr>
        <w:pStyle w:val="Heading3"/>
        <w:spacing w:after="100" w:before="200"/>
      </w:pPr>
      <w:r>
        <w:t xml:space="preserve">2.2.2. Pozycja na boisku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3. Pozycja na boisku — liczebność i odsetek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1600"/>
      </w:tblGrid>
      <w:tr>
        <w:trPr>
          <w:tblHeader/>
        </w:trPr>
        <w:tc>
          <w:tcPr>
            <w:tcW w:type="dxa" w:w="5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Kategoria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Pomocnik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39,7%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Obrońca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37,2%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Napastnik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17,9%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Bramkarz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5,1%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Razem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100,0%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</w:t>
      </w:r>
    </w:p>
    <w:p>
      <w:pPr>
        <w:pStyle w:val="Heading3"/>
        <w:spacing w:after="100" w:before="200"/>
      </w:pPr>
      <w:r>
        <w:t xml:space="preserve">2.2.3. Dominująca kończyna dolna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4. Dominująca kończyna dolna — liczebność i odsetek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1600"/>
      </w:tblGrid>
      <w:tr>
        <w:trPr>
          <w:tblHeader/>
        </w:trPr>
        <w:tc>
          <w:tcPr>
            <w:tcW w:type="dxa" w:w="5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Kategoria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Prawa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71,8%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Lewa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19,2%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Obunożność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9,0%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Razem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100,0%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</w:t>
      </w:r>
    </w:p>
    <w:p>
      <w:pPr>
        <w:pStyle w:val="Heading3"/>
        <w:spacing w:after="100" w:before="200"/>
      </w:pPr>
      <w:r>
        <w:t xml:space="preserve">2.2.4. Samoocena wiedzy o prewencji urazów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5. Samoocena wiedzy o prewencji urazów — liczebność i odsetek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1600"/>
      </w:tblGrid>
      <w:tr>
        <w:trPr>
          <w:tblHeader/>
        </w:trPr>
        <w:tc>
          <w:tcPr>
            <w:tcW w:type="dxa" w:w="5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Kategoria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Nie mam wystarczającej wiedzy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37,2%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Raczej tak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35,9%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26,9%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Razem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100,0%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</w:t>
      </w:r>
    </w:p>
    <w:p>
      <w:pPr>
        <w:pStyle w:val="Heading3"/>
        <w:spacing w:after="100" w:before="200"/>
      </w:pPr>
      <w:r>
        <w:t xml:space="preserve">2.2.5. Wystąpienie urazu w ciągu ostatnich 24 miesięcy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6. Wystąpienie urazu w ciągu ostatnich 24 miesięcy — liczebność i odsetek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1600"/>
      </w:tblGrid>
      <w:tr>
        <w:trPr>
          <w:tblHeader/>
        </w:trPr>
        <w:tc>
          <w:tcPr>
            <w:tcW w:type="dxa" w:w="5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Kategoria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71,8%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28,2%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Razem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100,0%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</w:t>
      </w:r>
    </w:p>
    <w:p>
      <w:pPr>
        <w:pStyle w:val="Heading3"/>
        <w:spacing w:after="100" w:before="200"/>
      </w:pPr>
      <w:r>
        <w:t xml:space="preserve">2.2.6. Liczba urazów w ciągu 24 miesięcy (podpróba n=56)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7. Liczba urazów w ciągu 24 miesięcy (podpróba n=56) — liczebność i odsetek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1600"/>
      </w:tblGrid>
      <w:tr>
        <w:trPr>
          <w:tblHeader/>
        </w:trPr>
        <w:tc>
          <w:tcPr>
            <w:tcW w:type="dxa" w:w="5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Kategoria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33,9%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41,1%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14,3%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8,9%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i więcej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1,8%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Razem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100,0%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Badana grupa miała charakter przeważająco amatorski/półprofesjonalny — 94,9% zawodników reprezentowało IV ligę i niższe klasy rozgrywkowe, a jedynie 5,1% (n = 4) grało na poziomie profesjonalnym (Ekstraklasa – III liga), co w dalszym ciągu istotnie ogranicza moc analiz porównawczych między poziomami sportowymi, choć — w odróżnieniu od poprzedniej wersji zbioru danych — umożliwia już przeprowadzenie formalnego testu statystycznego (por. Moduł 5). Najliczniej reprezentowaną formacją byli pomocnicy (39,7%) i obrońcy (37,2%). Dominującą kończyną dolną była kończyna prawa (71,8%). Łącznie 37,2% badanych zadeklarowało brak wystarczającej wiedzy na temat zapobiegania urazom kończyn dolnych, a jedynie 26,9% zawodników oceniło swoją wiedzę jako w pełni wystarczającą. Uraz kończyny dolnej wykluczający z gry na co najmniej 7 dni w ciągu ostatnich 24 miesięcy zgłosiło 71,8% badanych (n = 56), co potwierdza wysoką ekspozycję badanej populacji na kontuzje tej okolicy ciała. Wśród zawodników, którzy doznali urazu, najczęściej odnotowywano 2 kontuzje (41,1%) lub 1 kontuzję (33,9%), a u 10,7% badanych liczba urazów wyniosła 4 lub więcej.</w:t>
      </w:r>
    </w:p>
    <w:p>
      <w:pPr>
        <w:pStyle w:val="Heading1"/>
        <w:spacing w:after="180" w:before="360"/>
      </w:pPr>
      <w:r>
        <w:t xml:space="preserve">3. Moduł 2: Charakterystyka kliniczna i mechanizm najpoważniejszego urazu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Poniższe analizy dotyczą podpróby zawodników, którzy w ciągu ostatnich 24 miesięcy doznali urazu kończyny dolnej (n = 56). W przypadku respondentów zgłaszających więcej niż jedną kontuzję, zgodnie z instrukcją ankiety, analizowano wyłącznie uraz najpoważniejszy (najdłużej wykluczający z gry).</w:t>
      </w:r>
    </w:p>
    <w:p>
      <w:pPr>
        <w:pStyle w:val="Heading2"/>
        <w:spacing w:after="140" w:before="280"/>
      </w:pPr>
      <w:r>
        <w:t xml:space="preserve">3.1. Obszar anatomiczny urazu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Pytanie dopuszczało wielokrotny wybór (uraz mógł obejmować więcej niż jedną strukturę anatomiczną), stąd suma odsetek przekracza 100%.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8. Obszar anatomiczny najpoważniejszego urazu (pytanie wielokrotnego wyboru, n = 56)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1600"/>
      </w:tblGrid>
      <w:tr>
        <w:trPr>
          <w:tblHeader/>
        </w:trPr>
        <w:tc>
          <w:tcPr>
            <w:tcW w:type="dxa" w:w="5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Obszar anatomiczny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Staw skokowy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33,9%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Staw kolanowy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30,4%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Mięśnie uda (czworogłowy / kulszowo-goleniowe / przywodziciele)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21,4%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Staw biodrowy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7,1%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Stopa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5,4%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Podudzie / łydka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3,6%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 Odsetki nie sumują się do 100% (pytanie wielokrotnego wyboru).</w:t>
      </w:r>
    </w:p>
    <w:p>
      <w:pPr>
        <w:pStyle w:val="Heading2"/>
        <w:spacing w:after="140" w:before="280"/>
      </w:pPr>
      <w:r>
        <w:t xml:space="preserve">3.2. Rodzaj urazu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9. Rodzaj najpoważniejszego urazu (n = 56)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1600"/>
      </w:tblGrid>
      <w:tr>
        <w:trPr>
          <w:tblHeader/>
        </w:trPr>
        <w:tc>
          <w:tcPr>
            <w:tcW w:type="dxa" w:w="5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Rodzaj urazu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Skręcenie (np. stawu skokowego/kolanowego)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33,9%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Naderwanie/zerwanie więzadeł (np. ACL, PCL, ATFL)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28,6%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Naderwanie/zerwanie mięśnia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25,0%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Stłuczenie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8,9%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Złamanie/pęknięcie kości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3,6%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Razem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100,0%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</w:t>
      </w:r>
    </w:p>
    <w:p>
      <w:pPr>
        <w:pStyle w:val="Heading2"/>
        <w:spacing w:after="140" w:before="280"/>
      </w:pPr>
      <w:r>
        <w:t xml:space="preserve">3.3. Okoliczności powstania urazu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10. Okoliczności powstania urazu (n = 56)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1600"/>
      </w:tblGrid>
      <w:tr>
        <w:trPr>
          <w:tblHeader/>
        </w:trPr>
        <w:tc>
          <w:tcPr>
            <w:tcW w:type="dxa" w:w="5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Okoliczności urazu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Mecz — mechanizm kontaktowy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35,7%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Mecz — mechanizm bezkontaktowy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26,8%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Trening — mechanizm bezkontaktowy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23,2%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Trening — mechanizm kontaktowy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14,3%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Razem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100,0%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Zsumowane wg sytuacji sportowej: urazy odniesione podczas meczu stanowiły 62,5% (n = 35), a podczas treningu 37,5% (n = 21). Zsumowane wg mechanizmu: dokładnie po 50,0% (n = 28) urazów miało charakter kontaktowy i bezkontaktowy, co wskazuje na równy udział obu mechanizmów urazowości w badanej grupie.</w:t>
      </w:r>
    </w:p>
    <w:p>
      <w:pPr>
        <w:pStyle w:val="Heading2"/>
        <w:spacing w:after="140" w:before="280"/>
      </w:pPr>
      <w:r>
        <w:t xml:space="preserve">3.4. Analiza opisów tekstowych struktur anatomicznych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Szczegółowy, merytoryczny opis tekstowy urazu (z uwzględnieniem konkretnej struktury anatomicznej) podało 20 z 56 respondentów (35,7%); pozostali zaznaczyli odpowiedź „Brak”/„Nie posiadam” lub nie posiadali takiej wiedzy/dokumentacji. Analiza treści udzielonych opisów pozwoliła wyodrębnić następujące, najczęściej wskazywane, specyficzne jednostki chorobowe/strukturalne: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1600"/>
      </w:tblGrid>
      <w:tr>
        <w:trPr>
          <w:tblHeader/>
        </w:trPr>
        <w:tc>
          <w:tcPr>
            <w:tcW w:type="dxa" w:w="5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Wyodrębniona jednostka strukturalna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Uszkodzenia struktur stawu skokowego (skręcenia, naderwania więzozrostu)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20,0%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Uszkodzenia łąkotki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20,0%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Uszkodzenia więzadła krzyżowego przedniego (ACL)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15,0%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Uszkodzenia więzadeł kolana inne niż ACL (poboczne, PCL, MCL)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15,0%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Uszkodzenia mięśnia dwugłowego uda / grupy kulszowo-goleniowej (hamstring)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15,0%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Złamania/pęknięcia kości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15,0%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Uszkodzenia mięśni przywodzicieli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10,0%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własne, analiza treści odpowiedzi otwartych (n = 20; odsetki liczone względem tej podpróby, kategorie się nie wykluczają).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Podobnie jak w poprzedniej edycji zbioru danych, wśród opisów jakościowych zwraca uwagę współwystępowanie uszkodzeń wielostrukturalnych (np. jednoczesne zerwanie ACL z uszkodzeniem MCL i łąkotki, złamanie kości strzałkowej łącznie z uszkodzeniem więzadeł, tzw. triada O'Donoghue), co jest zgodne z literaturą wskazującą na złożony, wieloelementowy charakter ciężkich urazów skrętnych kolana u piłkarzy.</w:t>
      </w:r>
    </w:p>
    <w:p>
      <w:pPr>
        <w:pStyle w:val="Heading1"/>
        <w:spacing w:after="180" w:before="360"/>
      </w:pPr>
      <w:r>
        <w:t xml:space="preserve">4. Moduł 3: Proces usprawniania, rehabilitacja i powrót do gry (RTP)</w:t>
      </w:r>
    </w:p>
    <w:p>
      <w:pPr>
        <w:pStyle w:val="Heading2"/>
        <w:spacing w:after="140" w:before="280"/>
      </w:pPr>
      <w:r>
        <w:t xml:space="preserve">4.1. Osoba prowadząca proces rehabilitacji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11. Osoba/osoby prowadzące proces usprawniania (pytanie wielokrotnego wyboru, n = 56)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1600"/>
      </w:tblGrid>
      <w:tr>
        <w:trPr>
          <w:tblHeader/>
        </w:trPr>
        <w:tc>
          <w:tcPr>
            <w:tcW w:type="dxa" w:w="5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Podmiot prowadzący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Fizjoterapeuta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66,1%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Lekarz ortopeda (tylko diagnoza i kontrola)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39,3%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Samodzielna rehabilitacja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39,3%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Trener personalny / przygotowania motorycznego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5,4%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Brak rehabilitacji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1,8%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 Odsetki nie sumują się do 100% (pytanie wielokrotnego wyboru).</w:t>
      </w:r>
    </w:p>
    <w:p>
      <w:pPr>
        <w:pStyle w:val="Heading2"/>
        <w:spacing w:after="140" w:before="280"/>
      </w:pPr>
      <w:r>
        <w:t xml:space="preserve">4.2. Metody fizjoterapeutyczne zastosowane w leczeniu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12. Zastosowane metody fizjoterapeutyczne (pytanie wielokrotnego wyboru, n = 55)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1600"/>
      </w:tblGrid>
      <w:tr>
        <w:trPr>
          <w:tblHeader/>
        </w:trPr>
        <w:tc>
          <w:tcPr>
            <w:tcW w:type="dxa" w:w="5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Metoda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Trening medyczny / ćwiczenia siłowe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67,3%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Terapia manualna (masaż, mobilizacje)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54,5%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Fizykoterapia (laser, fala uderzeniowa, pole magnetyczne, hydroterapia)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27,3%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Kinesiotaping (plastrowanie)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20,0%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Inne (odpoczynek, farmakoterapia miejscowa)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1,8%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 n = 55 (jeden respondent nie udzielił odpowiedzi). Odsetki nie sumują się do 100%.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Dominującymi metodami usprawniania były trening medyczny/ćwiczenia siłowe (67,3%) oraz terapia manualna (54,5%), co odpowiada współczesnym, aktywnym modelom rehabilitacji sportowej opartym na stopniowym obciążaniu tkanek (ang. load management), przy relatywnie mniejszym udziale metod fizykalnych biernych (27,3%).</w:t>
      </w:r>
    </w:p>
    <w:p>
      <w:pPr>
        <w:pStyle w:val="Heading2"/>
        <w:spacing w:after="140" w:before="280"/>
      </w:pPr>
      <w:r>
        <w:t xml:space="preserve">4.3. Subiektywna ocena odzyskanej sprawności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13a. Rozkład ocen subiektywnej sprawności kończyny po zakończeniu usprawniania (skala 1–5, n = 56)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1600"/>
      </w:tblGrid>
      <w:tr>
        <w:trPr>
          <w:tblHeader/>
        </w:trPr>
        <w:tc>
          <w:tcPr>
            <w:tcW w:type="dxa" w:w="5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Ocena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— Pełny powrót do sprawności sprzed urazu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46,4%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 — Powrót do sprawności niemal całkowitej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33,9%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— Poprawa znacząca, z ograniczeniami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16,1%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— Poprawa niewielka, odczuwalny dyskomfort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1,8%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— Brak poprawy / minimalna poprawa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1,8%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Razem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100,0%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13b. Statystyki opisowe skali subiektywnej oceny sprawności (1–5)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00"/>
        <w:gridCol w:w="1600"/>
        <w:gridCol w:w="1200"/>
        <w:gridCol w:w="1600"/>
        <w:gridCol w:w="1200"/>
        <w:gridCol w:w="1100"/>
      </w:tblGrid>
      <w:tr>
        <w:trPr>
          <w:tblHeader/>
        </w:trPr>
        <w:tc>
          <w:tcPr>
            <w:tcW w:type="dxa" w:w="2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Zmienna</w:t>
            </w:r>
          </w:p>
        </w:tc>
        <w:tc>
          <w:tcPr>
            <w:tcW w:type="dxa" w:w="7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 ± SD</w:t>
            </w:r>
          </w:p>
        </w:tc>
        <w:tc>
          <w:tcPr>
            <w:tcW w:type="dxa" w:w="1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Me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Q25–Q75</w:t>
            </w:r>
          </w:p>
        </w:tc>
        <w:tc>
          <w:tcPr>
            <w:tcW w:type="dxa" w:w="1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Min–Max</w:t>
            </w:r>
          </w:p>
        </w:tc>
        <w:tc>
          <w:tcPr>
            <w:tcW w:type="dxa" w:w="1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Shapiro-Wilk (p)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Ocena sprawności (1–5)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4,21 ± 0,91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4,0–5,0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1–5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W=0,787; p=&lt; 0,001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Zdecydowana większość badanych (80,3%) oceniła powrót sprawności kończyny na najwyższe poziomy skali (4–5 punktów), co świadczy o generalnie korzystnych subiektywnych efektach procesu usprawniania w badanej grupie. Rozkład ocen wykazał istotne odchylenie od normalności (test Shapiro-Wilka: W = 0,787; p &lt; 0,001), z lewostronną asymetrią (przewaga wysokich ocen), co uzasadnia stosowanie testów nieparametrycznych przy dalszych porównaniach grupowych.</w:t>
      </w:r>
    </w:p>
    <w:p>
      <w:pPr>
        <w:pStyle w:val="Heading2"/>
        <w:spacing w:after="140" w:before="280"/>
      </w:pPr>
      <w:r>
        <w:t xml:space="preserve">4.4. Czas powrotu do pełnego treningu (RTP) oraz podmiot decyzyjny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14. Czas powrotu do pełnego treningu z drużyną (RTP) (n = 56)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1600"/>
      </w:tblGrid>
      <w:tr>
        <w:trPr>
          <w:tblHeader/>
        </w:trPr>
        <w:tc>
          <w:tcPr>
            <w:tcW w:type="dxa" w:w="5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Czas RTP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2–4 tygodnie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32,1%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1–3 miesiące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26,8%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Powyżej 3 miesięcy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21,4%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Poniżej 2 tygodni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19,6%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Razem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100,0%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15. Podmiot podejmujący ostateczną decyzję o powrocie do pełnych obciążeń (n = 56)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1600"/>
      </w:tblGrid>
      <w:tr>
        <w:trPr>
          <w:tblHeader/>
        </w:trPr>
        <w:tc>
          <w:tcPr>
            <w:tcW w:type="dxa" w:w="5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Decydent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Samodzielnie (zawodnik)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58,9%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Fizjoterapeuta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33,9%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Lekarz prowadzący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7,1%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Razem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100,0%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Podobnie jak w poprzedniej edycji badania, na uwagę zasługuje fakt, że w 58,9% przypadków to sam zawodnik — a nie personel medyczny — podejmował ostateczną decyzję o powrocie do pełnych obciążeń treningowych i meczowych. Stanowi to istotne odstępstwo od rekomendowanego, opartego na kryteriach obiektywnych (criteria-based) modelu podejmowania decyzji o RTP.</w:t>
      </w:r>
    </w:p>
    <w:p>
      <w:pPr>
        <w:pStyle w:val="Heading2"/>
        <w:spacing w:after="140" w:before="280"/>
      </w:pPr>
      <w:r>
        <w:t xml:space="preserve">4.5. Testy funkcjonalne, etapowość powrotu i kinezjofobia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16. Wykonanie obiektywnych testów funkcjonalnych przed powrotem do gry (pytanie wielokrotnego wyboru, n = 56)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1600"/>
      </w:tblGrid>
      <w:tr>
        <w:trPr>
          <w:tblHeader/>
        </w:trPr>
        <w:tc>
          <w:tcPr>
            <w:tcW w:type="dxa" w:w="5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Rodzaj testu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Nie przeszedłem żadnych specjalistycznych testów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76,8%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Testy siły mięśniowej (dynamometria, testy izokinetyczne)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10,7%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Testy skoków (np. Hop Test)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10,7%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Testy stabilności / równowagi (np. Y-Balance Test)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10,7%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Testy szybkościowe i zwinnościowe na boisku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7,1%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 Odsetki nie sumują się do 100% (pytanie wielokrotnego wyboru).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17. Etapowość powrotu do treningu z drużyną (n = 56)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1600"/>
      </w:tblGrid>
      <w:tr>
        <w:trPr>
          <w:tblHeader/>
        </w:trPr>
        <w:tc>
          <w:tcPr>
            <w:tcW w:type="dxa" w:w="5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Etapowość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Tak — powrót stopniowy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53,6%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Nie — od razu trening pełny z drużyną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46,4%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Razem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100,0%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18. Lęk przed ponownym doznaniem tego samego urazu (kinezjofobia) po powrocie do gry (n = 56)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1600"/>
      </w:tblGrid>
      <w:tr>
        <w:trPr>
          <w:tblHeader/>
        </w:trPr>
        <w:tc>
          <w:tcPr>
            <w:tcW w:type="dxa" w:w="5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Poziom lęku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Tak, ale tylko w pierwszych meczach/treningach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48,2%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Nie, pełne poczucie pewności i bezpieczeństwa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30,4%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Tak, lęk był duży i wpływał na grę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21,4%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Razem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100,0%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Niepokojącym wynikiem z perspektywy medycyny sportowej pozostaje fakt, że aż 76,8% badanych nie zostało poddanych żadnym obiektywnym testom funkcjonalnym oceniającym gotowość kończyny do powrotu do gry, mimo że taki model postępowania (testing-based RTP) uznawany jest za standard ograniczający ryzyko urazów nawrotowych. Etapowy powrót do treningów zastosowano u niewiele ponad połowy badanych (53,6%). Zjawisko kinezjofobii (lęku przed ponownym urazem) dotyczyło łącznie 69,6% zawodników po powrocie do gry (w tym u 21,4% lęk był na tyle nasilony, że realnie wpływał na sposób gry), co wskazuje na istotny, często pomijany w praktyce klinicznej, psychologiczny wymiar procesu powrotu do sportu.</w:t>
      </w:r>
    </w:p>
    <w:p>
      <w:pPr>
        <w:pStyle w:val="Heading1"/>
        <w:spacing w:after="180" w:before="360"/>
      </w:pPr>
      <w:r>
        <w:t xml:space="preserve">5. Moduł 4: Praktyka profilaktyczna i nawyki regeneracyjne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Poniższe analizy dotyczą całej badanej grupy (N = 78), niezależnie od przebytego urazu.</w:t>
      </w:r>
    </w:p>
    <w:p>
      <w:pPr>
        <w:pStyle w:val="Heading2"/>
        <w:spacing w:after="140" w:before="280"/>
      </w:pPr>
      <w:r>
        <w:t xml:space="preserve">5.1. Zorganizowana profilaktyka w klubie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19. Obecność zorganizowanej profilaktyki urazów w klubie/zespole (n = 77)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1600"/>
      </w:tblGrid>
      <w:tr>
        <w:trPr>
          <w:tblHeader/>
        </w:trPr>
        <w:tc>
          <w:tcPr>
            <w:tcW w:type="dxa" w:w="5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Forma profilaktyki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Tylko rozgrzewka ogólnorozwojowa przed treningiem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33,8%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Tak, jako stały element rozgrzewki (np. program FIFA 11+)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23,4%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Sporadycznie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16,9%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13,0%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Tak, jako osobne jednostki treningowe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6,5%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Tylko w okresach przygotowawczych przed sezonem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6,5%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Razem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100,0%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 Braki danych: n = 1.</w:t>
      </w:r>
    </w:p>
    <w:p>
      <w:pPr>
        <w:pStyle w:val="Heading2"/>
        <w:spacing w:after="140" w:before="280"/>
      </w:pPr>
      <w:r>
        <w:t xml:space="preserve">5.2. Samodzielna profilaktyka aktywna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20. Elementy profilaktyki aktywnej stosowane samodzielnie (pytanie wielokrotnego wyboru, N = 78)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1600"/>
      </w:tblGrid>
      <w:tr>
        <w:trPr>
          <w:tblHeader/>
        </w:trPr>
        <w:tc>
          <w:tcPr>
            <w:tcW w:type="dxa" w:w="5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Element profilaktyki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Rozciąganie (stretching statyczny/dynamiczny)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60,3%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Autorozluźnianie powięziowe (foam rolling)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52,6%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Praca nad mobilnością stawów (mobility)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41,0%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Ćwiczenia siłowe koncentryczne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30,8%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Ćwiczenia siłowe zapobiegające urazom (ekscentryczne/izometryczne)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26,9%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Ćwiczenia stabilizacyjne (CORE/propriocepcja)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25,6%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Nie stosuję żadnych dodatkowych metod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19,2%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 Odsetki nie sumują się do 100% (pytanie wielokrotnego wyboru).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21. Częstotliwość samodzielnych ćwiczeń profilaktycznych (n = 77)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1600"/>
      </w:tblGrid>
      <w:tr>
        <w:trPr>
          <w:tblHeader/>
        </w:trPr>
        <w:tc>
          <w:tcPr>
            <w:tcW w:type="dxa" w:w="5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Częstotliwość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2–3 razy w tygodniu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40,3%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Raz w tygodniu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16,9%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4–6 razy w tygodniu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14,3%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Rzadziej niż raz w tygodniu / sporadycznie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14,3%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Nie stosuję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11,7%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Codziennie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2,6%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Razem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100,0%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Podobnie jak w poprzedniej edycji zbioru danych, ćwiczenia siłowe zapobiegające urazom (trening ekscentryczny/izometryczny) — mimo jednych z najsilniejszych dowodów naukowych na skuteczność w prewencji urazów mięśni kulszowo-goleniowych — stosuje jedynie 26,9% badanych, rzadziej niż powszechnie dostępne, mniej specyficzne formy jak rozciąganie (60,3%).</w:t>
      </w:r>
    </w:p>
    <w:p>
      <w:pPr>
        <w:pStyle w:val="Heading2"/>
        <w:spacing w:after="140" w:before="280"/>
      </w:pPr>
      <w:r>
        <w:t xml:space="preserve">5.3. Regeneracja i odnowa biologiczna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22. Elementy regeneracji i odnowy biologicznej w rutynie zawodnika (pytanie wielokrotnego wyboru, N = 78)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1600"/>
      </w:tblGrid>
      <w:tr>
        <w:trPr>
          <w:tblHeader/>
        </w:trPr>
        <w:tc>
          <w:tcPr>
            <w:tcW w:type="dxa" w:w="5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Element regeneracji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Odpowiednia ilość snu (min. 7–9 h/dobę)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73,1%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Zbilansowana dieta i nawodnienie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55,1%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Suplementacja (witaminy, minerały, odżywki białkowe)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55,1%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Zimne kąpiele / morsowanie / krioterapia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21,8%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Regularne wizyty u fizjoterapeuty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12,8%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Nie stosuję żadnych metod regeneracji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10,3%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Odzież kompresyjna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5,1%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 Odsetki nie sumują się do 100% (pytanie wielokrotnego wyboru).</w:t>
      </w:r>
    </w:p>
    <w:p>
      <w:pPr>
        <w:pStyle w:val="Heading2"/>
        <w:spacing w:after="140" w:before="280"/>
      </w:pPr>
      <w:r>
        <w:t xml:space="preserve">5.4. Źródła wiedzy i bariery w stosowaniu profilaktyki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23. Źródła wiedzy o ćwiczeniach profilaktycznych i metodach regeneracji (pytanie wielokrotnego wyboru, N = 78)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1600"/>
      </w:tblGrid>
      <w:tr>
        <w:trPr>
          <w:tblHeader/>
        </w:trPr>
        <w:tc>
          <w:tcPr>
            <w:tcW w:type="dxa" w:w="5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Źródło wiedzy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Internet (social media, YouTube, portale sportowe)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62,8%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Fizjoterapeuta (klubowy lub prywatny)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47,4%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Starsi/bardziej doświadczeni koledzy z drużyny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21,8%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Trener przygotowania motorycznego / trener główny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20,5%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Brak takiej wiedzy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14,1%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 Odsetki nie sumują się do 100% (pytanie wielokrotnego wyboru).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24. Bariery w regularnym stosowaniu profilaktyki (n = 77)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1600"/>
      </w:tblGrid>
      <w:tr>
        <w:trPr>
          <w:tblHeader/>
        </w:trPr>
        <w:tc>
          <w:tcPr>
            <w:tcW w:type="dxa" w:w="54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Bariera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Brak czasu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37,7%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Nie widzę przeszkód, stosuję regularnie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33,8%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Brak wiedzy, jak poprawnie wykonywać ćwiczenia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15,6%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Brak odpowiedniego sprzętu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6,5%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Brak przekonania o skuteczności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6,5%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Razem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100,0%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Internet pozostaje dominującym, w wielu przypadkach niezweryfikowanym merytorycznie, źródłem wiedzy zawodników o profilaktyce urazów (62,8%), przewyższając odsetek czerpiących wiedzę od fizjoterapeuty (47,4%) czy trenera przygotowania motorycznego (20,5%). Główną deklarowaną barierą w stosowaniu profilaktyki pozostaje brak czasu (37,7%), a nie brak przekonania o jej skuteczności (6,5%), co wskazuje na organizacyjny, a nie postawy/przekonaniowy, charakter głównej bariery.</w:t>
      </w:r>
    </w:p>
    <w:p>
      <w:pPr>
        <w:pStyle w:val="Heading1"/>
        <w:spacing w:after="180" w:before="360"/>
      </w:pPr>
      <w:r>
        <w:t xml:space="preserve">6. Moduł 5: Statystyka wnioskowania — weryfikacja hipotez i zależności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 poniższym module zweryfikowano kluczowe hipotezy badawcze dotyczące zależności między charakterystyką zawodników, mechanizmem urazu, postępowaniem rehabilitacyjnym a wynikami procesu usprawniania. W odróżnieniu od poprzedniej wersji zbioru danych, powiększona liczebność podgrupy zawodników szczebla profesjonalnego (n = 4, uprzednio n = 1) umożliwiła przeprowadzenie formalnego testu zależności między poziomem rozgrywkowym a wystąpieniem urazu, choć nadal przy zachowaniu ostrożności interpretacyjnej ze względu na małą liczebność tej podgrupy.</w:t>
      </w:r>
    </w:p>
    <w:p>
      <w:pPr>
        <w:pStyle w:val="Heading2"/>
        <w:spacing w:after="140" w:before="280"/>
      </w:pPr>
      <w:r>
        <w:t xml:space="preserve">6.1. Poziom rozgrywkowy, wiek, staż zawodniczy a częstość i liczba urazów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25. Poziom rozgrywkowy a wystąpienie urazu w ciągu 24 miesięcy (N = 78)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1900"/>
      </w:tblGrid>
      <w:tr>
        <w:trPr>
          <w:tblHeader/>
        </w:trPr>
        <w:tc>
          <w:tcPr>
            <w:tcW w:type="dxa" w:w="3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Poziom rozgrywkowy</w:t>
            </w:r>
          </w:p>
        </w:tc>
        <w:tc>
          <w:tcPr>
            <w:tcW w:type="dxa" w:w="2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Bez urazu</w:t>
            </w:r>
          </w:p>
        </w:tc>
        <w:tc>
          <w:tcPr>
            <w:tcW w:type="dxa" w:w="2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Z urazem</w:t>
            </w:r>
          </w:p>
        </w:tc>
        <w:tc>
          <w:tcPr>
            <w:tcW w:type="dxa" w:w="19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Razem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Profesjonalny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Półprofesjonalny/amatorski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74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Razem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78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26. Wyniki testów niezależności — poziom rozgrywkowy × wystąpienie urazu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700"/>
        <w:gridCol w:w="1600"/>
      </w:tblGrid>
      <w:tr>
        <w:trPr>
          <w:tblHeader/>
        </w:trPr>
        <w:tc>
          <w:tcPr>
            <w:tcW w:type="dxa" w:w="5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Porównanie / zależność</w:t>
            </w:r>
          </w:p>
        </w:tc>
        <w:tc>
          <w:tcPr>
            <w:tcW w:type="dxa" w:w="27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Statystyka testu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Wartość p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χ² Pearsona (df=1)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χ² = 0,021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0,884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Dokładny Test Fishera (min. liczebność oczekiwana = 1,13 &lt; 5)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 = 0,84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1,000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Nie wykazano istotnej statystycznie zależności między poziomem rozgrywkowym a wystąpieniem urazu w ciągu ostatnich 24 miesięcy: χ²(1) = 0,021; p = 0,884; ze względu na liczebność oczekiwaną poniżej 5 w jednej z komórek tabeli wynik zweryfikowano Dokładnym Testem Fishera, który potwierdził brak istotności (p = 1,000). Należy jednak podkreślić, że liczebność podgrupy zawodników profesjonalnych (n = 4) pozostaje zbyt mała, aby wynik ten mógł być uznany za w pełni miarodajny.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27. Wiek i staż zawodniczy a wystąpienie urazu w ciągu 24 miesięcy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700"/>
        <w:gridCol w:w="1600"/>
      </w:tblGrid>
      <w:tr>
        <w:trPr>
          <w:tblHeader/>
        </w:trPr>
        <w:tc>
          <w:tcPr>
            <w:tcW w:type="dxa" w:w="5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Porównanie / zależność</w:t>
            </w:r>
          </w:p>
        </w:tc>
        <w:tc>
          <w:tcPr>
            <w:tcW w:type="dxa" w:w="27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Statystyka testu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Wartość p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Wiek: grupa z urazem (Me=23,5; n=56) vs. bez urazu (Me=25,0; n=21)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 Manna-Whitneya = 497,0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0,299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Staż: grupa z urazem (Me=10,0; n=55) vs. bez urazu (Me=14,0; n=22)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 Manna-Whitneya = 422,5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0,039 *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 * różnica istotna statystycznie przy α = 0,05.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28. Korelacja liczby urazów (podpróba n=55–56) z wiekiem i stażem zawodniczym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700"/>
        <w:gridCol w:w="1600"/>
      </w:tblGrid>
      <w:tr>
        <w:trPr>
          <w:tblHeader/>
        </w:trPr>
        <w:tc>
          <w:tcPr>
            <w:tcW w:type="dxa" w:w="5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Porównanie / zależność</w:t>
            </w:r>
          </w:p>
        </w:tc>
        <w:tc>
          <w:tcPr>
            <w:tcW w:type="dxa" w:w="27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Statystyka testu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Wartość p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Liczba urazów × wiek (korelacja rang Spearmana, n=56)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rho = -0,138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0,310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Liczba urazów × staż zawodniczy (korelacja rang Spearmana, n=55)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rho = -0,137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0,318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Test U Manna-Whitneya nie wykazał istotnej statystycznie różnicy w wieku pomiędzy zawodnikami, którzy doznali urazu w ciągu ostatnich 24 miesięcy, a tymi, którzy urazu nie doznali (U = 497,0; p = 0,299). Podobnie jak w poprzedniej edycji zbioru danych, wykazano natomiast istotną statystycznie różnicę w stażu zawodniczym między obiema grupami (U = 422,5; p = 0,039) — zawodnicy z krótszym stażem (Me = 10,0 roku) istotnie częściej zgłaszali uraz niż zawodnicy z dłuższym stażem (Me = 14,0 roku). Kierunek tej zależności może wynikać z częściowej konfundacji ze stażem/doświadczeniem technicznym, a nie z prostego efektu ekspozycji czasowej, i wymaga ostrożnej interpretacji w kontekście przekrojowego charakteru badania. Wśród zawodników, którzy doznali urazu, nie stwierdzono istotnych statystycznie korelacji między liczbą przebytych urazów a wiekiem (rho = -0,138; p = 0,310) ani stażem zawodniczym (rho = -0,137; p = 0,318).</w:t>
      </w:r>
    </w:p>
    <w:p>
      <w:pPr>
        <w:pStyle w:val="Heading2"/>
        <w:spacing w:after="140" w:before="280"/>
      </w:pPr>
      <w:r>
        <w:t xml:space="preserve">6.2. Okoliczności urazu (kontaktowy vs. bezkontaktowy) a rodzaj uszkodzonej tkanki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Analizę ograniczono do dwóch najliczniej reprezentowanych i klinicznie porównywalnych kategorii tkankowych — uszkodzeń mięśni (n=14) oraz uszkodzeń więzadeł (n=16), z pominięciem kategorii skręceń stawowych o niesprecyzowanej strukturze, złamań i stłuczeń.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29. Tabela kontyngencji: mechanizm urazu × rodzaj uszkodzonej tkanki (n = 30)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1900"/>
      </w:tblGrid>
      <w:tr>
        <w:trPr>
          <w:tblHeader/>
        </w:trPr>
        <w:tc>
          <w:tcPr>
            <w:tcW w:type="dxa" w:w="3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Mechanizm urazu</w:t>
            </w:r>
          </w:p>
        </w:tc>
        <w:tc>
          <w:tcPr>
            <w:tcW w:type="dxa" w:w="2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Mięśnie</w:t>
            </w:r>
          </w:p>
        </w:tc>
        <w:tc>
          <w:tcPr>
            <w:tcW w:type="dxa" w:w="2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Więzadła</w:t>
            </w:r>
          </w:p>
        </w:tc>
        <w:tc>
          <w:tcPr>
            <w:tcW w:type="dxa" w:w="19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Razem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Bezkontaktowy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Kontaktowy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Razem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30. Wyniki testów niezależności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700"/>
        <w:gridCol w:w="1600"/>
      </w:tblGrid>
      <w:tr>
        <w:trPr>
          <w:tblHeader/>
        </w:trPr>
        <w:tc>
          <w:tcPr>
            <w:tcW w:type="dxa" w:w="5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Porównanie / zależność</w:t>
            </w:r>
          </w:p>
        </w:tc>
        <w:tc>
          <w:tcPr>
            <w:tcW w:type="dxa" w:w="27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Statystyka testu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Wartość p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χ² Pearsona (df=1)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χ² = 1,265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0,261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Dokładny Test Fishera (weryfikacja pomocnicza)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 = 2,31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0,299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Nie wykazano istotnej statystycznie zależności między okolicznościami powstania urazu (mechanizm kontaktowy vs. bezkontaktowy) a rodzajem uszkodzonej tkanki (mięśnie vs. więzadła): χ²(1) = 1,265; p = 0,261; wynik potwierdzony Dokładnym Testem Fishera (p = 0,299). Choć w podgrupie urazów o mechanizmie kontaktowym odsetek uszkodzeń więzadłowych był liczbowo wyższy niż w podgrupie bezkontaktowej (iloraz szans OR = 2,31), różnica ta nie osiągnęła istotności statystycznej — wniosek ten należy traktować z ostrożnością z uwagi na wciąż umiarkowaną liczebność podgrup (n = 30).</w:t>
      </w:r>
    </w:p>
    <w:p>
      <w:pPr>
        <w:pStyle w:val="Heading2"/>
        <w:spacing w:after="140" w:before="280"/>
      </w:pPr>
      <w:r>
        <w:t xml:space="preserve">6.3. Testy funkcjonalne i etapowość RTP a odzyskana sprawność i kinezjofobia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31. Testy funkcjonalne i etapowość powrotu a subiektywna ocena sprawności oraz poziom lęku (n = 56)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700"/>
        <w:gridCol w:w="1600"/>
      </w:tblGrid>
      <w:tr>
        <w:trPr>
          <w:tblHeader/>
        </w:trPr>
        <w:tc>
          <w:tcPr>
            <w:tcW w:type="dxa" w:w="5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Porównanie / zależność</w:t>
            </w:r>
          </w:p>
        </w:tc>
        <w:tc>
          <w:tcPr>
            <w:tcW w:type="dxa" w:w="27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Statystyka testu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Wartość p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Ocena sprawności: wykonano testy funkcjonalne (Me=4,0; n=13) vs. nie wykonano (Me=4,0; n=43)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 Manna-Whitneya = 266,5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0,793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Ocena sprawności: powrót etapowy (Me=4,0; n=30) vs. powrót natychmiastowy (Me=5,0; n=26)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 Manna-Whitneya = 314,5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0,183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Kinezjofobia: wykonano testy funkcjonalne (Me=1; n=13) vs. nie wykonano (Me=1; n=43)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 Manna-Whitneya = 241,0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0,424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Kinezjofobia: powrót etapowy (M=1,13; n=30) vs. powrót natychmiastowy (M=0,65; n=26)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 Manna-Whitneya = 528,0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0,014 *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 * istotne przy α = 0,05. Kinezjofobię zakodowano porządkowo: 0 = brak lęku, 1 = lęk przejściowy, 2 = lęk nasilony.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Nie wykazano istotnych statystycznie różnic w subiektywnej ocenie odzyskanej sprawności ani między zawodnikami poddanymi i niepoddanymi obiektywnym testom funkcjonalnym przed powrotem do gry (U = 266,5; p = 0,793), ani między zawodnikami wracającymi do treningu etapowo a wracającymi bezpośrednio (U = 314,5; p = 0,183). Potwierdzono natomiast, tak jak w poprzedniej edycji zbioru danych, istotną statystycznie zależność między etapowością powrotu a poziomem odczuwanej kinezjofobii (U = 528,0; p = 0,014): zawodnicy, których powrót do treningu z drużyną przebiegał etapowo, deklarowali istotnie wyższy poziom lęku przed ponownym urazem (M = 1,13) niż zawodnicy wracający bezpośrednio (M = 0,65). Kierunek tej zależności należy interpretować z uwzględnieniem odwrotnej przyczynowości — etapowy model powrotu jest częściej stosowany właśnie w przypadku cięższych bądź bardziej niepokojących klinicznie urazów, co może w naturalny sposób wiązać się z wyższym poziomem lęku zawodnika, a nie odwrotnie.</w:t>
      </w:r>
    </w:p>
    <w:p>
      <w:pPr>
        <w:pStyle w:val="Heading2"/>
        <w:spacing w:after="140" w:before="280"/>
      </w:pPr>
      <w:r>
        <w:t xml:space="preserve">6.4. Profilaktyka a liczba urazów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32. Profilaktyka klubowa i indywidualna a liczba urazów (N = 77–78)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700"/>
        <w:gridCol w:w="1600"/>
      </w:tblGrid>
      <w:tr>
        <w:trPr>
          <w:tblHeader/>
        </w:trPr>
        <w:tc>
          <w:tcPr>
            <w:tcW w:type="dxa" w:w="5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Porównanie / zależność</w:t>
            </w:r>
          </w:p>
        </w:tc>
        <w:tc>
          <w:tcPr>
            <w:tcW w:type="dxa" w:w="27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Statystyka testu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Wartość p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Liczba urazów: zorganizowana profilaktyka w klubie (M=1,52; n=54) vs. brak/rzadko (M=1,39; n=23)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 Manna-Whitneya = 631,0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0,913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Liczba urazów × częstotliwość samodzielnej profilaktyki (korelacja rang Spearmana, n=77)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rho = 0,125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0,279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 Liczba urazów obliczona dla całej próby (0 dla braku urazu w okresie 24 mies.).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Nie wykazano istotnej statystycznie zależności między obecnością zorganizowanej profilaktyki w klubie a liczbą doznanych urazów (U = 631,0; p = 0,913), ani między częstotliwością samodzielnie stosowanej profilaktyki a liczbą urazów (rho = 0,125; p = 0,279). Wyniki te są spójne z poprzednią edycją zbioru danych. Brak istotnych zależności w tym obszarze może wynikać z kilku czynników metodologicznych: (1) przekrojowego, retrospektywnego charakteru badania, uniemożliwiającego określenie związku przyczynowo-skutkowego oraz kolejności zdarzeń (część zawodników mogła zintensyfikować profilaktykę dopiero po doznaniu urazu — efekt odwrotnej przyczynowości), (2) ograniczonej mocy statystycznej testu, (3) niejednorodności jakościowej deklarowanej „zorganizowanej profilaktyki” w klubach (od pełnych programów typu FIFA 11+ po samą rozgrzewkę ogólnorozwojową), którą trudno ściśle zoperacjonalizować w zmiennej dychotomicznej.</w:t>
      </w:r>
    </w:p>
    <w:p>
      <w:pPr>
        <w:pStyle w:val="Heading2"/>
        <w:spacing w:after="140" w:before="280"/>
      </w:pPr>
      <w:r>
        <w:t xml:space="preserve">6.5. Samoocena wiedzy o prewencji a stosowanie profilaktyki aktywnej (hipoteza uzupełniająca H5)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 ramach dodatkowej, eksploracyjnej analizy danych (niewynikającej bezpośrednio z hipotez H1–H4, lecz sformułowanej na podstawie obserwacji opisowych przedstawionych w Module 4) zweryfikowano hipotezę uzupełniającą H5, zakładającą związek między samooceną wiedzy zawodnika na temat prewencji urazów (pytanie metryczkowe, N = 78) a rzeczywistym zakresem, częstotliwością i charakterem stosowanej samodzielnie profilaktyki aktywnej (Moduł 4, N = 77–78). Analizie poddano całą badaną grupę, niezależnie od przebytego urazu.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33. Samoocena wiedzy o prewencji a liczba i częstotliwość stosowanej profilaktyki aktywnej (N = 77–78)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700"/>
        <w:gridCol w:w="1600"/>
      </w:tblGrid>
      <w:tr>
        <w:trPr>
          <w:tblHeader/>
        </w:trPr>
        <w:tc>
          <w:tcPr>
            <w:tcW w:type="dxa" w:w="5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Porównanie / zależność</w:t>
            </w:r>
          </w:p>
        </w:tc>
        <w:tc>
          <w:tcPr>
            <w:tcW w:type="dxa" w:w="27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Statystyka testu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Wartość p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Liczba stosowanych elementów profilaktyki aktywnej × samoocena wiedzy (korelacja rang Spearmana, N=78)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rho = 0,342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0,002 *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Liczba stosowanych elementów profilaktyki aktywnej × samoocena wiedzy (test Kruskala-Wallisa, 3 grupy)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H(2) = 10,99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0,004 *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Częstotliwość samodzielnej profilaktyki × samoocena wiedzy (korelacja rang Spearmana, n=77)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rho = 0,266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0,019 *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Częstotliwość samodzielnej profilaktyki × samoocena wiedzy (test Kruskala-Wallisa, 3 grupy)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H(2) = 5,72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0,057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 * różnica/korelacja istotna statystycznie przy α = 0,05. Samoocena wiedzy zakodowana porządkowo: 0 = brak wystarczającej wiedzy, 1 = raczej wystarczająca, 2 = w pełni wystarczająca.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Wykazano istotną statystycznie, umiarkowaną korelację dodatnią między samooceną wiedzy zawodnika a liczbą stosowanych samodzielnie elementów profilaktyki aktywnej (rho = 0,342; p = 0,002), potwierdzoną testem Kruskala-Wallisa (H(2) = 10,99; p = 0,004). Średnia liczba stosowanych elementów profilaktyki rosła wyraźnie wraz z poziomem deklarowanej wiedzy: M = 1,79 (grupa „brak wystarczającej wiedzy”, n = 29), M = 2,25 (grupa „raczej tak”, n = 28) oraz M = 4,19 (grupa „tak”, n = 21). Analogiczny, choć słabszy, kierunek zależności odnotowano dla częstotliwości samodzielnie stosowanej profilaktyki (rho = 0,266; p = 0,019), przy czym test Kruskala-Wallisa dla tej zmiennej osiągnął jedynie granicę istotności statystycznej (p = 0,057).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34. Tabela kontyngencji: samoocena wiedzy o prewencji × stosowanie ćwiczeń siłowych zapobiegających urazom (ekscentrycznych/izometrycznych) (N = 78)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2000"/>
        <w:gridCol w:w="1300"/>
      </w:tblGrid>
      <w:tr>
        <w:trPr>
          <w:tblHeader/>
        </w:trPr>
        <w:tc>
          <w:tcPr>
            <w:tcW w:type="dxa" w:w="4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Samoocena wiedzy o prewencji</w:t>
            </w:r>
          </w:p>
        </w:tc>
        <w:tc>
          <w:tcPr>
            <w:tcW w:type="dxa" w:w="20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Nie stosuje</w:t>
            </w:r>
          </w:p>
        </w:tc>
        <w:tc>
          <w:tcPr>
            <w:tcW w:type="dxa" w:w="20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Stosuje</w:t>
            </w:r>
          </w:p>
        </w:tc>
        <w:tc>
          <w:tcPr>
            <w:tcW w:type="dxa" w:w="1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Razem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Nie mam wystarczającej wiedzy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Raczej tak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Tak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Razem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78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Tabela 35. Wyniki testów niezależności — samoocena wiedzy o prewencji × stosowanie ćwiczeń ekscentrycznych/izometrycznych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700"/>
        <w:gridCol w:w="1600"/>
      </w:tblGrid>
      <w:tr>
        <w:trPr>
          <w:tblHeader/>
        </w:trPr>
        <w:tc>
          <w:tcPr>
            <w:tcW w:type="dxa" w:w="5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Porównanie / zależność</w:t>
            </w:r>
          </w:p>
        </w:tc>
        <w:tc>
          <w:tcPr>
            <w:tcW w:type="dxa" w:w="27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Statystyka testu</w:t>
            </w:r>
          </w:p>
        </w:tc>
        <w:tc>
          <w:tcPr>
            <w:tcW w:type="dxa" w:w="16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Wartość p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χ² Pearsona (df=2)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χ² = 12,87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0,002 *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Korelacja rang Spearmana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rho = 0,405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&lt; 0,001 *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Źródło: opracowanie własne. * istotne przy α = 0,05.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Szczególnie wyraźny związek wykazano w odniesieniu do stosowania ćwiczeń siłowych o charakterze ekscentrycznym/izometrycznym — formy profilaktyki dysponującej jednymi z najsilniejszych dowodów naukowych na skuteczność w prewencji urazów mięśni kulszowo-goleniowych, a zarazem stosowanej najrzadziej spośród wszystkich analizowanych form profilaktyki aktywnej (26,9% całej próby; por. Moduł 4, podrozdział 5.2). Odsetek zawodników stosujących tę formę ćwiczeń rósł wyraźnie wraz z poziomem samooceny wiedzy: od 6,9% (2/29) w grupie deklarującej niewystarczającą wiedzę, przez 28,6% (8/28) w grupie „raczej tak”, do 52,4% (11/21) w grupie oceniającej swoją wiedzę jako w pełni wystarczającą (χ²(2) = 12,87; p = 0,002; korelacja rang Spearmana: rho = 0,405; p &lt; 0,001).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Wykazane zależności należy interpretować z zachowaniem tej samej ostrożności metodologicznej, która towarzyszy pozostałym analizom przekrojowym w niniejszym raporcie: (1) kierunek związku przyczynowo-skutkowego pozostaje niejednoznaczny — nie można wykluczyć, że to praktyka profilaktyczna podnosi subiektywne poczucie kompetencji zawodnika, a nie odwrotnie; (2) obie zmienne pochodzą z samoopisu w ramach tej samej ankiety, co niesie ryzyko obciążenia wspólną metodą pomiaru. Mimo tych zastrzeżeń otrzymany wynik jest spójny (potwierdzony niezależnymi testami: korelacją rang, testem Kruskala-Wallisa i testem χ²) oraz stanowi najsilniejszą statystycznie zależność odnotowaną w całym badaniu, a zarazem jedyną wskazującą na czynnik potencjalnie modyfikowalny w drodze interwencji edukacyjnej.</w:t>
      </w:r>
    </w:p>
    <w:p>
      <w:pPr>
        <w:pStyle w:val="Heading1"/>
        <w:spacing w:after="180" w:before="360"/>
      </w:pPr>
      <w:r>
        <w:t xml:space="preserve">7. Podsumowanie wyników i ograniczenia badania</w:t>
      </w:r>
    </w:p>
    <w:p>
      <w:pPr>
        <w:pStyle w:val="Heading2"/>
        <w:spacing w:after="140" w:before="280"/>
      </w:pPr>
      <w:r>
        <w:t xml:space="preserve">7.1. Najważniejsze wnioski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Ekspozycja badanej grupy piłkarzy na urazy kończyny dolnej wykluczające z gry na min. 7 dni pozostaje wysoka (71,8% w okresie 24 miesięcy), a znaczna część poszkodowanych zawodników doznała więcej niż jednego urazu (55,4% z co najmniej 2 urazami).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Najczęściej urażanym obszarem jest staw skokowy (33,9%), a dominującym typem urazu — skręcenie stawowe (33,9%), przy istotnym udziale poważniejszych uszkodzeń więzadłowych (28,6%) i mięśniowych (25,0%).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Zawodnicy z krótszym stażem sportowym istotnie częściej zgłaszali wystąpienie urazu niż zawodnicy z dłuższym stażem (p = 0,039), co potwierdza obserwację z poprzedniej edycji badania.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Nie wykazano istotnej zależności między poziomem rozgrywkowym a wystąpieniem urazu (p = 0,884), przy zastrzeżeniu ograniczonej liczebności podgrupy zawodników profesjonalnych.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Proces powrotu do gry w zdecydowanej większości przypadków nie jest oparty na obiektywnych kryteriach funkcjonalnych (76,8% badanych nie wykonało żadnych testów), a decyzję o powrocie najczęściej podejmuje sam zawodnik (58,9%), a nie personel medyczny.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Etapowy model powrotu do treningu wiąże się z istotnie wyższym poziomem odczuwanej kinezjofobii (p = 0,014), co wskazuje na potrzebę uwzględniania wsparcia psychologicznego w procesie RTP.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Nie wykazano istotnych statystycznie zależności między obecnością profilaktyki (klubowej ani indywidualnej) a liczbą doznanych urazów, co przy przekrojowym charakterze badania nie powinno być interpretowane jako dowód nieskuteczności profilaktyki, lecz raczej jako sygnał do dalszych badań o charakterze prospektywnym.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 przeciwieństwie do braku istotnych zależności dla profilaktyki klubowej, wykazano istotną statystycznie, umiarkowaną zależność między samooceną wiedzy zawodnika o prewencji urazów a rzeczywistym zakresem stosowanej profilaktyki aktywnej (rho = 0,342; p = 0,002), w tym zwłaszcza z wykorzystaniem ćwiczeń ekscentrycznych/izometrycznych o najwyższej udokumentowanej skuteczności naukowej (p = 0,002; por. podrozdział 6.5) — jest to najsilniejszy statystycznie i praktycznie najbardziej obiecujący wynik całego badania, wskazujący edukację zawodników jako potencjalnie skuteczny kierunek działań profilaktycznych.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Głównym deklarowanym źródłem wiedzy o profilaktyce urazów jest internet (62,8%), a główną barierą w jej stosowaniu — brak czasu (37,7%), a nie brak przekonania co do jej skuteczności (6,5%).</w:t>
      </w:r>
    </w:p>
    <w:p>
      <w:pPr>
        <w:pStyle w:val="Heading2"/>
        <w:spacing w:after="140" w:before="280"/>
      </w:pPr>
      <w:r>
        <w:t xml:space="preserve">7.2. Ograniczenia badania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Niereprezentatywna, wygodna próba (convenience sample) o umiarkowanej liczebności (N = 78), zdominowana przez zawodników szczebla amatorskiego/półprofesjonalnego (94,9%), co istotnie ogranicza możliwość uogólniania wyników na populację piłkarzy zawodowych.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Retrospektywny charakter badania (dane o urazach z okresu do 24 miesięcy wstecz) obarczony ryzykiem błędu pamięci (recall bias).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Przekrojowy (a nie prospektywny/kohortowy) schemat badania uniemożliwia wnioskowanie o związkach przyczynowo-skutkowych — wykazane zależności statystyczne należy interpretować wyłącznie jako korelacyjne.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Zastosowanie kwestionariusza samoopisowego (w tym samooceny sprawności i stopnia stosowania profilaktyki) niesie ryzyko obciążenia odpowiedzi społeczną aprobatą.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Niewielkie liczebności w wybranych podgrupach (np. n=4 dla poziomu profesjonalnego, n=13 dla zawodników poddanych testom funkcjonalnym) ograniczają moc statystyczną części testów i zwiększają ryzyko błędu II rodzaju.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Stwierdzone błędy wprowadzania danych w pojedynczych rekordach zmiennych „Wiek” i „Staż zawodniczy” wskazują na potrzebę staranniejszej walidacji formularza (np. ograniczenia pola do wartości liczbowych) w ewentualnych kolejnych edycjach badania.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Strona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z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Analiza statystyczna – urazy KKD u piłkarzy nożnych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2026-09-03T12:14:01.419Z</dcterms:created>
  <dcterms:modified xsi:type="dcterms:W3CDTF">2026-09-03T12:14:01.419Z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