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Spis treści</w:t>
          </w:r>
        </w:p>
        <w:p>
          <w:r>
            <w:fldChar w:fldCharType="begin" w:dirty="true"/>
            <w:instrText xml:space="preserve">TOC \o "1-2" \h \z \u</w:instrText>
            <w:fldChar w:fldCharType="separate"/>
            <w:fldChar w:fldCharType="end"/>
          </w:r>
        </w:p>
      </w:sdtContent>
    </w:sdt>
    <w:p>
      <w:pPr>
        <w:pStyle w:val="FirstParagraph"/>
      </w:pPr>
      <w:r>
        <w:t xml:space="preserve">Mateusz Klapczyński</w:t>
      </w:r>
    </w:p>
    <w:bookmarkStart w:id="20" w:name="Xbf3139bb5dbb0c4543b7ee984c544959fa0894a"/>
    <w:p>
      <w:pPr>
        <w:pStyle w:val="Heading1"/>
      </w:pPr>
      <w:r>
        <w:t xml:space="preserve">Na podstawie analizy urazów – sposoby usprawniania kończyn dolnych u zawodników piłki nożnej</w:t>
      </w:r>
    </w:p>
    <w:bookmarkEnd w:id="20"/>
    <w:bookmarkStart w:id="24" w:name="wstęp"/>
    <w:p>
      <w:pPr>
        <w:pStyle w:val="Heading1"/>
      </w:pPr>
      <w:r>
        <w:t xml:space="preserve">Wstęp</w:t>
      </w:r>
    </w:p>
    <w:bookmarkStart w:id="21" w:name="w.1.-cel-i-znaczenie-pracy"/>
    <w:p>
      <w:pPr>
        <w:pStyle w:val="Heading2"/>
      </w:pPr>
      <w:r>
        <w:t xml:space="preserve">W.1. Cel i znaczenie pracy</w:t>
      </w:r>
    </w:p>
    <w:p>
      <w:pPr>
        <w:pStyle w:val="FirstParagraph"/>
      </w:pPr>
      <w:r>
        <w:t xml:space="preserve">Piłka nożna jest jedną z najpopularniejszych dyscyplin sportowych na świecie, a jej dynamiczny charakter wymaga od zawodników doskonałego przygotowania motorycznego i technicznego. Intensywny wysiłek, nagłe zmiany kierunku biegu, skoki, lądowania oraz częsty kontakt fizyczny z przeciwnikiem sprawiają, że piłkarze są szczególnie podatni na urazy narządu ruchu. Najczęściej kontuzje dotyczą kończyn dolnych, które w tej dyscyplinie sportowej pełnią kluczową rolę zarówno w aspekcie lokomocji, jak i w wykonywaniu specyficznych zagrań piłkarskich.</w:t>
      </w:r>
    </w:p>
    <w:p>
      <w:pPr>
        <w:pStyle w:val="BodyText"/>
      </w:pPr>
      <w:r>
        <w:t xml:space="preserve">Celem niniejszej pracy jest analiza najczęściej występujących urazów kończyn dolnych u zawodników piłki nożnej oraz przedstawienie sposobów usprawniania i rehabilitacji, które umożliwiają efektywny powrót do pełnej sprawności. Realizacja celu badawczego została oparta na przeglądzie literatury przedmiotu oraz badaniach własnych przeprowadzonych w formie ankiety wśród piłkarzy (N = 78).</w:t>
      </w:r>
    </w:p>
    <w:bookmarkEnd w:id="21"/>
    <w:bookmarkStart w:id="22" w:name="w.2.-uzasadnienie-wyboru-tematu"/>
    <w:p>
      <w:pPr>
        <w:pStyle w:val="Heading2"/>
      </w:pPr>
      <w:r>
        <w:t xml:space="preserve">W.2. Uzasadnienie wyboru tematu</w:t>
      </w:r>
    </w:p>
    <w:p>
      <w:pPr>
        <w:pStyle w:val="FirstParagraph"/>
      </w:pPr>
      <w:r>
        <w:t xml:space="preserve">Znaczenie podjętego tematu wynika z faktu, że urazy kończyn dolnych nie tylko wykluczają zawodnika z udziału w treningach i meczach, lecz także mogą mieć długofalowe konsekwencje zdrowotne i negatywnie wpływać na całą karierę sportową. Odpowiednio dobrane metody usprawniania i rehabilitacji umożliwiają szybszy i bezpieczniejszy powrót do aktywności sportowej, a także pozwalają zminimalizować ryzyko nawrotów kontuzji.</w:t>
      </w:r>
    </w:p>
    <w:p>
      <w:pPr>
        <w:pStyle w:val="BodyText"/>
      </w:pPr>
      <w:r>
        <w:t xml:space="preserve">Uzasadnieniem wyboru tematu jest obserwacja wysokiej częstości urazów wśród piłkarzy na różnych poziomach rozgrywkowych oraz potrzeba pogłębionej analizy skutecznych metod usprawniania kończyn dolnych. Szczególne znaczenie mają urazy w obrębie stawu biodrowego, kolanowego i skokowego, gdyż to właśnie te struktury są najbardziej obciążone podczas aktywności piłkarskiej i najczęściej ulegają kontuzjom.</w:t>
      </w:r>
    </w:p>
    <w:bookmarkEnd w:id="22"/>
    <w:bookmarkStart w:id="23" w:name="w.3.-metody-badawcze-i-źródła"/>
    <w:p>
      <w:pPr>
        <w:pStyle w:val="Heading2"/>
      </w:pPr>
      <w:r>
        <w:t xml:space="preserve">W.3. Metody badawcze i źródła</w:t>
      </w:r>
    </w:p>
    <w:p>
      <w:pPr>
        <w:pStyle w:val="FirstParagraph"/>
      </w:pPr>
      <w:r>
        <w:t xml:space="preserve">Zastosowane metody badawcze obejmują analizę źródeł naukowych z zakresu medycyny sportowej, fizjoterapii oraz biomechaniki, a także opracowanie wyników autorskiej ankiety przeprowadzonej wśród zawodników piłki nożnej. Źródłem informacji były zarówno publikacje polskie, jak i zagraniczne, w tym artykuły naukowe, podręczniki specjalistyczne oraz aktualne badania kliniczne dotyczące urazów sportowych. Analizę statystyczną materiału empirycznego przeprowadzono z wykorzystaniem języka Python (biblioteki pandas, SciPy), z zachowaniem standardów prezentacji wyników przyjętych w pakiecie TIBCO Statistica oraz w publikacjach medycznych (styl APA). Szczegółowy opis metodyki badań własnych przedstawiono w Rozdziale V.</w:t>
      </w:r>
    </w:p>
    <w:bookmarkEnd w:id="23"/>
    <w:bookmarkEnd w:id="24"/>
    <w:bookmarkStart w:id="28" w:name="X6781c0a08acc9f846abec49f8016616cc14f56d"/>
    <w:p>
      <w:pPr>
        <w:pStyle w:val="Heading1"/>
      </w:pPr>
      <w:r>
        <w:t xml:space="preserve">Rozdział I. Charakterystyka piłki nożnej jako dyscypliny sportowej</w:t>
      </w:r>
    </w:p>
    <w:bookmarkStart w:id="25" w:name="krótka-historia-i-rozwój-piłki-nożnej"/>
    <w:p>
      <w:pPr>
        <w:pStyle w:val="Heading2"/>
      </w:pPr>
      <w:r>
        <w:t xml:space="preserve">1.1. Krótka historia i rozwój piłki nożnej</w:t>
      </w:r>
    </w:p>
    <w:p>
      <w:pPr>
        <w:pStyle w:val="FirstParagraph"/>
      </w:pPr>
      <w:r>
        <w:t xml:space="preserve">Piłka nożna, określana często mianem „królowej sportu”, jest jedną z najstarszych i najbardziej rozpowszechnionych dyscyplin sportowych na świecie. Jej początki sięgają starożytności, kiedy to w różnych kulturach rozgrywano gry z wykorzystaniem piłki. W formie zbliżonej do współczesnej piłka nożna zaczęła rozwijać się w XIX wieku w Anglii, gdzie w 1863 roku powstał The Football Association – organizacja, która jako pierwsza sformalizowała zasady gry. W krótkim czasie sport ten zdobył ogromną popularność w Europie, a następnie na całym świecie.</w:t>
      </w:r>
    </w:p>
    <w:p>
      <w:pPr>
        <w:pStyle w:val="BodyText"/>
      </w:pPr>
      <w:r>
        <w:t xml:space="preserve">Współczesna piłka nożna charakteryzuje się wysokim poziomem organizacji, standaryzacją reguł oraz ogromnym znaczeniem społecznym i ekonomicznym. Jest nie tylko sportem rekreacyjnym, ale także widowiskiem masowym i istotnym elementem kultury. Dynamiczny rozwój tej dyscypliny wiąże się z coraz większymi wymaganiami stawianymi zawodnikom, zarówno pod względem przygotowania fizycznego, jak i mentalnego.</w:t>
      </w:r>
    </w:p>
    <w:bookmarkEnd w:id="25"/>
    <w:bookmarkStart w:id="26" w:name="X3c9a5a630af9441fb4fa41d24e1fe02fff47c88"/>
    <w:p>
      <w:pPr>
        <w:pStyle w:val="Heading2"/>
      </w:pPr>
      <w:r>
        <w:t xml:space="preserve">1.2. Specyfika gry i wymagania fizyczne wobec zawodników</w:t>
      </w:r>
    </w:p>
    <w:p>
      <w:pPr>
        <w:pStyle w:val="FirstParagraph"/>
      </w:pPr>
      <w:r>
        <w:t xml:space="preserve">Piłka nożna należy do gier zespołowych o charakterze wytrzymałościowo-szybkościowym, w których zawodnik musi łączyć zdolności motoryczne z techniką oraz taktyką. W trakcie meczu piłkarze wykonują liczne sprinty, skoki, zwody i dynamiczne zwroty, które wymagają zarówno siły, jak i koordynacji ruchowej. Zawodnik musi być przygotowany do wykonywania wysiłku o zmiennej intensywności, obejmującego fazy biegu o niskiej intensywności przeplatane nagłymi przyspieszeniami i działaniami o wysokiej mocy.</w:t>
      </w:r>
    </w:p>
    <w:p>
      <w:pPr>
        <w:pStyle w:val="BodyText"/>
      </w:pPr>
      <w:r>
        <w:t xml:space="preserve">Wymagania fizyczne wobec piłkarzy obejmują przede wszystkim: wysoką wydolność tlenową i beztlenową, szybkość reakcji, moc eksplozywną, a także odpowiednią gibkość i stabilność stawową. Oprócz zdolności kondycyjnych istotne znaczenie ma także odporność psychiczna oraz umiejętność podejmowania decyzji pod presją czasu i przeciwnika. Te złożone wymagania sprawiają, że piłkarze są grupą sportowców szczególnie narażoną na przeciążenia oraz urazy układu ruchu.</w:t>
      </w:r>
    </w:p>
    <w:bookmarkEnd w:id="26"/>
    <w:bookmarkStart w:id="27" w:name="X5e60c646d5e82ebafc249c419815dde0697e6b5"/>
    <w:p>
      <w:pPr>
        <w:pStyle w:val="Heading2"/>
      </w:pPr>
      <w:r>
        <w:t xml:space="preserve">1.3. Obciążenia treningowe i meczowe w piłce nożnej</w:t>
      </w:r>
    </w:p>
    <w:p>
      <w:pPr>
        <w:pStyle w:val="FirstParagraph"/>
      </w:pPr>
      <w:r>
        <w:t xml:space="preserve">Proces treningowy w piłce nożnej jest długotrwały i obejmuje różne formy przygotowania: techniczne, taktyczne, kondycyjne i mentalne. Obciążenia treningowe są uzależnione od wieku zawodnika, poziomu rozgrywek oraz fazy sezonu. Współczesne metody treningowe kładą duży nacisk na indywidualizację obciążeń oraz monitorowanie parametrów wysiłku przy pomocy nowoczesnych technologii, takich jak GPS czy analiza tętna.</w:t>
      </w:r>
    </w:p>
    <w:p>
      <w:pPr>
        <w:pStyle w:val="BodyText"/>
      </w:pPr>
      <w:r>
        <w:t xml:space="preserve">Podczas meczu piłkarz pokonuje średnio od 8 do 12 kilometrów, w zależności od pozycji na boisku. Wysiłek ten nie jest równomierny, ponieważ obejmuje zarówno fazy biegu o niskiej intensywności, jak i intensywne sprinty, skoki czy interwencje wymagające dużej mocy. Częsta zmiana kierunku biegu, nagłe zatrzymania oraz dynamiczne przyspieszenia powodują znaczne przeciążenia stawów kończyn dolnych, szczególnie kolan, bioder i stawu skokowego.</w:t>
      </w:r>
    </w:p>
    <w:p>
      <w:pPr>
        <w:pStyle w:val="BodyText"/>
      </w:pPr>
      <w:r>
        <w:t xml:space="preserve">Zarówno w treningu, jak i w trakcie rozgrywek meczowych zawodnicy narażeni są na urazy wynikające z przeciążeń, nieprawidłowej techniki ruchu, niedostatecznej regeneracji, a także kontaktu fizycznego z przeciwnikiem. Zrozumienie charakterystyki obciążeń piłkarzy jest kluczowe dla właściwego planowania procesu rehabilitacji i profilaktyki kontuzji, co stanowi punkt wyjścia do dalszej analizy anatomiczno-biomechanicznej przedstawionej w kolejnym rozdziale.</w:t>
      </w:r>
    </w:p>
    <w:bookmarkEnd w:id="27"/>
    <w:bookmarkEnd w:id="28"/>
    <w:bookmarkStart w:id="32" w:name="Xa693952c9b7bc88b78f48cf0406faa88051075b"/>
    <w:p>
      <w:pPr>
        <w:pStyle w:val="Heading1"/>
      </w:pPr>
      <w:r>
        <w:t xml:space="preserve">Rozdział II. Anatomia i biomechanika wybranych stawów kończyn dolnych</w:t>
      </w:r>
    </w:p>
    <w:bookmarkStart w:id="29" w:name="staw-biodrowy"/>
    <w:p>
      <w:pPr>
        <w:pStyle w:val="Heading2"/>
      </w:pPr>
      <w:r>
        <w:t xml:space="preserve">2.1. Staw biodrowy</w:t>
      </w:r>
    </w:p>
    <w:p>
      <w:pPr>
        <w:pStyle w:val="FirstParagraph"/>
      </w:pPr>
      <w:r>
        <w:t xml:space="preserve">Staw biodrowy (</w:t>
      </w:r>
      <w:r>
        <w:rPr>
          <w:iCs/>
          <w:i/>
        </w:rPr>
        <w:t xml:space="preserve">articulatio coxae</w:t>
      </w:r>
      <w:r>
        <w:t xml:space="preserve">) jest stawem kulistym panewkowym łączącym głowę kości udowej z panewką kości miednicznej, pogłębioną przez obrąbek panewkowy – pierścień włóknisto-chrzęstny zwiększający stabilność mechaniczną połączenia poza jego równik [AA1]. Staw otacza mocna, dwuwarstwowa torebka stawowa, wzmocniona aparatem więzadłowym złożonym z trzech głównych więzadeł torebkowych (biodrowo-udowego, łonowo-udowego i kulszowo-udowego) oraz wewnątrzstawowego więzadła głowy kości udowej, pełniącego przede wszystkim funkcję naczyniową [AA1].</w:t>
      </w:r>
    </w:p>
    <w:p>
      <w:pPr>
        <w:pStyle w:val="BodyText"/>
      </w:pPr>
      <w:r>
        <w:t xml:space="preserve">Biomechanicznie biodro stanowi centralne ogniwo łańcucha kinetycznego, przenoszące na kończyny dolne obciążenia wielokrotnie przewyższające masę ciała zawodnika, co ma szczególne znaczenie podczas startów, wyskoków i lądowań [CC]. Jako staw o trzech stopniach swobody umożliwia ruchy zgięcia (do 120°), prostowania (do 15°), odwodzenia (do 40°), przywodzenia (do 45°) oraz rotacji zewnętrznej (15°) i wewnętrznej (35°) [EE]. Specyfika treningowa piłki nożnej prowadzi do charakterystycznych adaptacji tkankowych: młodzi piłkarze wykazują większą elastyczność mięśni zginaczy biodra niż zawodnicy innych dyscyplin, co odpowiada wymogowi szerokiego zamachu tylnego poprzedzającego kopnięcie [DD], natomiast powtarzalna rotacja zewnętrzna towarzysząca uderzeniom wewnętrzną częścią stopy skutkuje obniżonym biernym zakresem rotacji wewnętrznej biodra w porównaniu z populacją nietrenującą [nowe2]. Ograniczona ruchomość rotacyjna i mniejsze odwiedzenie biodra wiążą się z większą częstością bólu pachwiny i urazów kolana, co potwierdza znaczenie mechaniki tego stawu jako czynnika ryzyka kontuzji w piłce nożnej.</w:t>
      </w:r>
    </w:p>
    <w:bookmarkEnd w:id="29"/>
    <w:bookmarkStart w:id="30" w:name="staw-kolanowy"/>
    <w:p>
      <w:pPr>
        <w:pStyle w:val="Heading2"/>
      </w:pPr>
      <w:r>
        <w:t xml:space="preserve">2.2. Staw kolanowy</w:t>
      </w:r>
    </w:p>
    <w:p>
      <w:pPr>
        <w:pStyle w:val="FirstParagraph"/>
      </w:pPr>
      <w:r>
        <w:t xml:space="preserve">Staw kolanowy (udowo-piszczelowy i rzepkowo-udowy) jest złożonym połączeniem kości, chrząstki, więzadeł, łąkotek, torebki stawowej i mięśni, zapewniającym duży zakres ruchu przy jednoczesnej stabilności pod znacznym obciążeniem [AA2]. Szkielet stawu tworzą dalsza nasada kości udowej, bliższa nasada kości piszczelowej oraz rzepka [FF]; powierzchnie stawowe pokrywa chrząstka szklista, praktycznie pozbawiona unaczynienia, co warunkuje jej ograniczoną zdolność do samoistnej regeneracji. Stabilność stawu zapewniają struktury tkanki miękkiej – więzadła, łąkotki (półksiężycowate struktury z włóknistej chrząstki, klinowo rozszerzające pole kontaktu między kłykciami kości udowej a płaskowyżem piszczelowym [AA2]), torebka stawowa i mięśnie okalające.</w:t>
      </w:r>
    </w:p>
    <w:p>
      <w:pPr>
        <w:pStyle w:val="BodyText"/>
      </w:pPr>
      <w:r>
        <w:t xml:space="preserve">Biomechanicznie kolano pełni funkcję głównego elementu amortyzującego i transformującego energię w obrębie kończyny dolnej. Podczas sprintów, gwałtownych zmian kierunku biegu i lądowań siły reakcji stawu wielokrotnie przewyższają masę ciała zawodnika, a napięcie mięśnia czworogłowego i kąt zgięcia dynamicznie modyfikują obciążenia struktur wewnątrzstawowych, w tym więzadła krzyżowego przedniego (ACL) [GG]. Jako staw o trzech zasadniczych stopniach swobody kolano umożliwia zgięcie czynne do 130–135° (bierne do 140°) przy normatywnym punkcie wyprostu 0° [II]; ruch ten warunkowany jest synergistyczną pracą prostowników i zginaczy, w tym mięśni półbłoniastego, półścięgnistego i dwugłowego uda, wspieranych przez mięsień podkolanowy. Kluczową rolę w rozpraszaniu obciążeń odgrywają łąkotki – ich dysfunkcja (np. pęknięcia promieniowe lub postępująca ekstruzja) drastycznie zaburza pole kontaktu stawowego i może zwiększać szczytowy docisk tkankowy w przedziale przyśrodkowym o ponad 40%, przyspieszając procesy degeneracyjne chrząstki [HH]. Ze względu na kombinację dużego zakresu ruchu, wysokich obciążeń dynamicznych i ograniczonej zdolności regeneracyjnej struktur chrzęstno-więzadłowych, staw kolanowy pozostaje jedną z najbardziej podatnych na poważne urazy struktur w piłce nożnej.</w:t>
      </w:r>
    </w:p>
    <w:bookmarkEnd w:id="30"/>
    <w:bookmarkStart w:id="31" w:name="staw-skokowy"/>
    <w:p>
      <w:pPr>
        <w:pStyle w:val="Heading2"/>
      </w:pPr>
      <w:r>
        <w:t xml:space="preserve">2.3. Staw skokowy</w:t>
      </w:r>
    </w:p>
    <w:p>
      <w:pPr>
        <w:pStyle w:val="FirstParagraph"/>
      </w:pPr>
      <w:r>
        <w:t xml:space="preserve">Kompleks stawu skokowego obejmuje dwa funkcjonalnie odrębne obszary: staw skokowy górny (skokowo-goleniowy), łączący dystalne końce kości goleni z bloczkiem kości skokowej, oraz staw skokowy dolny, dzielący się na komorę tylną (skokowo-piętową) i przednią (skokowo-piętowo-łódkową) [AA3]. Stabilność stawu górnego zapewnia sześć więzadeł zgrupowanych w dwa kompleksy: przyśrodkowy (więzadło trójgraniaste) oraz boczny (więzadła skokowo-strzałkowe przednie i tylne oraz piętowo-strzałkowe) [AA3]; to właśnie kompleks boczny ulega uszkodzeniu w zdecydowanej większości urazów skrętnych kostki.</w:t>
      </w:r>
    </w:p>
    <w:p>
      <w:pPr>
        <w:pStyle w:val="BodyText"/>
      </w:pPr>
      <w:r>
        <w:t xml:space="preserve">Biomechanicznie kompleks skokowo-goleniowy stanowi dystalne ogniwo łańcucha kinetycznego, odpowiedzialne za amortyzację, stabilizację i transfer sił reakcji podłoża podczas lokomocji – funkcję fundamentalną w trakcie sprintów, nagłych zmian kierunku oraz odbicia stopy od podłoża, gdy obciążenia dynamiczne wielokrotnie przewyższają masę ciała zawodnika [II]. Staw skokowy górny umożliwia zgięcie podeszwowe czynne do 45° (bierne do 50°) oraz zgięcie grzbietowe czynne do 20° (bierne do 25°); staw skokowy dolny pozwala na supinację czynną do 30° oraz pronację do 15–20° [II]. Ruch zgięcia podeszwowego generowany jest przez mięsień trójgłowy łydki wspomagany przez głębokie stabilizatory (mięsień piszczelowy tylny, zginacz długi palucha), które dodatkowo utrzymują wysklepienie podłużne stopy; funkcję przeciwstawną pełnią prostowniki oraz zespół mięśni strzałkowych, stabilizujących boczną krawędź stopy. W warunkach sportowych zmęczenie tych grup mięśniowych lub nagłe przekroczenie fizjologicznych zakresów ruchu w mechanizmie inwersyjnym (zgięcie podeszwowe połączone z przywodzeniem i odwracaniem) prowadzi do destabilizacji stawu i stanowi pierwotny mechanizm urazów dystorsyjnych aparatu torebkowo-więzadłowego [II] – co koresponduje z epidemiologicznie potwierdzoną dominacją skręceń bocznych stawu skokowego w piłce nożnej, omówioną w kolejnym rozdziale.</w:t>
      </w:r>
    </w:p>
    <w:bookmarkEnd w:id="31"/>
    <w:bookmarkEnd w:id="32"/>
    <w:bookmarkStart w:id="37" w:name="Xc19072b9c1fecf303c0701e4109e8abc1860af0"/>
    <w:p>
      <w:pPr>
        <w:pStyle w:val="Heading1"/>
      </w:pPr>
      <w:r>
        <w:t xml:space="preserve">Rozdział III. Urazy kończyn dolnych oraz prewencja w piłce nożnej</w:t>
      </w:r>
    </w:p>
    <w:bookmarkStart w:id="33" w:name="definicja-urazu-i-kontuzji-sportowej"/>
    <w:p>
      <w:pPr>
        <w:pStyle w:val="Heading2"/>
      </w:pPr>
      <w:r>
        <w:t xml:space="preserve">3.1. Definicja urazu i kontuzji sportowej</w:t>
      </w:r>
    </w:p>
    <w:p>
      <w:pPr>
        <w:pStyle w:val="FirstParagraph"/>
      </w:pPr>
      <w:r>
        <w:t xml:space="preserve">Uraz sportowy definiuje się jako uszkodzenie struktury lub funkcji ciała powstałe w wyniku uczestnictwa w sporcie, podczas treningu lub zawodów, które wymaga opieki medycznej lub powoduje utratę czasu treningowego bądź zawodowego [JJ]. Kontuzja sportowa odnosi się natomiast do natychmiastowego odczucia bólu, dyskomfortu lub utraty funkcji zgłaszanego przez sportowca. Zgodnie z literaturą medyczną definicja urazu sportowego obejmuje najczęściej trzy elementy: powstanie w trakcie treningu lub zawodów, konieczność interwencji medycznej oraz utratę czasu treningowego lub zawodowego [JJ].</w:t>
      </w:r>
    </w:p>
    <w:bookmarkEnd w:id="33"/>
    <w:bookmarkStart w:id="34" w:name="klasyfikacja-urazów"/>
    <w:p>
      <w:pPr>
        <w:pStyle w:val="Heading2"/>
      </w:pPr>
      <w:r>
        <w:t xml:space="preserve">3.2. Klasyfikacja urazów</w:t>
      </w:r>
    </w:p>
    <w:p>
      <w:pPr>
        <w:pStyle w:val="FirstParagraph"/>
      </w:pPr>
      <w:r>
        <w:t xml:space="preserve">Podstawowego podziału urazów dokonuje się na podstawie mechanizmu i momentu pojawienia się objawów, wyróżniając urazy ostre oraz przeciążeniowe. Urazy ostre definiowane są jako nagłe uszkodzenia struktury tkankowej powstałe w wyniku jednorazowego przekazania energii, np. podczas uderzenia bądź skręcenia, natomiast urazy przeciążeniowe charakteryzują się stopniowym uszkodzeniem tkanki bez jednego konkretnego incydentu sprawczego, wynikającym z regularnie powtarzanych obciążeń i kumulacji mikrourazów [KK]. Dodatkowymi kryteriami klasyfikacyjnymi są lokalizacja anatomiczna, rodzaj uszkodzonej tkanki (kości, mięśnie, więzadła, ścięgna) oraz stopień ciężkości kontuzji [KK].</w:t>
      </w:r>
    </w:p>
    <w:bookmarkEnd w:id="34"/>
    <w:bookmarkStart w:id="35" w:name="Xdd352efb6dc94f1f6dd8ea044fb4e19889bc0c9"/>
    <w:p>
      <w:pPr>
        <w:pStyle w:val="Heading2"/>
      </w:pPr>
      <w:r>
        <w:t xml:space="preserve">3.3. Najczęstsze urazy w obrębie stawu biodrowego, kolanowego i skokowego</w:t>
      </w:r>
    </w:p>
    <w:p>
      <w:pPr>
        <w:pStyle w:val="FirstParagraph"/>
      </w:pPr>
      <w:r>
        <w:t xml:space="preserve">Większość badań epidemiologicznych wskazuje, że u zawodników piłki nożnej kontuzje stawu kolanowego oraz skokowego są rejestrowane istotnie częściej niż urazy biodra; w obrębie kolana i kostki dominują skręcenia aparatu więzadłowego, natomiast w rejonie biodra najpowszechniej występują uszkodzenia przeciążeniowe oraz kontuzje okolicy przywodzicieli [LL].</w:t>
      </w:r>
    </w:p>
    <w:p>
      <w:pPr>
        <w:pStyle w:val="BodyText"/>
      </w:pPr>
      <w:r>
        <w:rPr>
          <w:bCs/>
          <w:b/>
        </w:rPr>
        <w:t xml:space="preserve">Staw biodrowy.</w:t>
      </w:r>
      <w:r>
        <w:t xml:space="preserve"> Kontuzje biodra i pachwiny występują rzadziej niż urazy kolana i kostki, odpowiadając w przybliżeniu za 11–14% ogółu odnotowywanych kontuzji, niezależnie od wieku zawodników [LL]. Najczęstsze problemy tej okolicy to ból pachwiny, urazy przywodzicieli, pubalgia sportowa, konflikt udowo-panewkowy i uszkodzenia obrąbka stawowego; ograniczona rotacja biodra oraz mniejsze jego odwiedzenie wiążą się z większą częstością bólu pachwiny i urazów kolana, co podkreśla rolę mechaniki biodra jako czynnika ryzyka.</w:t>
      </w:r>
    </w:p>
    <w:p>
      <w:pPr>
        <w:pStyle w:val="BodyText"/>
      </w:pPr>
      <w:r>
        <w:rPr>
          <w:bCs/>
          <w:b/>
        </w:rPr>
        <w:t xml:space="preserve">Staw kolanowy.</w:t>
      </w:r>
      <w:r>
        <w:t xml:space="preserve"> Uszkodzenia kolana odpowiadają zazwyczaj za 14–30% wszystkich odnotowywanych kontuzji, przy czym odsetek ten różni się w zależności od płci, wieku oraz poziomu zaawansowania gry [MM]. Do najczęstszych urazów tej okolicy należą uszkodzenia więzadeł ACL i MCL, a także łąkotek i tkanki chrzęstnej [MM]. W obrębie aparatu więzadłowego ACL uznawany jest za strukturę najbardziej podatną na kontuzje i niosącą najpoważniejsze konsekwencje kliniczne, natomiast urazy łąkotkowo-chrzęstne, występujące z wysoką częstotliwością, prowadzą do długoterminowego wykluczenia zawodników z gry.</w:t>
      </w:r>
    </w:p>
    <w:p>
      <w:pPr>
        <w:pStyle w:val="BodyText"/>
      </w:pPr>
      <w:r>
        <w:rPr>
          <w:bCs/>
          <w:b/>
        </w:rPr>
        <w:t xml:space="preserve">Staw skokowy.</w:t>
      </w:r>
      <w:r>
        <w:t xml:space="preserve"> Staw skokowy stanowi najczęściej wskazywaną lokalizację urazu w piłce nożnej, odpowiadając w wielu analizach epidemiologicznych za 20–39% ogółu odnotowywanych kontuzji [NN]. Zdecydowanie dominują skręcenia więzadeł bocznych, stanowiące blisko 80% ± 10% wszystkich urazów tej okolicy [OO]; znacznie rzadziej diagnozuje się skręcenia syndesmozy (tzw. wysokie skręcenie kostki, polegające na uszkodzeniu więzadeł łączących kość piszczelową i strzałkową powyżej stawu skokowego), uszkodzenia więzadła przyśrodkowego (trójgraniastego), stłuczenia, złamania oraz zespół wklinowywania wywołany ocieraniem się kości lub ścięgien w nadmiernie zwężonej przestrzeni stawowej.</w:t>
      </w:r>
    </w:p>
    <w:bookmarkEnd w:id="35"/>
    <w:bookmarkStart w:id="36" w:name="prewencja-kontuzji-i-profilaktyka"/>
    <w:p>
      <w:pPr>
        <w:pStyle w:val="Heading2"/>
      </w:pPr>
      <w:r>
        <w:t xml:space="preserve">3.4. Prewencja kontuzji i profilaktyka</w:t>
      </w:r>
    </w:p>
    <w:p>
      <w:pPr>
        <w:pStyle w:val="FirstParagraph"/>
      </w:pPr>
      <w:r>
        <w:t xml:space="preserve">Podstawę profilaktyki kontuzji sportowych stanowi ugruntowany w literaturze model sekwencji prewencji, obejmujący cztery etapy: identyfikację problemu, określenie etiologii i mechanizmów powstawania urazów, wdrożenie procedur zapobiegawczych oraz ewaluację ich skuteczności. Współczesne piśmiennictwo klasyfikuje działania zapobiegawcze na trzech poziomach:</w:t>
      </w:r>
    </w:p>
    <w:p>
      <w:pPr>
        <w:numPr>
          <w:ilvl w:val="0"/>
          <w:numId w:val="1001"/>
        </w:numPr>
      </w:pPr>
      <w:r>
        <w:rPr>
          <w:bCs/>
          <w:b/>
        </w:rPr>
        <w:t xml:space="preserve">Prewencja pierwotna</w:t>
      </w:r>
      <w:r>
        <w:t xml:space="preserve"> (</w:t>
      </w:r>
      <w:r>
        <w:rPr>
          <w:iCs/>
          <w:i/>
        </w:rPr>
        <w:t xml:space="preserve">primary prevention</w:t>
      </w:r>
      <w:r>
        <w:t xml:space="preserve">) – działania podejmowane przed wystąpieniem pierwszego urazu, mające na celu redukcję ryzyka kontuzji u zdrowych zawodników poprzez eliminację lub modyfikację czynników ryzyka (np. programy treningu sensomotorycznego, rozgrzewki profilaktyczne typu FIFA 11+, optymalizacja obciążeń treningowych).</w:t>
      </w:r>
    </w:p>
    <w:p>
      <w:pPr>
        <w:numPr>
          <w:ilvl w:val="0"/>
          <w:numId w:val="1001"/>
        </w:numPr>
      </w:pPr>
      <w:r>
        <w:rPr>
          <w:bCs/>
          <w:b/>
        </w:rPr>
        <w:t xml:space="preserve">Prewencja wtórna</w:t>
      </w:r>
      <w:r>
        <w:t xml:space="preserve"> (</w:t>
      </w:r>
      <w:r>
        <w:rPr>
          <w:iCs/>
          <w:i/>
        </w:rPr>
        <w:t xml:space="preserve">secondary prevention</w:t>
      </w:r>
      <w:r>
        <w:t xml:space="preserve">) – wczesne wykrywanie, szybka diagnoza i natychmiastowe leczenie powstałego urazu lub stanu przeciążeniowego, mające zapobiec pogłębieniu uszkodzenia tkankowego oraz wczesnym nawrotom kontuzji (np. screening po pierwszych objawach przeciążeniowych, testy </w:t>
      </w:r>
      <w:r>
        <w:rPr>
          <w:iCs/>
          <w:i/>
        </w:rPr>
        <w:t xml:space="preserve">Return to Play</w:t>
      </w:r>
      <w:r>
        <w:t xml:space="preserve">).</w:t>
      </w:r>
    </w:p>
    <w:p>
      <w:pPr>
        <w:numPr>
          <w:ilvl w:val="0"/>
          <w:numId w:val="1001"/>
        </w:numPr>
      </w:pPr>
      <w:r>
        <w:rPr>
          <w:bCs/>
          <w:b/>
        </w:rPr>
        <w:t xml:space="preserve">Prewencja trzeciorzędowa</w:t>
      </w:r>
      <w:r>
        <w:t xml:space="preserve"> (</w:t>
      </w:r>
      <w:r>
        <w:rPr>
          <w:iCs/>
          <w:i/>
        </w:rPr>
        <w:t xml:space="preserve">tertiary prevention</w:t>
      </w:r>
      <w:r>
        <w:t xml:space="preserve">) – długofalowa rehabilitacja i postępowanie po poważnym urazie lub zabiegu operacyjnym (np. po rekonstrukcji ACL lub szyciu łąkotki), mające na celu zminimalizowanie trwałych następstw i powikłań, przywrócenie pełnej funkcji biomechanicznej oraz bezpieczny powrót zawodnika do rywalizacji.</w:t>
      </w:r>
    </w:p>
    <w:p>
      <w:pPr>
        <w:pStyle w:val="FirstParagraph"/>
      </w:pPr>
      <w:r>
        <w:t xml:space="preserve">Przedstawiony w niniejszym rozdziale obraz epidemiologiczny i mechanizmy urazowe stawów biodrowego, kolanowego i skokowego stanowią punkt odniesienia dla wyników badań własnych, przedstawionych w rozdziałach V i VI niniejszej pracy.</w:t>
      </w:r>
    </w:p>
    <w:bookmarkEnd w:id="36"/>
    <w:bookmarkEnd w:id="37"/>
    <w:bookmarkStart w:id="41" w:name="rozdział-v.-metodologia-badań-własnych"/>
    <w:p>
      <w:pPr>
        <w:pStyle w:val="Heading1"/>
      </w:pPr>
      <w:r>
        <w:t xml:space="preserve">Rozdział V. Metodologia badań własnych</w:t>
      </w:r>
    </w:p>
    <w:bookmarkStart w:id="38" w:name="cel-i-hipotezy-badawcze"/>
    <w:p>
      <w:pPr>
        <w:pStyle w:val="Heading2"/>
      </w:pPr>
      <w:r>
        <w:t xml:space="preserve">5.1. Cel i hipotezy badawcze</w:t>
      </w:r>
    </w:p>
    <w:p>
      <w:pPr>
        <w:pStyle w:val="FirstParagraph"/>
      </w:pPr>
      <w:r>
        <w:t xml:space="preserve">Celem badań własnych była ocena częstości występowania i charakterystyki klinicznej urazów kończyn dolnych u czynnych zawodników piłki nożnej, analiza stosowanego procesu usprawniania i powrotu do gry (</w:t>
      </w:r>
      <w:r>
        <w:rPr>
          <w:iCs/>
          <w:i/>
        </w:rPr>
        <w:t xml:space="preserve">Return to Play</w:t>
      </w:r>
      <w:r>
        <w:t xml:space="preserve">, RTP) oraz weryfikacja zależności między wybranymi czynnikami podmiotowymi i proceduralnymi a ryzykiem urazu, przebiegiem rehabilitacji i jej następstwami psychologicznymi.</w:t>
      </w:r>
    </w:p>
    <w:p>
      <w:pPr>
        <w:pStyle w:val="BodyText"/>
      </w:pPr>
      <w:r>
        <w:t xml:space="preserve">Na podstawie przeglądu piśmiennictwa oraz założeń badawczych sformułowano następujące hipotezy badawcze:</w:t>
      </w:r>
    </w:p>
    <w:p>
      <w:pPr>
        <w:numPr>
          <w:ilvl w:val="0"/>
          <w:numId w:val="1002"/>
        </w:numPr>
        <w:pStyle w:val="Compact"/>
      </w:pPr>
      <w:r>
        <w:rPr>
          <w:bCs/>
          <w:b/>
        </w:rPr>
        <w:t xml:space="preserve">H1.</w:t>
      </w:r>
      <w:r>
        <w:t xml:space="preserve"> Poziom rozgrywkowy, wiek oraz staż zawodniczy różnicują częstość i liczbę doznawanych urazów kończyn dolnych.</w:t>
      </w:r>
    </w:p>
    <w:p>
      <w:pPr>
        <w:numPr>
          <w:ilvl w:val="0"/>
          <w:numId w:val="1002"/>
        </w:numPr>
        <w:pStyle w:val="Compact"/>
      </w:pPr>
      <w:r>
        <w:rPr>
          <w:bCs/>
          <w:b/>
        </w:rPr>
        <w:t xml:space="preserve">H2.</w:t>
      </w:r>
      <w:r>
        <w:t xml:space="preserve"> Okoliczności powstania urazu (mechanizm kontaktowy vs. bezkontaktowy) wiążą się z rodzajem uszkodzonej tkanki (mięśnie vs. więzadła).</w:t>
      </w:r>
    </w:p>
    <w:p>
      <w:pPr>
        <w:numPr>
          <w:ilvl w:val="0"/>
          <w:numId w:val="1002"/>
        </w:numPr>
        <w:pStyle w:val="Compact"/>
      </w:pPr>
      <w:r>
        <w:rPr>
          <w:bCs/>
          <w:b/>
        </w:rPr>
        <w:t xml:space="preserve">H3.</w:t>
      </w:r>
      <w:r>
        <w:t xml:space="preserve"> Przeprowadzenie obiektywnych testów funkcjonalnych oraz etapowość powrotu do gry wiążą się ze stopniem odzyskanej sprawności funkcjonalnej i poziomem lęku przed ponownym urazem (kinezjofobii).</w:t>
      </w:r>
    </w:p>
    <w:p>
      <w:pPr>
        <w:numPr>
          <w:ilvl w:val="0"/>
          <w:numId w:val="1002"/>
        </w:numPr>
        <w:pStyle w:val="Compact"/>
      </w:pPr>
      <w:r>
        <w:rPr>
          <w:bCs/>
          <w:b/>
        </w:rPr>
        <w:t xml:space="preserve">H4.</w:t>
      </w:r>
      <w:r>
        <w:t xml:space="preserve"> Stosowanie profilaktyki urazów (klubowej i indywidualnej) wiąże się z mniejszą liczbą doznawanych urazów.</w:t>
      </w:r>
    </w:p>
    <w:p>
      <w:pPr>
        <w:pStyle w:val="BodyText"/>
      </w:pPr>
      <w:r>
        <w:t xml:space="preserve">Dodatkowo, na podstawie wstępnej analizy opisowej wyników własnych (podrozdział 6.3), wskazującej na wyraźnie zróżnicowany poziom wykorzystania poszczególnych form profilaktyki aktywnej – w tym szczególnie niskie wykorzystanie formy ćwiczeń o najwyższej udokumentowanej skuteczności naukowej – sformułowano hipotezę uzupełniającą:</w:t>
      </w:r>
    </w:p>
    <w:p>
      <w:pPr>
        <w:numPr>
          <w:ilvl w:val="0"/>
          <w:numId w:val="1002"/>
        </w:numPr>
        <w:pStyle w:val="Compact"/>
      </w:pPr>
      <w:r>
        <w:rPr>
          <w:bCs/>
          <w:b/>
        </w:rPr>
        <w:t xml:space="preserve">H5.</w:t>
      </w:r>
      <w:r>
        <w:t xml:space="preserve"> Samoocena wiedzy zawodnika na temat prewencji urazów kończyn dolnych wiąże się z zakresem i częstotliwością rzeczywiście stosowanych działań profilaktyki aktywnej, w tym zwłaszcza z wykorzystaniem ćwiczeń siłowych o udokumentowanej naukowo skuteczności (trening ekscentryczny/izometryczny).</w:t>
      </w:r>
    </w:p>
    <w:p>
      <w:pPr>
        <w:pStyle w:val="FirstParagraph"/>
      </w:pPr>
      <w:r>
        <w:t xml:space="preserve">Weryfikację powyższych hipotez (H1–H5), wraz z pełną dokumentacją statystyczną, przedstawiono w podrozdziale 6.4.</w:t>
      </w:r>
    </w:p>
    <w:bookmarkEnd w:id="38"/>
    <w:bookmarkStart w:id="39" w:name="charakterystyka-grupy-badawczej"/>
    <w:p>
      <w:pPr>
        <w:pStyle w:val="Heading2"/>
      </w:pPr>
      <w:r>
        <w:t xml:space="preserve">5.2. Charakterystyka grupy badawczej</w:t>
      </w:r>
    </w:p>
    <w:p>
      <w:pPr>
        <w:pStyle w:val="FirstParagraph"/>
      </w:pPr>
      <w:r>
        <w:t xml:space="preserve">Badaniem objęto grupę N = 78 czynnych zawodników piłki nożnej. Wiek badanych mieścił się w przedziale od 16 do 43 lat (M = 24,58; SD = 6,68; Me = 24,0), a staż zawodniczy wynosił od 2 do 30 lat (M = 12,31; SD = 5,81; Me = 12,0). Rozkłady obu zmiennych istotnie odbiegały od rozkładu normalnego (test Shapiro-Wilka, p &lt; 0,05), co uzasadniło zastosowanie w dalszych analizach testów nieparametrycznych.</w:t>
      </w:r>
    </w:p>
    <w:p>
      <w:pPr>
        <w:pStyle w:val="BodyText"/>
      </w:pPr>
      <w:r>
        <w:t xml:space="preserve">Pod względem poziomu sportowego badana grupa miała charakter przeważająco amatorski/półprofesjonalny – 94,9% zawodników reprezentowało IV ligę i klasy niższe, a 5,1% (n = 4) grało na poziomie profesjonalnym (Ekstraklasa – III liga). Najliczniej reprezentowaną formacją byli pomocnicy (39,7%) i obrońcy (37,2%), a następnie napastnicy (17,9%) i bramkarze (5,1%). Dominującą kończyną dolną była kończyna prawa (71,8%), lewą kończynę dominującą zadeklarowało 19,2% badanych, a obunożność – 9,0%. W zakresie samooceny wiedzy o prewencji urazów 37,2% zawodników wskazało na jej niewystarczający poziom, 35,9% oceniło ją jako raczej wystarczającą, a jedynie 26,9% jako w pełni wystarczającą.</w:t>
      </w:r>
    </w:p>
    <w:p>
      <w:pPr>
        <w:pStyle w:val="BodyText"/>
      </w:pPr>
      <w:r>
        <w:t xml:space="preserve">Uraz kończyny dolnej wykluczający z gry na co najmniej 7 dni w ciągu ostatnich 24 miesięcy zgłosiło 71,8% badanych (n = 56), co świadczy o wysokiej ekspozycji analizowanej populacji na kontuzje tej okolicy ciała i uzasadnia poświęcenie znacznej części analizy (moduły 2–3, podrozdziały 6.1–6.2) właśnie tej podpróbie.</w:t>
      </w:r>
    </w:p>
    <w:bookmarkEnd w:id="39"/>
    <w:bookmarkStart w:id="40" w:name="narzędzia-i-metody-badawcze"/>
    <w:p>
      <w:pPr>
        <w:pStyle w:val="Heading2"/>
      </w:pPr>
      <w:r>
        <w:t xml:space="preserve">5.3. Narzędzia i metody badawcze</w:t>
      </w:r>
    </w:p>
    <w:p>
      <w:pPr>
        <w:pStyle w:val="FirstParagraph"/>
      </w:pPr>
      <w:r>
        <w:t xml:space="preserve">Podstawowym narzędziem badawczym był autorski kwestionariusz ankiety internetowej, opracowany w formularzu Google Forms i rozpowszechniony wśród czynnych zawodników piłki nożnej różnych szczebli rozgrywkowych. Ankieta obejmowała cztery bloki tematyczne: (1) metryczkę i dane epidemiologiczne (wiek, staż, poziom rozgrywkowy, pozycja na boisku, dominująca kończyna, samoocena wiedzy o prewencji, wystąpienie i liczba urazów w ciągu ostatnich 24 miesięcy); (2) charakterystykę kliniczną najpoważniejszego urazu (obszar anatomiczny, rodzaj urazu, okoliczności jego powstania, opis tekstowy uszkodzonej struktury); (3) proces usprawniania i powrotu do gry (osoba prowadząca rehabilitację, zastosowane metody fizjoterapeutyczne, subiektywna ocena odzyskanej sprawności, czas i podmiot decyzyjny powrotu do pełnego treningu, wykonanie testów funkcjonalnych, etapowość powrotu, poziom kinezjofobii); (4) praktykę profilaktyczną i regeneracyjną (obecność zorganizowanej profilaktyki w klubie, samodzielnie stosowane techniki profilaktyki aktywnej i ich częstotliwość, elementy rutyny regeneracyjnej, źródła wiedzy oraz bariery w stosowaniu profilaktyki). Pytania dotyczące bloków (2) i (3) kierowane były wyłącznie do respondentów, którzy zadeklarowali wystąpienie urazu w analizowanym okresie.</w:t>
      </w:r>
    </w:p>
    <w:p>
      <w:pPr>
        <w:pStyle w:val="BodyText"/>
      </w:pPr>
      <w:r>
        <w:t xml:space="preserve">Analizę statystyczną zebranego materiału przeprowadzono z wykorzystaniem języka programowania Python (biblioteki pandas i SciPy), z zachowaniem procedur i standardu prezentacji wyników przyjętego w pakiecie TIBCO Statistica oraz formatu tabel zgodnego ze standardem APA. Za poziom istotności statystycznej przyjęto α = 0,05. Normalność rozkładu zmiennych ilościowych oceniano testem Shapiro-Wilka. W przypadku braku podstaw do przyjęcia rozkładu normalnego oraz dla zmiennych porządkowych zastosowano nieparametryczne odpowiedniki testów statystycznych – test U Manna-Whitneya (dla porównań dwugrupowych) oraz korelację rang Spearmana (dla oceny zależności między zmiennymi ilościowymi/porządkowymi). Dla tabel kontyngencji zmiennych jakościowych zastosowano test niezależności χ² Pearsona, a w przypadkach, gdy liczebność oczekiwana w którejkolwiek komórce tabeli była niższa niż 5 – Dokładny Test Fishera jako metodę weryfikacji uzupełniającej.</w:t>
      </w:r>
    </w:p>
    <w:bookmarkEnd w:id="40"/>
    <w:bookmarkEnd w:id="41"/>
    <w:bookmarkStart w:id="46" w:name="rozdział-vi.-wyniki-badań-własnych"/>
    <w:p>
      <w:pPr>
        <w:pStyle w:val="Heading1"/>
      </w:pPr>
      <w:r>
        <w:t xml:space="preserve">Rozdział VI. Wyniki badań własnych</w:t>
      </w:r>
    </w:p>
    <w:bookmarkStart w:id="42" w:name="X2a5d4ce78f54ac1e94c9a66d12bb2eb5315da47"/>
    <w:p>
      <w:pPr>
        <w:pStyle w:val="Heading2"/>
      </w:pPr>
      <w:r>
        <w:t xml:space="preserve">6.1. Analiza częstości i okoliczności urazów kończyn dolnych</w:t>
      </w:r>
    </w:p>
    <w:p>
      <w:pPr>
        <w:pStyle w:val="FirstParagraph"/>
      </w:pPr>
      <w:r>
        <w:t xml:space="preserve">Uraz kończyny dolnej wykluczający z gry na co najmniej 7 dni w ciągu ostatnich 24 miesięcy zgłosiło 71,8% badanych zawodników (n = 56 z N = 78). Wśród zawodników, którzy doznali urazu, najczęściej odnotowywano dwie kontuzje (41,1%) lub jedną (33,9%), a u 10,7% badanych liczba urazów wyniosła cztery lub więcej, co wskazuje na istnienie w badanej grupie podpróby zawodników szczególnie predysponowanych do urazów nawrotowych.</w:t>
      </w:r>
    </w:p>
    <w:p>
      <w:pPr>
        <w:pStyle w:val="BodyText"/>
      </w:pPr>
      <w:r>
        <w:t xml:space="preserve">[TUTAJ WSTAW TABELĘ 2 Z RAPORTU – Liczba urazów w ciągu 24 miesięcy]</w:t>
      </w:r>
    </w:p>
    <w:p>
      <w:pPr>
        <w:pStyle w:val="BodyText"/>
      </w:pPr>
      <w:r>
        <w:t xml:space="preserve">Analiza charakterystyki klinicznej najpoważniejszego urazu (w podpróbie n = 56) wykazała, że najczęściej urażanym obszarem anatomicznym był staw skokowy (33,9% wskazań), a następnie staw kolanowy (30,4%) oraz mięśnie uda – czworogłowy, grupa kulszowo-goleniowa i przywodziciele łącznie (21,4%). Pytanie o obszar urazu dopuszczało wielokrotny wybór, stąd suma odsetek przekracza 100%.</w:t>
      </w:r>
    </w:p>
    <w:p>
      <w:pPr>
        <w:pStyle w:val="BodyText"/>
      </w:pPr>
      <w:r>
        <w:t xml:space="preserve">[TUTAJ WSTAW TABELĘ 8 Z RAPORTU – Obszar anatomiczny najpoważniejszego urazu]</w:t>
      </w:r>
    </w:p>
    <w:p>
      <w:pPr>
        <w:pStyle w:val="BodyText"/>
      </w:pPr>
      <w:r>
        <w:t xml:space="preserve">Pod względem rodzaju urazu dominowały skręcenia (33,9%), a następnie naderwania/zerwania więzadeł – np. ACL, PCL, ATFL (28,6%) oraz naderwania/zerwania mięśnia (25,0%); złamania i pęknięcia kości stanowiły najrzadszą kategorię (3,6%). Znaczący łączny udział urazów więzadłowych i mięśniowych (53,6%) potwierdza obserwowaną w piśmiennictwie tendencję do przewagi poważniejszych, tkankowych uszkodzeń nad prostymi urazami kostnymi w populacji piłkarskiej.</w:t>
      </w:r>
    </w:p>
    <w:p>
      <w:pPr>
        <w:pStyle w:val="BodyText"/>
      </w:pPr>
      <w:r>
        <w:t xml:space="preserve">[TUTAJ WSTAW TABELĘ 9 Z RAPORTU – Rodzaj najpoważniejszego urazu]</w:t>
      </w:r>
    </w:p>
    <w:p>
      <w:pPr>
        <w:pStyle w:val="BodyText"/>
      </w:pPr>
      <w:r>
        <w:t xml:space="preserve">W zakresie okoliczności powstania urazu rozkład odpowiedzi był względem sytuacji sportowej i mechanizmu zbliżony: urazy odniesione podczas meczu stanowiły 62,5% (n = 35), a podczas treningu 37,5% (n = 21); w podziale na mechanizm dokładnie po 50,0% (n = 28) urazów miało charakter kontaktowy i bezkontaktowy. Świadczy to o równym udziale w badanej grupie zarówno urazów wynikających z bezpośredniego kontaktu z przeciwnikiem, jak i urazów o podłożu biomechanicznym (nagłe zmiany kierunku biegu, lądowania), co koresponduje z mechanizmami inwersyjnymi stawu skokowego oraz rotacyjnymi kolana omówionymi w Rozdziale II.</w:t>
      </w:r>
    </w:p>
    <w:p>
      <w:pPr>
        <w:pStyle w:val="BodyText"/>
      </w:pPr>
      <w:r>
        <w:t xml:space="preserve">[TUTAJ WSTAW TABELĘ 10 Z RAPORTU – Okoliczności powstania urazu]</w:t>
      </w:r>
    </w:p>
    <w:p>
      <w:pPr>
        <w:pStyle w:val="BodyText"/>
      </w:pPr>
      <w:r>
        <w:t xml:space="preserve">Uzupełniającą analizę treściową przeprowadzono na podstawie opisów tekstowych urazu, które w sposób merytoryczny wypełniło 20 z 56 respondentów (35,7%). Pozwoliła ona wyodrębnić specyficzne jednostki strukturalne najczęściej wskazywane przez badanych: uszkodzenia struktur stawu skokowego (skręcenia, naderwania więzozrostu) oraz uszkodzenia łąkotki (po 20,0% wskazań w podpróbie opisów), a także uszkodzenia więzadła krzyżowego przedniego (ACL), więzadeł pobocznych kolana (MCL/PCL), mięśnia dwugłowego uda oraz złamania kości (po 15,0%). W kilku opisach odnotowano współwystępowanie uszkodzeń wielostrukturalnych (np. jednoczesne zerwanie ACL z uszkodzeniem MCL i łąkotki), co jest zgodne z opisanym w Rozdziale III obrazem klinicznym ciężkich, złożonych urazów skrętnych kolana.</w:t>
      </w:r>
    </w:p>
    <w:bookmarkEnd w:id="42"/>
    <w:bookmarkStart w:id="43" w:name="proces-rehabilitacji-i-return-to-play"/>
    <w:p>
      <w:pPr>
        <w:pStyle w:val="Heading2"/>
      </w:pPr>
      <w:r>
        <w:t xml:space="preserve">6.2. Proces rehabilitacji i Return to Play</w:t>
      </w:r>
    </w:p>
    <w:p>
      <w:pPr>
        <w:pStyle w:val="FirstParagraph"/>
      </w:pPr>
      <w:r>
        <w:t xml:space="preserve">Proces usprawniania po urazie najczęściej prowadzony był przez fizjoterapeutę (66,1% wskazań w pytaniu wielokrotnego wyboru), a w dalszej kolejności przez lekarza ortopedę ograniczonego do diagnostyki i kontroli (39,3%) oraz w formie samodzielnej rehabilitacji zawodnika (39,3%). Wśród zastosowanych metod fizjoterapeutycznych dominował trening medyczny/ćwiczenia siłowe (67,3%) oraz terapia manualna (54,5%), co odpowiada współczesnym, aktywnym modelom rehabilitacji sportowej opartym na stopniowym, kontrolowanym obciążaniu tkanek, przy relatywnie mniejszym udziale metod fizykalnych o charakterze biernym (fizykoterapia – 27,3%).</w:t>
      </w:r>
    </w:p>
    <w:p>
      <w:pPr>
        <w:pStyle w:val="BodyText"/>
      </w:pPr>
      <w:r>
        <w:t xml:space="preserve">[TUTAJ WSTAW TABELĘ 11 I TABELĘ 12 Z RAPORTU – Podmiot prowadzący rehabilitację oraz zastosowane metody fizjoterapeutyczne]</w:t>
      </w:r>
    </w:p>
    <w:p>
      <w:pPr>
        <w:pStyle w:val="BodyText"/>
      </w:pPr>
      <w:r>
        <w:t xml:space="preserve">Subiektywna ocena odzyskanej sprawności kończyny (skala 1–5) wypadła w badanej grupie korzystnie: 80,3% respondentów oceniło powrót sprawności na poziomie 4–5 punktów (M = 4,21; SD = 0,91; Me = 4,0). Rozkład ocen wykazał istotne odchylenie od rozkładu normalnego (test Shapiro-Wilka: W = 0,787; p &lt; 0,001), z wyraźną lewostronną asymetrią wskazującą na przewagę wysokich ocen.</w:t>
      </w:r>
    </w:p>
    <w:p>
      <w:pPr>
        <w:pStyle w:val="BodyText"/>
      </w:pPr>
      <w:r>
        <w:t xml:space="preserve">[TUTAJ WSTAW TABELĘ 13a I 13b Z RAPORTU – Rozkład i statystyki opisowe oceny sprawności]</w:t>
      </w:r>
    </w:p>
    <w:p>
      <w:pPr>
        <w:pStyle w:val="BodyText"/>
      </w:pPr>
      <w:r>
        <w:t xml:space="preserve">Czas powrotu do pełnego treningu z drużyną (RTP) mieścił się najczęściej w przedziale 2–4 tygodni (32,1%) oraz 1–3 miesięcy (26,8%); u 21,4% badanych proces ten trwał ponad 3 miesiące. Istotnym z perspektywy bezpieczeństwa sportowca wynikiem jest fakt, że w 58,9% przypadków to sam zawodnik – a nie personel medyczny – podejmował ostateczną decyzję o powrocie do pełnych obciążeń treningowych i meczowych; fizjoterapeuta decydował o powrocie w 33,9% przypadków, a lekarz prowadzący jedynie w 7,1%.</w:t>
      </w:r>
    </w:p>
    <w:p>
      <w:pPr>
        <w:pStyle w:val="BodyText"/>
      </w:pPr>
      <w:r>
        <w:t xml:space="preserve">[TUTAJ WSTAW TABELĘ 14 I TABELĘ 15 Z RAPORTU – Czas RTP oraz podmiot decyzyjny]</w:t>
      </w:r>
    </w:p>
    <w:p>
      <w:pPr>
        <w:pStyle w:val="BodyText"/>
      </w:pPr>
      <w:r>
        <w:t xml:space="preserve">Szczególnie niepokojącym wynikiem z perspektywy medycyny sportowej jest fakt, że aż 76,8% badanych nie zostało poddanych żadnym obiektywnym testom funkcjonalnym oceniającym gotowość kończyny do powrotu do gry (testy siły mięśniowej, testy skoków, testy stabilności i testy szybkościowo-zwinnościowe stosowano łącznie jedynie w niewiele ponad 20% przypadków), mimo że model postępowania oparty na kryteriach obiektywnych (</w:t>
      </w:r>
      <w:r>
        <w:rPr>
          <w:iCs/>
          <w:i/>
        </w:rPr>
        <w:t xml:space="preserve">testing-based RTP</w:t>
      </w:r>
      <w:r>
        <w:t xml:space="preserve">) uznawany jest w literaturze za standard istotnie ograniczający ryzyko urazów nawrotowych. Etapowy powrót do treningu z drużyną zastosowano u 53,6% badanych. Zjawisko kinezjofobii (lęku przed ponownym doznaniem tego samego urazu) dotyczyło łącznie 69,6% zawodników po powrocie do gry, w tym u 21,4% lęk był na tyle nasilony, że realnie wpływał na sposób gry, co wskazuje na istotny, często pomijany w praktyce klinicznej, psychologiczny wymiar procesu powrotu do sportu.</w:t>
      </w:r>
    </w:p>
    <w:p>
      <w:pPr>
        <w:pStyle w:val="BodyText"/>
      </w:pPr>
      <w:r>
        <w:t xml:space="preserve">[TUTAJ WSTAW TABELĘ 16, 17 I 18 Z RAPORTU – Testy funkcjonalne, etapowość powrotu i poziom kinezjofobii]</w:t>
      </w:r>
    </w:p>
    <w:bookmarkEnd w:id="43"/>
    <w:bookmarkStart w:id="44" w:name="znaczenie-profilaktyki"/>
    <w:p>
      <w:pPr>
        <w:pStyle w:val="Heading2"/>
      </w:pPr>
      <w:r>
        <w:t xml:space="preserve">6.3. Znaczenie profilaktyki</w:t>
      </w:r>
    </w:p>
    <w:p>
      <w:pPr>
        <w:pStyle w:val="FirstParagraph"/>
      </w:pPr>
      <w:r>
        <w:t xml:space="preserve">Analiza praktyk profilaktycznych objęła całą badaną grupę (N = 78), niezależnie od przebytego urazu. Zorganizowaną profilaktykę urazów w swoim klubie w formie stałego elementu rozgrzewki (np. programu FIFA 11+) lub osobnych jednostek treningowych zadeklarowało łącznie 29,9% badanych, natomiast 33,8% wskazało wyłącznie na ogólnorozwojową rozgrzewkę przedtreningową, a 13,0% na całkowity brak takich działań w klubie.</w:t>
      </w:r>
    </w:p>
    <w:p>
      <w:pPr>
        <w:pStyle w:val="BodyText"/>
      </w:pPr>
      <w:r>
        <w:t xml:space="preserve">[TUTAJ WSTAW TABELĘ 19 Z RAPORTU – Profilaktyka zorganizowana w klubie]</w:t>
      </w:r>
    </w:p>
    <w:p>
      <w:pPr>
        <w:pStyle w:val="BodyText"/>
      </w:pPr>
      <w:r>
        <w:t xml:space="preserve">W zakresie samodzielnie stosowanej profilaktyki aktywnej najczęściej wskazywanymi elementami były rozciąganie (60,3%) oraz autorozluźnianie powięziowe typu </w:t>
      </w:r>
      <w:r>
        <w:rPr>
          <w:iCs/>
          <w:i/>
        </w:rPr>
        <w:t xml:space="preserve">foam rolling</w:t>
      </w:r>
      <w:r>
        <w:t xml:space="preserve"> (52,6%). Zwraca przy tym uwagę, że ćwiczenia siłowe zapobiegające urazom o charakterze ekscentrycznym/izometrycznym – mimo jednych z najsilniejszych dowodów naukowych na skuteczność w prewencji urazów mięśni kulszowo-goleniowych – stosowało jedynie 26,9% badanych, a więc istotnie rzadziej niż powszechnie dostępne, mniej specyficzne formy profilaktyki. Częstotliwość samodzielnych ćwiczeń profilaktycznych 2–3 razy w tygodniu deklarowało 40,3% respondentów, podczas gdy 11,7% nie stosowało ich wcale.</w:t>
      </w:r>
    </w:p>
    <w:p>
      <w:pPr>
        <w:pStyle w:val="BodyText"/>
      </w:pPr>
      <w:r>
        <w:t xml:space="preserve">[TUTAJ WSTAW TABELĘ 20 I TABELĘ 21 Z RAPORTU – Elementy profilaktyki aktywnej oraz częstotliwość ich stosowania]</w:t>
      </w:r>
    </w:p>
    <w:p>
      <w:pPr>
        <w:pStyle w:val="BodyText"/>
      </w:pPr>
      <w:r>
        <w:t xml:space="preserve">Czynnikiem, który mógł różnicować zarówno zakres, jak i charakter stosowanej profilaktyki aktywnej, jest deklarowany przez zawodnika poziom wiedzy na temat prewencji urazów – zależność tę poddano szczegółowej weryfikacji statystycznej w ramach hipotezy H5 (por. podrozdział 6.4).</w:t>
      </w:r>
    </w:p>
    <w:p>
      <w:pPr>
        <w:pStyle w:val="BodyText"/>
      </w:pPr>
      <w:r>
        <w:t xml:space="preserve">Wśród elementów regeneracji i odnowy biologicznej dominowała odpowiednia ilość snu (73,1%), a następnie zbilansowana dieta i nawodnienie oraz suplementacja (po 55,1%); metody bardziej specjalistyczne, jak regularne wizyty u fizjoterapeuty, deklarowało jedynie 12,8% badanych.</w:t>
      </w:r>
    </w:p>
    <w:p>
      <w:pPr>
        <w:pStyle w:val="BodyText"/>
      </w:pPr>
      <w:r>
        <w:t xml:space="preserve">[TUTAJ WSTAW TABELĘ 22 Z RAPORTU – Elementy regeneracji i odnowy biologicznej]</w:t>
      </w:r>
    </w:p>
    <w:p>
      <w:pPr>
        <w:pStyle w:val="BodyText"/>
      </w:pPr>
      <w:r>
        <w:t xml:space="preserve">Głównym źródłem wiedzy zawodników o profilaktyce urazów pozostaje internet (62,8%), przewyższający odsetek czerpiących wiedzę od fizjoterapeuty (47,4%) czy trenera przygotowania motorycznego (20,5%), co wskazuje na ryzyko opierania praktyk profilaktycznych na źródłach o niezweryfikowanej wiarygodności merytorycznej. Główną deklarowaną barierą w regularnym stosowaniu profilaktyki pozostaje brak czasu (37,7%), a nie brak przekonania o jej skuteczności (6,5%), co sugeruje organizacyjny, a nie postawowy, charakter głównej przeszkody w upowszechnieniu działań prewencyjnych.</w:t>
      </w:r>
    </w:p>
    <w:p>
      <w:pPr>
        <w:pStyle w:val="BodyText"/>
      </w:pPr>
      <w:r>
        <w:t xml:space="preserve">[TUTAJ WSTAW TABELĘ 23 I TABELĘ 24 Z RAPORTU – Źródła wiedzy oraz bariery w stosowaniu profilaktyki]</w:t>
      </w:r>
    </w:p>
    <w:bookmarkEnd w:id="44"/>
    <w:bookmarkStart w:id="45" w:name="weryfikacja-hipotez-statystycznych"/>
    <w:p>
      <w:pPr>
        <w:pStyle w:val="Heading2"/>
      </w:pPr>
      <w:r>
        <w:t xml:space="preserve">6.4. Weryfikacja hipotez statystycznych</w:t>
      </w:r>
    </w:p>
    <w:p>
      <w:pPr>
        <w:pStyle w:val="FirstParagraph"/>
      </w:pPr>
      <w:r>
        <w:rPr>
          <w:bCs/>
          <w:b/>
        </w:rPr>
        <w:t xml:space="preserve">Weryfikacja hipotezy H1</w:t>
      </w:r>
      <w:r>
        <w:t xml:space="preserve"> (poziom rozgrywkowy, wiek i staż zawodniczy a częstość i liczba urazów). Nie wykazano istotnej statystycznie zależności między poziomem rozgrywkowym a wystąpieniem urazu w ciągu ostatnich 24 miesięcy (χ²(1) = 0,021; p = 0,884; wynik potwierdzony Dokładnym Testem Fishera: p = 1,000), przy czym liczebność podgrupy zawodników profesjonalnych (n = 4) pozostaje zbyt mała, by wynik ten uznać za w pełni miarodajny. Test U Manna-Whitneya nie wykazał również istotnej różnicy w wieku między zawodnikami z urazem a bez urazu (U = 497,0; p = 0,299). Wykazano natomiast istotną statystycznie różnicę w stażu zawodniczym między obiema grupami (U = 422,5; p = 0,039) – zawodnicy z krótszym stażem (Me = 10,0 roku) istotnie częściej zgłaszali uraz niż zawodnicy z dłuższym stażem (Me = 14,0 roku). Wśród zawodników, którzy doznali urazu, nie stwierdzono istotnych korelacji między liczbą przebytych urazów a wiekiem (rho = -0,138; p = 0,310) ani stażem zawodniczym (rho = -0,137; p = 0,318). </w:t>
      </w:r>
      <w:r>
        <w:rPr>
          <w:bCs/>
          <w:b/>
        </w:rPr>
        <w:t xml:space="preserve">Hipotezę H1 zweryfikowano zatem częściowo pozytywnie</w:t>
      </w:r>
      <w:r>
        <w:t xml:space="preserve"> – potwierdzono jedynie związek stażu zawodniczego z wystąpieniem urazu, przy braku potwierdzenia dla poziomu rozgrywkowego, wieku oraz liczby urazów.</w:t>
      </w:r>
    </w:p>
    <w:p>
      <w:pPr>
        <w:pStyle w:val="BodyText"/>
      </w:pPr>
      <w:r>
        <w:t xml:space="preserve">[TUTAJ WSTAW TABELE 25–28 Z RAPORTU]</w:t>
      </w:r>
    </w:p>
    <w:p>
      <w:pPr>
        <w:pStyle w:val="BodyText"/>
      </w:pPr>
      <w:r>
        <w:rPr>
          <w:bCs/>
          <w:b/>
        </w:rPr>
        <w:t xml:space="preserve">Weryfikacja hipotezy H2</w:t>
      </w:r>
      <w:r>
        <w:t xml:space="preserve"> (okoliczności urazu a rodzaj uszkodzonej tkanki). W analizie ograniczonej do dwóch najliczniej reprezentowanych kategorii tkankowych (uszkodzenia mięśni, n = 14, i uszkodzenia więzadeł, n = 16) nie wykazano istotnej statystycznie zależności między mechanizmem urazu (kontaktowy vs. bezkontaktowy) a rodzajem uszkodzonej tkanki (χ²(1) = 1,265; p = 0,261; wynik potwierdzony Dokładnym Testem Fishera: p = 0,299). Choć w podgrupie urazów o mechanizmie kontaktowym odsetek uszkodzeń więzadłowych był liczbowo wyższy (iloraz szans OR = 2,31), różnica nie osiągnęła istotności statystycznej. </w:t>
      </w:r>
      <w:r>
        <w:rPr>
          <w:bCs/>
          <w:b/>
        </w:rPr>
        <w:t xml:space="preserve">Hipotezy H2 nie potwierdzono</w:t>
      </w:r>
      <w:r>
        <w:t xml:space="preserve"> – w badanej próbie proporcja urazów mięśniowych i więzadłowych rozkładała się względnie równomiernie niezależnie od mechanizmu urazu.</w:t>
      </w:r>
    </w:p>
    <w:p>
      <w:pPr>
        <w:pStyle w:val="BodyText"/>
      </w:pPr>
      <w:r>
        <w:t xml:space="preserve">[TUTAJ WSTAW TABELE 29–30 Z RAPORTU]</w:t>
      </w:r>
    </w:p>
    <w:p>
      <w:pPr>
        <w:pStyle w:val="BodyText"/>
      </w:pPr>
      <w:r>
        <w:rPr>
          <w:bCs/>
          <w:b/>
        </w:rPr>
        <w:t xml:space="preserve">Weryfikacja hipotezy H3</w:t>
      </w:r>
      <w:r>
        <w:t xml:space="preserve"> (testy funkcjonalne i etapowość RTP a sprawność i kinezjofobia). Nie wykazano istotnych statystycznie różnic w subiektywnej ocenie odzyskanej sprawności między zawodnikami poddanymi i niepoddanymi testom funkcjonalnym (U = 266,5; p = 0,793), ani między zawodnikami wracającymi do treningu etapowo a wracającymi bezpośrednio (U = 314,5; p = 0,183). Wykazano natomiast istotną statystycznie zależność między etapowością powrotu a poziomem odczuwanej kinezjofobii (U = 528,0; p = 0,014) – zawodnicy powracający etapowo deklarowali istotnie wyższy poziom lęku przed ponownym urazem (M = 1,13 w skali 0–2) niż zawodnicy wracający bezpośrednio (M = 0,65). Dodatkowej analizie poddano również liczbę doznanych urazów w relacji do poziomu kinezjofobii, wykazując istotną statystycznie, umiarkowaną korelację dodatnią (korelacja rang Spearmana: rho = 0,385; p = 0,003; n = 56) – zawodnicy z większą liczbą przebytych urazów zgłaszali istotnie wyższy poziom lęku przed kolejną kontuzją. </w:t>
      </w:r>
      <w:r>
        <w:rPr>
          <w:bCs/>
          <w:b/>
        </w:rPr>
        <w:t xml:space="preserve">Hipotezę H3 zweryfikowano częściowo pozytywnie</w:t>
      </w:r>
      <w:r>
        <w:t xml:space="preserve">: potwierdzono związek etapowości powrotu i liczby przebytych urazów z poziomem kinezjofobii, natomiast nie potwierdzono związku żadnego z tych czynników (etapowości, wykonania testów funkcjonalnych) z subiektywną oceną odzyskanej sprawności fizycznej. Kierunek zależności między etapowością/liczbą urazów a kinezjofobią należy przy tym interpretować z uwzględnieniem prawdopodobnej odwrotnej przyczynowości – to właśnie cięższe i powtarzające się urazy skłaniają zarówno do zastosowania etapowego modelu powrotu, jak i generują większy lęk zawodnika, nie zaś odwrotnie.</w:t>
      </w:r>
    </w:p>
    <w:p>
      <w:pPr>
        <w:pStyle w:val="BodyText"/>
      </w:pPr>
      <w:r>
        <w:t xml:space="preserve">[TUTAJ WSTAW TABELĘ 31 Z RAPORTU ORAZ DODATKOWĄ ANALIZĘ LICZBA URAZÓW × KINEZJOFOBIA]</w:t>
      </w:r>
    </w:p>
    <w:p>
      <w:pPr>
        <w:pStyle w:val="BodyText"/>
      </w:pPr>
      <w:r>
        <w:rPr>
          <w:bCs/>
          <w:b/>
        </w:rPr>
        <w:t xml:space="preserve">Weryfikacja hipotezy H4</w:t>
      </w:r>
      <w:r>
        <w:t xml:space="preserve"> (profilaktyka a liczba urazów). Nie wykazano istotnej statystycznie zależności między obecnością zorganizowanej profilaktyki w klubie a liczbą doznanych urazów (U = 631,0; p = 0,913), ani między częstotliwością samodzielnie stosowanej profilaktyki a liczbą urazów (korelacja rang Spearmana: rho = 0,125; p = 0,279). </w:t>
      </w:r>
      <w:r>
        <w:rPr>
          <w:bCs/>
          <w:b/>
        </w:rPr>
        <w:t xml:space="preserve">Hipotezy H4 nie potwierdzono.</w:t>
      </w:r>
      <w:r>
        <w:t xml:space="preserve"> Brak istotnych zależności w tym obszarze należy interpretować ostrożnie, w kontekście przekrojowego i retrospektywnego charakteru badania, uniemożliwiającego określenie kierunku związku przyczynowo-skutkowego (część zawodników mogła zintensyfikować profilaktykę dopiero po doznaniu urazu, co stanowi klasyczny przykład odwrotnej przyczynowości w badaniach obserwacyjnych) oraz niejednorodności jakościowej deklarowanej „zorganizowanej profilaktyki” w poszczególnych klubach.</w:t>
      </w:r>
    </w:p>
    <w:p>
      <w:pPr>
        <w:pStyle w:val="BodyText"/>
      </w:pPr>
      <w:r>
        <w:t xml:space="preserve">[TUTAJ WSTAW TABELĘ 32 Z RAPORTU]</w:t>
      </w:r>
    </w:p>
    <w:p>
      <w:pPr>
        <w:pStyle w:val="BodyText"/>
      </w:pPr>
      <w:r>
        <w:rPr>
          <w:bCs/>
          <w:b/>
        </w:rPr>
        <w:t xml:space="preserve">Weryfikacja hipotezy H5</w:t>
      </w:r>
      <w:r>
        <w:t xml:space="preserve"> (samoocena wiedzy o prewencji a stosowanie profilaktyki aktywnej). Analizie poddano całą badaną grupę (N = 78), niezależnie od przebytego urazu. Wykazano istotną statystycznie, umiarkowaną korelację dodatnią między samooceną wiedzy zawodnika na temat prewencji urazów a liczbą stosowanych samodzielnie elementów profilaktyki aktywnej (korelacja rang Spearmana: rho = 0,342; p = 0,002; wynik potwierdzony testem Kruskala-Wallisa: H(2) = 10,99; p = 0,004) – średnia liczba stosowanych elementów profilaktyki wzrastała wraz z poziomem deklarowanej wiedzy (M = 1,79 przy wiedzy niewystarczającej, M = 2,25 przy wiedzy „raczej wystarczającej” i M = 4,19 przy wiedzy w pełni wystarczającej). Analogiczny, choć słabszy, kierunek zależności wykazano dla częstotliwości samodzielnie stosowanej profilaktyki (korelacja rang Spearmana: rho = 0,266; p = 0,019; test Kruskala-Wallisa: H(2) = 5,72; p = 0,057).</w:t>
      </w:r>
    </w:p>
    <w:p>
      <w:pPr>
        <w:pStyle w:val="BodyText"/>
      </w:pPr>
      <w:r>
        <w:t xml:space="preserve">Szczególnie wyraźny związek odnotowano w odniesieniu do stosowania ćwiczeń siłowych o charakterze ekscentrycznym/izometrycznym – formy profilaktyki dysponującej jednymi z najsilniejszych dowodów naukowych na skuteczność w zapobieganiu urazom mięśni kulszowo-goleniowych, a zarazem stosowanej najrzadziej spośród wszystkich analizowanych form profilaktyki aktywnej (26,9% całej próby; por. podrozdział 6.3). Odsetek zawodników stosujących tę formę ćwiczeń rósł wyraźnie wraz z poziomem samooceny wiedzy: od 6,9% wśród zawodników deklarujących niewystarczającą wiedzę, przez 28,6% przy wiedzy „raczej wystarczającej”, do 52,4% wśród zawodników oceniających swoją wiedzę jako w pełni wystarczającą (χ²(2) = 12,87; p = 0,002; korelacja rang Spearmana: rho = 0,405; p &lt; 0,001).</w:t>
      </w:r>
    </w:p>
    <w:p>
      <w:pPr>
        <w:pStyle w:val="BodyText"/>
      </w:pPr>
      <w:r>
        <w:t xml:space="preserve">[TUTAJ WSTAW TABELĘ 33 I 34 Z RAPORTU – Samoocena wiedzy o prewencji a liczba/częstotliwość stosowanej profilaktyki aktywnej oraz stosowanie ćwiczeń ekscentrycznych/izometrycznych]</w:t>
      </w:r>
    </w:p>
    <w:p>
      <w:pPr>
        <w:pStyle w:val="BodyText"/>
      </w:pPr>
      <w:r>
        <w:rPr>
          <w:bCs/>
          <w:b/>
        </w:rPr>
        <w:t xml:space="preserve">Hipotezę H5 zweryfikowano pozytywnie.</w:t>
      </w:r>
      <w:r>
        <w:t xml:space="preserve"> Wykazano spójny, potwierdzony niezależnymi testami statystycznymi związek między deklarowaną przez zawodnika wiedzą na temat prewencji urazów a rzeczywistym zakresem i charakterem stosowanych działań profilaktycznych, w tym w szczególności z wdrażaniem formy ćwiczeń o najwyższej udokumentowanej skuteczności klinicznej. Wynik ten należy jednak interpretować z zachowaniem ostrożności metodologicznej: (1) przekrojowy charakter badania nie pozwala jednoznacznie wykluczyć odwrotnego kierunku zależności (samo stosowanie ćwiczeń profilaktycznych może podnosić subiektywne poczucie kompetencji zawodnika, a nie odwrotnie); (2) obie zmienne pochodzą z samoopisu w ramach tej samej ankiety, co niesie ryzyko obciążenia wspólną metodą pomiaru (ang. </w:t>
      </w:r>
      <w:r>
        <w:rPr>
          <w:iCs/>
          <w:i/>
        </w:rPr>
        <w:t xml:space="preserve">common method bias</w:t>
      </w:r>
      <w:r>
        <w:t xml:space="preserve">). Mimo tych ograniczeń wynik ten stanowi istotną praktycznie przesłankę na rzecz interwencji edukacyjnych jako narzędzia zwiększającego rzeczywiste wdrażanie profilaktyki urazów w populacji piłkarskiej.</w:t>
      </w:r>
    </w:p>
    <w:p>
      <w:pPr>
        <w:pStyle w:val="BodyText"/>
      </w:pPr>
      <w:r>
        <w:t xml:space="preserve">Podsumowując weryfikację czterech hipotez badawczych, spośród ośmiu szczegółowo testowanych zależności statystycznie istotne okazały się trzy: związek stażu zawodniczego z wystąpieniem urazu, związek etapowości powrotu do gry z poziomem kinezjofobii oraz związek liczby przebytych urazów z poziomem kinezjofobii. Pozostałe testowane zależności (poziom rozgrywkowy i wiek a wystąpienie urazu, liczba urazów a wiek/staż, mechanizm urazu a rodzaj tkanki, testy funkcjonalne/etapowość a sprawność, profilaktyka a liczba urazów) nie osiągnęły istotności statystycznej w badanej próbie, co powinno być uwzględnione w dyskusji wyników jako wskazanie do dalszych badań na liczniejszej próbie.</w:t>
      </w:r>
    </w:p>
    <w:p>
      <w:pPr>
        <w:pStyle w:val="BodyText"/>
      </w:pPr>
      <w:r>
        <w:t xml:space="preserve">Uwzględniając dodatkowo hipotezę uzupełniającą H5, należy podkreślić, że dostarczyła ona najsilniejszego statystycznie, a zarazem najbardziej korzystnego z punktu widzenia praktyki sportowej wyniku całego badania. W przeciwieństwie do hipotez H1–H4, w których potwierdzone zależności miały charakter głównie diagnostyczny lub niepokojący (krótszy staż zawodniczy jako czynnik ryzyka urazu, wyższy poziom kinezjofobii po powrocie etapowym), hipoteza H5 wskazuje na czynnik możliwy do praktycznego kształtowania – poziom wiedzy zawodnika o prewencji – którego wzrost wiąże się z realnie większym zaangażowaniem w działania profilaktyczne, w tym w metody o najsilniejszym uzasadnieniu naukowym.</w:t>
      </w:r>
    </w:p>
    <w:bookmarkEnd w:id="45"/>
    <w:bookmarkEnd w:id="46"/>
    <w:bookmarkStart w:id="47" w:name="bibliografia"/>
    <w:p>
      <w:pPr>
        <w:pStyle w:val="Heading1"/>
      </w:pPr>
      <w:r>
        <w:t xml:space="preserve">Bibliografia</w:t>
      </w:r>
    </w:p>
    <w:p>
      <w:pPr>
        <w:pStyle w:val="FirstParagraph"/>
      </w:pPr>
      <w:r>
        <w:t xml:space="preserve">[AA1] Bochenek, 579–586.</w:t>
      </w:r>
    </w:p>
    <w:p>
      <w:pPr>
        <w:pStyle w:val="BodyText"/>
      </w:pPr>
      <w:r>
        <w:t xml:space="preserve">[AA2] Bochenek, 587–600.</w:t>
      </w:r>
    </w:p>
    <w:p>
      <w:pPr>
        <w:pStyle w:val="BodyText"/>
      </w:pPr>
      <w:r>
        <w:t xml:space="preserve">[AA3] Bochenek, 600–609.</w:t>
      </w:r>
    </w:p>
    <w:p>
      <w:pPr>
        <w:pStyle w:val="BodyText"/>
      </w:pPr>
      <w:r>
        <w:t xml:space="preserve">[CC] Polkowski, G. G., &amp; Clohisy, J. C. Hip Biomechanics. </w:t>
      </w:r>
      <w:r>
        <w:rPr>
          <w:iCs/>
          <w:i/>
        </w:rPr>
        <w:t xml:space="preserve">Sports Medicine and Arthroscopy Review</w:t>
      </w:r>
      <w:r>
        <w:t xml:space="preserve">.</w:t>
      </w:r>
    </w:p>
    <w:p>
      <w:pPr>
        <w:pStyle w:val="BodyText"/>
      </w:pPr>
      <w:r>
        <w:t xml:space="preserve">[DD] Altaweel, A., Nuhmani, S., Ahsan, M., Abualait, T., &amp; Muaidi, Q. (2022). Determining the hip joint isokinetic muscle strength and range of motion of professional soccer players based on their field position. </w:t>
      </w:r>
      <w:r>
        <w:rPr>
          <w:iCs/>
          <w:i/>
        </w:rPr>
        <w:t xml:space="preserve">PeerJ</w:t>
      </w:r>
      <w:r>
        <w:t xml:space="preserve">, 10. https://doi.org/10.7717/peerj.14000</w:t>
      </w:r>
    </w:p>
    <w:p>
      <w:pPr>
        <w:pStyle w:val="BodyText"/>
      </w:pPr>
      <w:r>
        <w:t xml:space="preserve">[nowe2] Brezovar, T., Drobnič, M., &amp; Kacin, A. (2024). Foot posture index and hip joint rotation mobility in handball and soccer players. </w:t>
      </w:r>
      <w:r>
        <w:rPr>
          <w:iCs/>
          <w:i/>
        </w:rPr>
        <w:t xml:space="preserve">Annales Kinesiologiae</w:t>
      </w:r>
      <w:r>
        <w:t xml:space="preserve">. https://doi.org/10.35469/ak.2023.395</w:t>
      </w:r>
    </w:p>
    <w:p>
      <w:pPr>
        <w:pStyle w:val="BodyText"/>
      </w:pPr>
      <w:r>
        <w:t xml:space="preserve">[EE] Hoffer, A. J., W., K., Degen, P. R. M., &amp; MSc, M. Y. (2024). The Contribution of Soft Tissue and Bony Stabilizers to the Hip Suction Seal: A Systematic Review of Biomechanical Studies. </w:t>
      </w:r>
      <w:r>
        <w:rPr>
          <w:iCs/>
          <w:i/>
        </w:rPr>
        <w:t xml:space="preserve">The American Journal of Sports Medicine</w:t>
      </w:r>
      <w:r>
        <w:t xml:space="preserve">, 52, 2657–2666. https://doi.org/10.1177/03635465231208193</w:t>
      </w:r>
    </w:p>
    <w:p>
      <w:pPr>
        <w:pStyle w:val="BodyText"/>
      </w:pPr>
      <w:r>
        <w:t xml:space="preserve">[FF] Fanelli, G. C. Knee Dislocation. </w:t>
      </w:r>
      <w:r>
        <w:rPr>
          <w:iCs/>
          <w:i/>
        </w:rPr>
        <w:t xml:space="preserve">Sports Medicine and Arthroscopy Review</w:t>
      </w:r>
      <w:r>
        <w:t xml:space="preserve">, 28(3), 79. DOI: 10.1097/JSA.0000000000000291</w:t>
      </w:r>
    </w:p>
    <w:p>
      <w:pPr>
        <w:pStyle w:val="BodyText"/>
      </w:pPr>
      <w:r>
        <w:t xml:space="preserve">[GG] Mesfar, W., &amp; Shirazi-Adl, A. (2005). Biomechanics of the knee joint in flexion under various quadriceps forces. </w:t>
      </w:r>
      <w:r>
        <w:rPr>
          <w:iCs/>
          <w:i/>
        </w:rPr>
        <w:t xml:space="preserve">The Knee</w:t>
      </w:r>
      <w:r>
        <w:t xml:space="preserve">, 12(6), 424–434. https://doi.org/10.1016/j.knee.2005.03.004</w:t>
      </w:r>
    </w:p>
    <w:p>
      <w:pPr>
        <w:pStyle w:val="BodyText"/>
      </w:pPr>
      <w:r>
        <w:t xml:space="preserve">[HH] X., Liu, Q., Xu, D., Fu, J., He, Y., &amp; Huang, J. (2024). Biomechanical impact of progressive meniscal extrusion on the knee joint: a finite element analysis. </w:t>
      </w:r>
      <w:r>
        <w:rPr>
          <w:iCs/>
          <w:i/>
        </w:rPr>
        <w:t xml:space="preserve">Journal of Orthopaedic Surgery and Research</w:t>
      </w:r>
      <w:r>
        <w:t xml:space="preserve">, 19. https://doi.org/10.1186/s13018-024-05249-y</w:t>
      </w:r>
    </w:p>
    <w:p>
      <w:pPr>
        <w:pStyle w:val="BodyText"/>
      </w:pPr>
      <w:r>
        <w:t xml:space="preserve">[II] Zembaty, A. </w:t>
      </w:r>
      <w:r>
        <w:rPr>
          <w:iCs/>
          <w:i/>
        </w:rPr>
        <w:t xml:space="preserve">Kinezyterapia</w:t>
      </w:r>
      <w:r>
        <w:t xml:space="preserve">, T. I.</w:t>
      </w:r>
    </w:p>
    <w:p>
      <w:pPr>
        <w:pStyle w:val="BodyText"/>
      </w:pPr>
      <w:r>
        <w:t xml:space="preserve">[JJ] Timpka, T., Jacobsson, J., Bickenbach, J., Finch, C. F., Ekberg, J., &amp; Nordenfelt, L. What is a sports injury? </w:t>
      </w:r>
      <w:r>
        <w:rPr>
          <w:iCs/>
          <w:i/>
        </w:rPr>
        <w:t xml:space="preserve">Sports Medicine</w:t>
      </w:r>
      <w:r>
        <w:t xml:space="preserve">. https://pubmed.ncbi.nlm.nih.gov/24469737/</w:t>
      </w:r>
    </w:p>
    <w:p>
      <w:pPr>
        <w:pStyle w:val="BodyText"/>
      </w:pPr>
      <w:r>
        <w:t xml:space="preserve">[KK] Wang, C., Stovitz, S., Kaufman, J. S., Steele, R. J., &amp; Shrier, I. (2024). Principles of musculoskeletal sport injuries for epidemiologists: a review. </w:t>
      </w:r>
      <w:r>
        <w:rPr>
          <w:iCs/>
          <w:i/>
        </w:rPr>
        <w:t xml:space="preserve">Injury Epidemiology</w:t>
      </w:r>
      <w:r>
        <w:t xml:space="preserve">, 11. https://doi.org/10.1186/s40621-024-00507-3</w:t>
      </w:r>
    </w:p>
    <w:p>
      <w:pPr>
        <w:pStyle w:val="BodyText"/>
      </w:pPr>
      <w:r>
        <w:t xml:space="preserve">[LL] Wik, E. (2022). Growth, maturation and injuries in high-level youth football (soccer): A mini review. </w:t>
      </w:r>
      <w:r>
        <w:rPr>
          <w:iCs/>
          <w:i/>
        </w:rPr>
        <w:t xml:space="preserve">Frontiers in Sports and Active Living</w:t>
      </w:r>
      <w:r>
        <w:t xml:space="preserve">, 4. doi: 10.3389/fspor.2022.975900</w:t>
      </w:r>
    </w:p>
    <w:p>
      <w:pPr>
        <w:pStyle w:val="BodyText"/>
      </w:pPr>
      <w:r>
        <w:t xml:space="preserve">[MM] Gurău, T., Gurau, G., Voinescu, D., Anghel, L., Onose, G., Iordan, D., Munteanu, C., Onu, I., &amp; Musat, C. (2023). Epidemiology of Injuries in Men’s Professional and Amateur Football (Part I). </w:t>
      </w:r>
      <w:r>
        <w:rPr>
          <w:iCs/>
          <w:i/>
        </w:rPr>
        <w:t xml:space="preserve">Journal of Clinical Medicine</w:t>
      </w:r>
      <w:r>
        <w:t xml:space="preserve">, 12. doi: 10.3390/jcm12175569</w:t>
      </w:r>
    </w:p>
    <w:p>
      <w:pPr>
        <w:pStyle w:val="BodyText"/>
      </w:pPr>
      <w:r>
        <w:t xml:space="preserve">[NN] Lee, I., Jeong, H., &amp; Lee, S. (2020). Injury Profiles in Korean Youth Soccer. </w:t>
      </w:r>
      <w:r>
        <w:rPr>
          <w:iCs/>
          <w:i/>
        </w:rPr>
        <w:t xml:space="preserve">International Journal of Environmental Research and Public Health</w:t>
      </w:r>
      <w:r>
        <w:t xml:space="preserve">, 17. doi: 10.3390/ijerph17145125</w:t>
      </w:r>
    </w:p>
    <w:p>
      <w:pPr>
        <w:pStyle w:val="BodyText"/>
      </w:pPr>
      <w:r>
        <w:t xml:space="preserve">[OO] Kolokotsios, S., Drousia, G., Koukoulithras, I., &amp; Plexousakis, M. (2021). Ankle Injuries in Soccer Players: A Narrative Review. </w:t>
      </w:r>
      <w:r>
        <w:rPr>
          <w:iCs/>
          <w:i/>
        </w:rPr>
        <w:t xml:space="preserve">Cureus</w:t>
      </w:r>
      <w:r>
        <w:t xml:space="preserve">, 13. doi: 10.7759/cureus.17228</w:t>
      </w:r>
    </w:p>
    <w:p>
      <w:pPr>
        <w:pStyle w:val="BodyText"/>
      </w:pPr>
      <w:r>
        <w:rPr>
          <w:iCs/>
          <w:i/>
        </w:rPr>
        <w:t xml:space="preserve">Uwaga redakcyjna: z bibliografii usunięto pozycję [BB], która w oryginalnej wersji pracy nie była powiązana z żadnym fragmentem tekstu pozostawionym po redakcji (brak odwołania w treści). Pozycja [PP] z oryginalnego wykazu literatury pozostała bez treści bibliograficznej w przesłanym pliku źródłowym – prosimy o jej uzupełnienie przed oddaniem pracy, jeśli jest wykorzystywana w dalszych, nieprzesłanych fragmentach (Rozdział IV, Dyskusja, Wnioski).</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PL"/>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jc w:val="both"/>
    </w:p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pl-PL</dc:language>
  <cp:keywords/>
  <dcterms:created xsi:type="dcterms:W3CDTF">2026-09-03T19:55:10Z</dcterms:created>
  <dcterms:modified xsi:type="dcterms:W3CDTF">2026-09-03T19:55:10Z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Spis treści</vt:lpwstr>
  </property>
</Properties>
</file>