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jc w:val="left"/>
        <w:rPr>
          <w:b w:val="0"/>
          <w:bCs w:val="0"/>
          <w:color w:val="000000"/>
          <w:sz w:val="42"/>
          <w:szCs w:val="42"/>
        </w:rPr>
      </w:pPr>
      <w:bookmarkStart w:colFirst="0" w:colLast="0" w:name="_ikr6turde81n" w:id="0"/>
      <w:bookmarkEnd w:id="0"/>
      <w:r>
        <w:rPr>
          <w:b w:val="0"/>
          <w:bCs w:val="0"/>
          <w:color w:val="000000"/>
          <w:sz w:val="42"/>
          <w:szCs w:val="42"/>
          <w:rtl w:val="0"/>
        </w:rPr>
        <w:t xml:space="preserve">Temat Pracy Magisterskiej: “Na podstawie analizy urazów - sposoby usprawniania kończyn dolnych u zawodników piłki nożnej.”</w:t>
      </w:r>
    </w:p>
    <w:p w:rsidR="00000000" w:rsidDel="00000000" w:rsidP="00000000" w:rsidRDefault="00000000" w:rsidRPr="00000000" w14:paraId="00000002">
      <w:pPr>
        <w:spacing w:after="0" w:line="276" w:lineRule="auto"/>
        <w:jc w:val="left"/>
        <w:rPr>
          <w:rFonts w:ascii="Arial" w:cs="Arial" w:eastAsia="Arial" w:hAnsi="Arial"/>
          <w:sz w:val="22"/>
          <w:szCs w:val="22"/>
        </w:rPr>
      </w:pPr>
      <w:r>
        <w:rPr>
          <w:rFonts w:ascii="Arial" w:cs="Arial" w:eastAsia="Arial" w:hAnsi="Arial"/>
          <w:sz w:val="22"/>
          <w:szCs w:val="22"/>
          <w:rtl w:val="0"/>
        </w:rPr>
        <w:t xml:space="preserve">Mateusz Klapczyński.</w:t>
      </w:r>
    </w:p>
    <w:p w:rsidR="00000000" w:rsidDel="00000000" w:rsidP="00000000" w:rsidRDefault="00000000" w:rsidRPr="00000000" w14:paraId="0000000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366091"/>
          <w:sz w:val="32"/>
          <w:szCs w:val="32"/>
          <w:u w:val="none"/>
          <w:shd w:fill="auto" w:val="clear"/>
          <w:vertAlign w:val="baseline"/>
        </w:rPr>
      </w:pPr>
      <w:r>
        <w:rPr>
          <w:rFonts w:ascii="Times New Roman" w:cs="Times New Roman" w:eastAsia="Times New Roman" w:hAnsi="Times New Roman"/>
          <w:b w:val="0"/>
          <w:bCs w:val="0"/>
          <w:i w:val="0"/>
          <w:iCs w:val="0"/>
          <w:smallCaps w:val="0"/>
          <w:strike w:val="0"/>
          <w:color w:val="366091"/>
          <w:sz w:val="32"/>
          <w:szCs w:val="32"/>
          <w:u w:val="none"/>
          <w:shd w:fill="auto" w:val="clear"/>
          <w:vertAlign w:val="baseline"/>
          <w:rtl w:val="0"/>
        </w:rPr>
        <w:t xml:space="preserve">Spis treści</w:t>
      </w:r>
    </w:p>
    <w:sdt>
      <w:sdtPr>
        <w:id w:val="-738218622"/>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Na podstawie analizy urazów – sposoby usprawniania kończyn dolnych u zawodników piłki nożnej</w:t>
              <w:tab/>
              <w:t xml:space="preserve">2</w:t>
            </w:r>
          </w:hyperlink>
          <w:r>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2</w:t>
            </w:r>
          </w:hyperlink>
          <w:r>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W.1. Cel i znaczenie pracy</w:t>
              <w:tab/>
              <w:t xml:space="preserve">2</w:t>
            </w:r>
          </w:hyperlink>
          <w:r>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W.2. Uzasadnienie wyboru tematu</w:t>
              <w:tab/>
              <w:t xml:space="preserve">2</w:t>
            </w:r>
          </w:hyperlink>
          <w:r>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W.3. Metody badawcze i źródła</w:t>
              <w:tab/>
              <w:t xml:space="preserve">3</w:t>
            </w:r>
          </w:hyperlink>
          <w:r>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3</w:t>
            </w:r>
          </w:hyperlink>
          <w:r>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1.1. Krótka historia i rozwój piłki nożnej</w:t>
              <w:tab/>
              <w:t xml:space="preserve">3</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1.2. Specyfika gry i wymagania fizyczne wobec zawodników</w:t>
              <w:tab/>
              <w:t xml:space="preserve">3</w:t>
            </w:r>
          </w:hyperlink>
          <w:r>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1.3. Obciążenia treningowe i meczowe w piłce nożnej</w:t>
              <w:tab/>
              <w:t xml:space="preserve">4</w:t>
            </w:r>
          </w:hyperlink>
          <w:r>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4</w:t>
            </w:r>
          </w:hyperlink>
          <w:r>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2.1. Staw biodrowy</w:t>
              <w:tab/>
              <w:t xml:space="preserve">4</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2.2. Staw kolanowy</w:t>
              <w:tab/>
              <w:t xml:space="preserve">5</w:t>
            </w:r>
          </w:hyperlink>
          <w:r>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2.3. Staw skokowy</w:t>
              <w:tab/>
              <w:t xml:space="preserve">5</w:t>
            </w:r>
          </w:hyperlink>
          <w:r>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6</w:t>
            </w:r>
          </w:hyperlink>
          <w:r>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Definicja urazu i kontuzji sportowej</w:t>
              <w:tab/>
              <w:t xml:space="preserve">6</w:t>
            </w:r>
          </w:hyperlink>
          <w:r>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3.2. Klasyfikacja urazów</w:t>
              <w:tab/>
              <w:t xml:space="preserve">6</w:t>
            </w:r>
          </w:hyperlink>
          <w:r>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7</w:t>
            </w:r>
          </w:hyperlink>
          <w:r>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3.4. Prewencja kontuzji i profilaktyka</w:t>
              <w:tab/>
              <w:t xml:space="preserve">7</w:t>
            </w:r>
          </w:hyperlink>
          <w:r>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8</w:t>
            </w:r>
          </w:hyperlink>
          <w:r>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4.1. Cel i hipotezy badawcze</w:t>
              <w:tab/>
              <w:t xml:space="preserve">8</w:t>
            </w:r>
          </w:hyperlink>
          <w:r>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5.2. Charakterystyka grupy badawczej</w:t>
              <w:tab/>
              <w:t xml:space="preserve">9</w:t>
            </w:r>
          </w:hyperlink>
          <w:r>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5.3. Narzędzia i metody badawcze</w:t>
              <w:tab/>
              <w:t xml:space="preserve">9</w:t>
            </w:r>
          </w:hyperlink>
          <w:r>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Wyniki badań własnych</w:t>
              <w:tab/>
              <w:t xml:space="preserve">10</w:t>
            </w:r>
          </w:hyperlink>
          <w:r>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6.1. Analiza częstości i okoliczności urazów kończyn dolnych</w:t>
              <w:tab/>
              <w:t xml:space="preserve">10</w:t>
            </w:r>
          </w:hyperlink>
          <w:r>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6.2. Proces rehabilitacji i Return to Play</w:t>
              <w:tab/>
              <w:t xml:space="preserve">11</w:t>
            </w:r>
          </w:hyperlink>
          <w:r>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6.3. Znaczenie profilaktyki</w:t>
              <w:tab/>
              <w:t xml:space="preserve">12</w:t>
            </w:r>
          </w:hyperlink>
          <w:r>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6.4. Weryfikacja hipotez statystycznych</w:t>
              <w:tab/>
              <w:t xml:space="preserve">13</w:t>
            </w:r>
          </w:hyperlink>
          <w:r>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Propozycje modelowych protokołów usprawniania i kryteriów Return to Play (RTP) w najczęstszych urazach piłkarskich</w:t>
              <w:tab/>
              <w:t xml:space="preserve">16</w:t>
            </w:r>
          </w:hyperlink>
          <w:r>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7.1. Protokół postępowania po ostrym skręceniu inwersyjnym stawu skokowego</w:t>
              <w:tab/>
              <w:t xml:space="preserve">17</w:t>
            </w:r>
          </w:hyperlink>
          <w:r>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7.2. Protokół postępowania w urazach skrętnych stawu kolanowego / rekonstrukcji ACL</w:t>
              <w:tab/>
              <w:t xml:space="preserve">19</w:t>
            </w:r>
          </w:hyperlink>
          <w:r>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7.3. Protokół postępowania w ostrym naciągnięciu/naderwaniu mięśni kulszowo-goleniowych (hamstring strain injury)</w:t>
              <w:tab/>
              <w:t xml:space="preserve">20</w:t>
            </w:r>
          </w:hyperlink>
          <w:r>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VIII. Dyskusja i wnioski</w:t>
              <w:tab/>
              <w:t xml:space="preserve">22</w:t>
            </w:r>
          </w:hyperlink>
          <w:r>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8.1. Dyskusja wyników</w:t>
              <w:tab/>
              <w:t xml:space="preserve">22</w:t>
            </w:r>
          </w:hyperlink>
          <w:r>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0"/>
                <w:bCs w:val="0"/>
                <w:i w:val="0"/>
                <w:iCs w:val="0"/>
                <w:smallCaps w:val="0"/>
                <w:strike w:val="0"/>
                <w:color w:val="000000"/>
                <w:sz w:val="22"/>
                <w:szCs w:val="22"/>
                <w:u w:val="none"/>
                <w:shd w:fill="auto" w:val="clear"/>
                <w:vertAlign w:val="baseline"/>
                <w:rtl w:val="0"/>
              </w:rPr>
              <w:t xml:space="preserve">8.2. Wnioski końcowe</w:t>
              <w:tab/>
              <w:t xml:space="preserve">24</w:t>
            </w:r>
          </w:hyperlink>
          <w:r>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25</w:t>
            </w:r>
          </w:hyperlink>
          <w:r>
            <w:rPr>
              <w:rtl w:val="0"/>
            </w:rPr>
          </w:r>
          <w:r>
            <w:fldChar w:fldCharType="end"/>
          </w:r>
        </w:p>
      </w:sdtContent>
    </w:sdt>
    <w:p w:rsidR="00000000" w:rsidDel="00000000" w:rsidP="00000000" w:rsidRDefault="00000000" w:rsidRPr="00000000" w14:paraId="0000004A">
      <w:pPr>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Mateusz Klapczyński</w:t>
      </w:r>
      <w:r>
        <w:rPr>
          <w:rtl w:val="0"/>
        </w:rPr>
      </w:r>
    </w:p>
    <w:bookmarkStart w:colFirst="0" w:colLast="0" w:name="1t10ttlzmi26" w:id="1"/>
    <w:bookmarkEnd w:id="1"/>
    <w:p w:rsidR="00000000" w:rsidDel="00000000" w:rsidP="00000000" w:rsidRDefault="00000000" w:rsidRPr="00000000" w14:paraId="0000004C">
      <w:pPr>
        <w:pStyle w:val="Heading1"/>
        <w:rPr/>
      </w:pPr>
      <w:r>
        <w:rPr>
          <w:rtl w:val="0"/>
        </w:rPr>
        <w:t xml:space="preserve">Wstęp</w:t>
      </w:r>
    </w:p>
    <w:bookmarkStart w:colFirst="0" w:colLast="0" w:name="mma9mke8cai0" w:id="2"/>
    <w:bookmarkEnd w:id="2"/>
    <w:p w:rsidR="00000000" w:rsidDel="00000000" w:rsidP="00000000" w:rsidRDefault="00000000" w:rsidRPr="00000000" w14:paraId="0000004D">
      <w:pPr>
        <w:pStyle w:val="Heading2"/>
        <w:rPr/>
      </w:pPr>
      <w:r>
        <w:rPr>
          <w:rtl w:val="0"/>
        </w:rPr>
        <w:t xml:space="preserve">W.1. Cel i znaczenie pracy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6sh0wwmo1j1x" w:id="3"/>
    <w:bookmarkEnd w:id="3"/>
    <w:p w:rsidR="00000000" w:rsidDel="00000000" w:rsidP="00000000" w:rsidRDefault="00000000" w:rsidRPr="00000000" w14:paraId="00000050">
      <w:pPr>
        <w:pStyle w:val="Heading2"/>
        <w:rPr/>
      </w:pPr>
      <w:r>
        <w:rPr>
          <w:rtl w:val="0"/>
        </w:rPr>
        <w:t xml:space="preserve">W.2. Uzasadnienie wyboru tematu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Start w:colFirst="0" w:colLast="0" w:name="t9cg6dpicp10" w:id="4"/>
    <w:bookmarkEnd w:id="4"/>
    <w:p w:rsidR="00000000" w:rsidDel="00000000" w:rsidP="00000000" w:rsidRDefault="00000000" w:rsidRPr="00000000" w14:paraId="00000053">
      <w:pPr>
        <w:pStyle w:val="Heading2"/>
        <w:rPr/>
      </w:pPr>
      <w:r>
        <w:rPr>
          <w:rtl w:val="0"/>
        </w:rPr>
        <w:t xml:space="preserve">W.3. Metody badawcze i źródła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V.</w:t>
      </w:r>
    </w:p>
    <w:bookmarkStart w:colFirst="0" w:colLast="0" w:name="gnizbcsge348" w:id="5"/>
    <w:bookmarkEnd w:id="5"/>
    <w:p w:rsidR="00000000" w:rsidDel="00000000" w:rsidP="00000000" w:rsidRDefault="00000000" w:rsidRPr="00000000" w14:paraId="00000055">
      <w:pPr>
        <w:pStyle w:val="Heading1"/>
        <w:rPr/>
      </w:pPr>
      <w:r>
        <w:rPr>
          <w:rtl w:val="0"/>
        </w:rPr>
        <w:t xml:space="preserve">Rozdział I. Charakterystyka piłki nożnej jako dyscypliny sportowej</w:t>
      </w:r>
    </w:p>
    <w:bookmarkStart w:colFirst="0" w:colLast="0" w:name="npe43g366at8" w:id="6"/>
    <w:bookmarkEnd w:id="6"/>
    <w:p w:rsidR="00000000" w:rsidDel="00000000" w:rsidP="00000000" w:rsidRDefault="00000000" w:rsidRPr="00000000" w14:paraId="00000056">
      <w:pPr>
        <w:pStyle w:val="Heading2"/>
        <w:rPr/>
      </w:pPr>
      <w:r>
        <w:rPr>
          <w:rtl w:val="0"/>
        </w:rPr>
        <w:t xml:space="preserve">1.1. Krótka historia i rozwój piłki nożnej</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 organizacja, która jako pierwsza sformalizowała zasady gry. W krótkim czasie sport ten zdobył ogromną popularność w Europie, a następnie na całym świecie.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Start w:colFirst="0" w:colLast="0" w:name="am6q2ihl4z7c" w:id="7"/>
    <w:bookmarkEnd w:id="7"/>
    <w:p w:rsidR="00000000" w:rsidDel="00000000" w:rsidP="00000000" w:rsidRDefault="00000000" w:rsidRPr="00000000" w14:paraId="00000059">
      <w:pPr>
        <w:pStyle w:val="Heading2"/>
        <w:rPr/>
      </w:pPr>
      <w:r>
        <w:rPr>
          <w:rtl w:val="0"/>
        </w:rPr>
        <w:t xml:space="preserve">1.2. Specyfika gry i wymagania fizyczne wobec zawodników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Start w:colFirst="0" w:colLast="0" w:name="o9gq5swuuwxy" w:id="8"/>
    <w:bookmarkEnd w:id="8"/>
    <w:p w:rsidR="00000000" w:rsidDel="00000000" w:rsidP="00000000" w:rsidRDefault="00000000" w:rsidRPr="00000000" w14:paraId="0000005C">
      <w:pPr>
        <w:pStyle w:val="Heading2"/>
        <w:rPr/>
      </w:pPr>
      <w:r>
        <w:rPr>
          <w:rtl w:val="0"/>
        </w:rPr>
        <w:t xml:space="preserve">1.3. Obciążenia treningowe i meczowe w piłce nożnej</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Start w:colFirst="0" w:colLast="0" w:name="5htdvf1jsa5p" w:id="9"/>
    <w:bookmarkEnd w:id="9"/>
    <w:p w:rsidR="00000000" w:rsidDel="00000000" w:rsidP="00000000" w:rsidRDefault="00000000" w:rsidRPr="00000000" w14:paraId="00000060">
      <w:pPr>
        <w:pStyle w:val="Heading1"/>
        <w:rPr/>
      </w:pPr>
      <w:r>
        <w:rPr>
          <w:rtl w:val="0"/>
        </w:rPr>
        <w:t xml:space="preserve">Rozdział II. Anatomia i biomechanika wybranych stawów kończyn dolnych</w:t>
      </w:r>
    </w:p>
    <w:bookmarkStart w:colFirst="0" w:colLast="0" w:name="ck6uetv4jcne" w:id="10"/>
    <w:bookmarkEnd w:id="10"/>
    <w:p w:rsidR="00000000" w:rsidDel="00000000" w:rsidP="00000000" w:rsidRDefault="00000000" w:rsidRPr="00000000" w14:paraId="00000061">
      <w:pPr>
        <w:pStyle w:val="Heading2"/>
        <w:rPr/>
      </w:pPr>
      <w:r>
        <w:rPr>
          <w:rtl w:val="0"/>
        </w:rPr>
        <w:t xml:space="preserve">2.1. Staw biodrowy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 pierścień włóknisto-chrzęstny zwiększający stabilność mechaniczną połączenia poza jego równik [AA1].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[AA1].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[CC]. Jako staw o trzech stopniach swobody umożliwia ruchy zgięcia (do 120°), prostowania (do 15°), odwodzenia (do 40°), przywodzenia (do 45°) oraz rotacji zewnętrznej (15°) i wewnętrznej (35°) [EE]. Specyfika treningowa piłki nożnej prowadzi do charakterystycznych adaptacji tkankowych: młodzi piłkarze wykazują większą elastyczność mięśni zginaczy biodra niż zawodnicy innych dyscyplin, co odpowiada wymogowi szerokiego zamachu tylnego poprzedzającego kopnięcie [DD], natomiast powtarzalna rotacja zewnętrzna towarzysząca uderzeniom wewnętrzną częścią stopy skutkuje obniżonym biernym zakresem rotacji wewnętrznej biodra w porównaniu z populacją nietrenującą [nowe2]. Ograniczona ruchomość rotacyjna i mniejsze odwiedzenie biodra wiążą się z większą częstością bólu pachwiny i urazów kolana, co potwierdza znaczenie mechaniki tego stawu jako czynnika ryzyka kontuzji w piłce nożnej.</w:t>
      </w:r>
    </w:p>
    <w:bookmarkStart w:colFirst="0" w:colLast="0" w:name="5nn13n8gprz" w:id="11"/>
    <w:bookmarkEnd w:id="11"/>
    <w:p w:rsidR="00000000" w:rsidDel="00000000" w:rsidP="00000000" w:rsidRDefault="00000000" w:rsidRPr="00000000" w14:paraId="00000064">
      <w:pPr>
        <w:pStyle w:val="Heading2"/>
        <w:rPr/>
      </w:pPr>
      <w:r>
        <w:rPr>
          <w:rtl w:val="0"/>
        </w:rPr>
        <w:t xml:space="preserve">2.2. Staw kolanowy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[AA2]. Szkielet stawu tworzą dalsza nasada kości udowej, bliższa nasada kości piszczelowej oraz rzepka [FF]; powierzchnie stawowe pokrywa chrząstka szklista, praktycznie pozbawiona unaczynienia, co warunkuje jej ograniczoną zdolność do samoistnej regeneracji. Stabilność stawu zapewniają struktury tkanki miękkiej – więzadła, łąkotki (półksiężycowate struktury z włóknistej chrząstki, klinowo rozszerzające pole kontaktu między kłykciami kości udowej a płaskowyżem piszczelowym [AA2]), torebka stawowa i mięśnie okalające.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[GG]. Jako staw o trzech zasadniczych stopniach swobody kolano umożliwia zgięcie czynne do 130–135° (bierne do 140°) przy normatywnym punkcie wyprostu 0° [II]; ruch ten warunkowany jest synergistyczną pracą prostowników i zginaczy, w tym mięśni półbłoniastego, półścięgnistego i dwugłowego uda, wspieranych przez mięsień podkolanowy. Kluczową rolę w rozpraszaniu obciążeń odgrywają łąkotki – ich dysfunkcja (np. pęknięcia promieniowe lub postępująca ekstruzja) drastycznie zaburza pole kontaktu stawowego i może zwiększać szczytowy docisk tkankowy w przedziale przyśrodkowym o ponad 40%, przyspieszając procesy degeneracyjne chrząstki [HH].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b6tjasvn7pzm" w:id="12"/>
    <w:bookmarkEnd w:id="12"/>
    <w:p w:rsidR="00000000" w:rsidDel="00000000" w:rsidP="00000000" w:rsidRDefault="00000000" w:rsidRPr="00000000" w14:paraId="00000067">
      <w:pPr>
        <w:pStyle w:val="Heading2"/>
        <w:rPr/>
      </w:pPr>
      <w:r>
        <w:rPr>
          <w:rtl w:val="0"/>
        </w:rPr>
        <w:t xml:space="preserve">2.3. Staw skokowy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[AA3]. Stabilność stawu górnego zapewnia sześć więzadeł zgrupowanych w dwa kompleksy: przyśrodkowy (więzadło trójgraniaste) oraz boczny (więzadła skokowo-strzałkowe przednie i tylne oraz piętowo-strzałkowe) [AA3]; to właśnie kompleks boczny ulega uszkodzeniu w zdecydowanej większości urazów skrętnych kostki.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 funkcję fundamentalną w trakcie sprintów, nagłych zmian kierunku oraz odbicia stopy od podłoża, gdy obciążenia dynamiczne wielokrotnie przewyższają masę ciała zawodnika [II]. Staw skokowy górny umożliwia zgięcie podeszwowe czynne do 45° (bierne do 50°) oraz zgięcie grzbietowe czynne do 20° (bierne do 25°); staw skokowy dolny pozwala na supinację czynną do 30° oraz pronację do 15–20° [II].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aparatu torebkowo-więzadłowego [II] – co koresponduje z epidemiologicznie potwierdzoną dominacją skręceń bocznych stawu skokowego w piłce nożnej, omówioną w kolejnym rozdziale.</w:t>
      </w:r>
    </w:p>
    <w:bookmarkStart w:colFirst="0" w:colLast="0" w:name="217tu158zk76" w:id="13"/>
    <w:bookmarkEnd w:id="13"/>
    <w:p w:rsidR="00000000" w:rsidDel="00000000" w:rsidP="00000000" w:rsidRDefault="00000000" w:rsidRPr="00000000" w14:paraId="0000006A">
      <w:pPr>
        <w:pStyle w:val="Heading1"/>
        <w:rPr/>
      </w:pPr>
      <w:r>
        <w:rPr>
          <w:rtl w:val="0"/>
        </w:rPr>
        <w:t xml:space="preserve">Rozdział III. Urazy kończyn dolnych oraz prewencja w piłce nożnej</w:t>
      </w:r>
    </w:p>
    <w:bookmarkStart w:colFirst="0" w:colLast="0" w:name="aic6harxhj5o" w:id="14"/>
    <w:bookmarkEnd w:id="14"/>
    <w:p w:rsidR="00000000" w:rsidDel="00000000" w:rsidP="00000000" w:rsidRDefault="00000000" w:rsidRPr="00000000" w14:paraId="0000006B">
      <w:pPr>
        <w:pStyle w:val="Heading2"/>
        <w:rPr/>
      </w:pPr>
      <w:r>
        <w:rPr>
          <w:rtl w:val="0"/>
        </w:rPr>
        <w:t xml:space="preserve">3.1. Definicja urazu i kontuzji sportowej</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które wymaga opieki medycznej lub powoduje utratę czasu treningowego bądź zawodowego [JJ].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[JJ].</w:t>
      </w:r>
    </w:p>
    <w:bookmarkStart w:colFirst="0" w:colLast="0" w:name="zd4yy7pyp5hx" w:id="15"/>
    <w:bookmarkEnd w:id="15"/>
    <w:p w:rsidR="00000000" w:rsidDel="00000000" w:rsidP="00000000" w:rsidRDefault="00000000" w:rsidRPr="00000000" w14:paraId="0000006D">
      <w:pPr>
        <w:pStyle w:val="Heading2"/>
        <w:rPr/>
      </w:pPr>
      <w:r>
        <w:rPr>
          <w:rtl w:val="0"/>
        </w:rPr>
        <w:t xml:space="preserve">3.2. Klasyfikacja urazów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[KK]. Dodatkowymi kryteriami klasyfikacyjnymi są lokalizacja anatomiczna, rodzaj uszkodzonej tkanki (kości, mięśnie, więzadła, ścięgna) oraz stopień ciężkości kontuzji [KK].</w:t>
      </w:r>
    </w:p>
    <w:bookmarkStart w:colFirst="0" w:colLast="0" w:name="re99qb8wqluy" w:id="16"/>
    <w:bookmarkEnd w:id="16"/>
    <w:p w:rsidR="00000000" w:rsidDel="00000000" w:rsidP="00000000" w:rsidRDefault="00000000" w:rsidRPr="00000000" w14:paraId="0000006F">
      <w:pPr>
        <w:pStyle w:val="Heading2"/>
        <w:rPr/>
      </w:pPr>
      <w:r>
        <w:rPr>
          <w:rtl w:val="0"/>
        </w:rPr>
        <w:t xml:space="preserve">3.3. Najczęstsze urazy w obrębie stawu biodrowego, kolanowego i skokowego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[LL].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odpowiadając w przybliżeniu za 11–14% ogółu odnotowywanych kontuzji, niezależnie od wieku zawodników [LL].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przy czym odsetek ten różni się w zależności od płci, wieku oraz poziomu zaawansowania gry [MM]. Do najczęstszych urazów tej okolicy należą uszkodzenia więzadeł ACL i MCL, a także łąkotek i tkanki chrzęstnej [MM].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odpowiadając w wielu analizach epidemiologicznych za 20–39% ogółu odnotowywanych kontuzji [NN]. Zdecydowanie dominują skręcenia więzadeł bocznych, stanowiące blisko 80% ± 10% wszystkich urazów tej okolicy [OO];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83y94ln3trid" w:id="17"/>
    <w:bookmarkEnd w:id="17"/>
    <w:p w:rsidR="00000000" w:rsidDel="00000000" w:rsidP="00000000" w:rsidRDefault="00000000" w:rsidRPr="00000000" w14:paraId="00000074">
      <w:pPr>
        <w:pStyle w:val="Heading2"/>
        <w:rPr/>
      </w:pPr>
      <w:r>
        <w:rPr>
          <w:rtl w:val="0"/>
        </w:rPr>
        <w:t xml:space="preserve">3.4. Prewencja kontuzji i profilaktyka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76">
      <w:pPr>
        <w:numPr>
          <w:ilvl w:val="0"/>
          <w:numId w:val="1"/>
        </w:numPr>
        <w:ind w:left="720" w:hanging="480"/>
        <w:rPr/>
      </w:pPr>
      <w:r>
        <w:rPr>
          <w:b w:val="1"/>
          <w:bCs w:val="1"/>
          <w:rtl w:val="0"/>
        </w:rPr>
        <w:t xml:space="preserve">Prewencja pierwotna</w:t>
      </w:r>
      <w:r>
        <w:rPr>
          <w:rtl w:val="0"/>
        </w:rPr>
        <w:t xml:space="preserve"> (</w:t>
      </w:r>
      <w:r>
        <w:rPr>
          <w:i w:val="1"/>
          <w:iCs w:val="1"/>
          <w:rtl w:val="0"/>
        </w:rPr>
        <w:t xml:space="preserve">primary prevention</w:t>
      </w:r>
      <w:r>
        <w:rPr>
          <w:rtl w:val="0"/>
        </w:rPr>
        <w:t xml:space="preserve">) –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rsidR="00000000" w:rsidDel="00000000" w:rsidP="00000000" w:rsidRDefault="00000000" w:rsidRPr="00000000" w14:paraId="00000077">
      <w:pPr>
        <w:numPr>
          <w:ilvl w:val="0"/>
          <w:numId w:val="1"/>
        </w:numPr>
        <w:ind w:left="720" w:hanging="480"/>
        <w:rPr/>
      </w:pPr>
      <w:r>
        <w:rPr>
          <w:b w:val="1"/>
          <w:bCs w:val="1"/>
          <w:rtl w:val="0"/>
        </w:rPr>
        <w:t xml:space="preserve">Prewencja wtórna</w:t>
      </w:r>
      <w:r>
        <w:rPr>
          <w:rtl w:val="0"/>
        </w:rPr>
        <w:t xml:space="preserve"> (</w:t>
      </w:r>
      <w:r>
        <w:rPr>
          <w:i w:val="1"/>
          <w:iCs w:val="1"/>
          <w:rtl w:val="0"/>
        </w:rPr>
        <w:t xml:space="preserve">secondary prevention</w:t>
      </w:r>
      <w:r>
        <w:rPr>
          <w:rtl w:val="0"/>
        </w:rPr>
        <w:t xml:space="preserve">) – wczesne wykrywanie, szybka diagnoza i natychmiastowe leczenie powstałego urazu lub stanu przeciążeniowego, mające zapobiec pogłębieniu uszkodzenia tkankowego oraz wczesnym nawrotom kontuzji (np. screening po pierwszych objawach przeciążeniowych, testy </w:t>
      </w:r>
      <w:r>
        <w:rPr>
          <w:i w:val="1"/>
          <w:iCs w:val="1"/>
          <w:rtl w:val="0"/>
        </w:rPr>
        <w:t xml:space="preserve">Return to Play</w:t>
      </w:r>
      <w:r>
        <w:rPr>
          <w:rtl w:val="0"/>
        </w:rPr>
        <w:t xml:space="preserve">).</w:t>
      </w:r>
    </w:p>
    <w:p w:rsidR="00000000" w:rsidDel="00000000" w:rsidP="00000000" w:rsidRDefault="00000000" w:rsidRPr="00000000" w14:paraId="00000078">
      <w:pPr>
        <w:numPr>
          <w:ilvl w:val="0"/>
          <w:numId w:val="1"/>
        </w:numPr>
        <w:ind w:left="720" w:hanging="480"/>
        <w:rPr/>
      </w:pPr>
      <w:r>
        <w:rPr>
          <w:b w:val="1"/>
          <w:bCs w:val="1"/>
          <w:rtl w:val="0"/>
        </w:rPr>
        <w:t xml:space="preserve">Prewencja trzeciorzędowa</w:t>
      </w:r>
      <w:r>
        <w:rPr>
          <w:rtl w:val="0"/>
        </w:rPr>
        <w:t xml:space="preserve"> (</w:t>
      </w:r>
      <w:r>
        <w:rPr>
          <w:i w:val="1"/>
          <w:iCs w:val="1"/>
          <w:rtl w:val="0"/>
        </w:rPr>
        <w:t xml:space="preserve">tertiary prevention</w:t>
      </w:r>
      <w:r>
        <w:rPr>
          <w:rtl w:val="0"/>
        </w:rPr>
        <w:t xml:space="preserve">) –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V i VI niniejszej pracy.</w:t>
      </w:r>
    </w:p>
    <w:bookmarkStart w:colFirst="0" w:colLast="0" w:name="i5czp2h7im3i" w:id="18"/>
    <w:bookmarkEnd w:id="18"/>
    <w:p w:rsidR="00000000" w:rsidDel="00000000" w:rsidP="00000000" w:rsidRDefault="00000000" w:rsidRPr="00000000" w14:paraId="0000007A">
      <w:pPr>
        <w:pStyle w:val="Heading1"/>
        <w:rPr/>
      </w:pPr>
      <w:r>
        <w:rPr>
          <w:rtl w:val="0"/>
        </w:rPr>
        <w:t xml:space="preserve">Rozdział V. Metodologia badań własnych</w:t>
      </w:r>
    </w:p>
    <w:p w:rsidR="00000000" w:rsidDel="00000000" w:rsidP="00000000" w:rsidRDefault="00000000" w:rsidRPr="00000000" w14:paraId="0000007B">
      <w:pPr>
        <w:pStyle w:val="Heading2"/>
        <w:rPr/>
      </w:pPr>
      <w:r>
        <w:rPr>
          <w:rtl w:val="0"/>
        </w:rPr>
        <w:t xml:space="preserve">5</w:t>
      </w:r>
      <w:bookmarkStart w:colFirst="0" w:colLast="0" w:name="o4n14tkkvb8x" w:id="19"/>
      <w:bookmarkEnd w:id="19"/>
      <w:r>
        <w:rPr>
          <w:rtl w:val="0"/>
        </w:rPr>
        <w:t xml:space="preserve">.1. Cel i hipotezy badawcze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 a ryzykiem urazu, przebiegiem rehabilitacji i jej następstwami psychologicznymi.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6.4.</w:t>
      </w:r>
    </w:p>
    <w:bookmarkStart w:colFirst="0" w:colLast="0" w:name="cqq1qfwnm1ua" w:id="20"/>
    <w:bookmarkEnd w:id="20"/>
    <w:p w:rsidR="00000000" w:rsidDel="00000000" w:rsidP="00000000" w:rsidRDefault="00000000" w:rsidRPr="00000000" w14:paraId="00000085">
      <w:pPr>
        <w:pStyle w:val="Heading2"/>
        <w:rPr/>
      </w:pPr>
      <w:r>
        <w:rPr>
          <w:rtl w:val="0"/>
        </w:rPr>
        <w:t xml:space="preserve">5.2. Charakterystyka grupy badawczej</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 94,9% zawodników reprezentowało IV ligę i klasy niższe, a 5,1% (n = 4) grało na poziomie profesjonalnym (Ekstraklasa – III liga). Najliczniej reprezentowaną formacją byli pomocnicy (39,7%) i obrońcy (37,2%), a następnie napastnicy (17,9%) i bramkarze (5,1%). Dominującą kończyną dolną była kończyna prawa (71,8%), lewą kończynę dominującą zadeklarowało 19,2% badanych, a obunożność – 9,0%.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6.1–6.2) właśnie tej podpróbie.</w:t>
      </w:r>
    </w:p>
    <w:bookmarkStart w:colFirst="0" w:colLast="0" w:name="hc1yq8p27ci5" w:id="21"/>
    <w:bookmarkEnd w:id="21"/>
    <w:p w:rsidR="00000000" w:rsidDel="00000000" w:rsidP="00000000" w:rsidRDefault="00000000" w:rsidRPr="00000000" w14:paraId="00000089">
      <w:pPr>
        <w:pStyle w:val="Heading2"/>
        <w:rPr/>
      </w:pPr>
      <w:r>
        <w:rPr>
          <w:rtl w:val="0"/>
        </w:rPr>
        <w:t xml:space="preserve">5.3. Narzędzia i metody badawcze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 Dokładny Test Fishera jako metodę weryfikacji uzupełniającej.</w:t>
      </w:r>
    </w:p>
    <w:bookmarkStart w:colFirst="0" w:colLast="0" w:name="j78mnirjcab3" w:id="22"/>
    <w:bookmarkEnd w:id="22"/>
    <w:p w:rsidR="00000000" w:rsidDel="00000000" w:rsidP="00000000" w:rsidRDefault="00000000" w:rsidRPr="00000000" w14:paraId="0000008C">
      <w:pPr>
        <w:pStyle w:val="Heading1"/>
        <w:rPr/>
      </w:pPr>
      <w:r>
        <w:rPr>
          <w:rtl w:val="0"/>
        </w:rPr>
        <w:t xml:space="preserve">Rozdział VI. Wyniki badań własnych</w:t>
      </w:r>
    </w:p>
    <w:bookmarkStart w:colFirst="0" w:colLast="0" w:name="3uep9hkkwhal" w:id="23"/>
    <w:bookmarkEnd w:id="23"/>
    <w:p w:rsidR="00000000" w:rsidDel="00000000" w:rsidP="00000000" w:rsidRDefault="00000000" w:rsidRPr="00000000" w14:paraId="0000008D">
      <w:pPr>
        <w:pStyle w:val="Heading2"/>
        <w:rPr/>
      </w:pPr>
      <w:r>
        <w:rPr>
          <w:rtl w:val="0"/>
        </w:rPr>
        <w:t xml:space="preserve">6.1. Analiza częstości i okoliczności urazów kończyn dolnych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8F">
      <w:pPr>
        <w:spacing w:after="80" w:before="200" w:line="240" w:lineRule="auto"/>
        <w:jc w:val="left"/>
        <w:rPr>
          <w:sz w:val="22"/>
          <w:szCs w:val="22"/>
        </w:rPr>
      </w:pPr>
      <w:r>
        <w:rPr>
          <w:b w:val="1"/>
          <w:bCs w:val="1"/>
          <w:i w:val="1"/>
          <w:iCs w:val="1"/>
          <w:sz w:val="20"/>
          <w:szCs w:val="20"/>
          <w:rtl w:val="0"/>
        </w:rPr>
        <w:t xml:space="preserve">Tabela 2. Poziom rozgrywkowy — liczebność i odsetek</w:t>
      </w:r>
      <w:r>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Pr>
                <w:b w:val="1"/>
                <w:bCs w:val="1"/>
                <w:sz w:val="20"/>
                <w:szCs w:val="20"/>
                <w:rtl w:val="0"/>
              </w:rPr>
              <w:t xml:space="preserve">Kategoria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left"/>
              <w:rPr>
                <w:sz w:val="22"/>
                <w:szCs w:val="22"/>
              </w:rPr>
            </w:pPr>
            <w:r>
              <w:rPr>
                <w:sz w:val="20"/>
                <w:szCs w:val="20"/>
                <w:rtl w:val="0"/>
              </w:rPr>
              <w:t xml:space="preserve">Półprofesjonalny / Amatorski (IV liga i niższe)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center"/>
              <w:rPr>
                <w:sz w:val="22"/>
                <w:szCs w:val="22"/>
              </w:rPr>
            </w:pPr>
            <w:r>
              <w:rPr>
                <w:sz w:val="20"/>
                <w:szCs w:val="20"/>
                <w:rtl w:val="0"/>
              </w:rPr>
              <w:t xml:space="preserve">74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sz w:val="22"/>
                <w:szCs w:val="22"/>
              </w:rPr>
            </w:pPr>
            <w:r>
              <w:rPr>
                <w:sz w:val="20"/>
                <w:szCs w:val="20"/>
                <w:rtl w:val="0"/>
              </w:rPr>
              <w:t xml:space="preserve">94,9%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left"/>
              <w:rPr>
                <w:sz w:val="22"/>
                <w:szCs w:val="22"/>
              </w:rPr>
            </w:pPr>
            <w:r>
              <w:rPr>
                <w:sz w:val="20"/>
                <w:szCs w:val="20"/>
                <w:rtl w:val="0"/>
              </w:rPr>
              <w:t xml:space="preserve">Profesjonalny (Ekstraklasa – III liga)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sz w:val="22"/>
                <w:szCs w:val="22"/>
              </w:rPr>
            </w:pPr>
            <w:r>
              <w:rPr>
                <w:sz w:val="20"/>
                <w:szCs w:val="20"/>
                <w:rtl w:val="0"/>
              </w:rPr>
              <w:t xml:space="preserve">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center"/>
              <w:rPr>
                <w:sz w:val="22"/>
                <w:szCs w:val="22"/>
              </w:rPr>
            </w:pPr>
            <w:r>
              <w:rPr>
                <w:sz w:val="20"/>
                <w:szCs w:val="20"/>
                <w:rtl w:val="0"/>
              </w:rPr>
              <w:t xml:space="preserve">78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9C">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 czworogłowy, grupa kulszowo-goleniowa i przywodziciele łącznie (21,4%). Pytanie o obszar urazu dopuszczało wielokrotny wybór, stąd suma odsetek przekracza 100%.</w:t>
      </w:r>
    </w:p>
    <w:p w:rsidR="00000000" w:rsidDel="00000000" w:rsidP="00000000" w:rsidRDefault="00000000" w:rsidRPr="00000000" w14:paraId="0000009E">
      <w:pPr>
        <w:spacing w:after="80" w:before="200" w:line="240" w:lineRule="auto"/>
        <w:jc w:val="left"/>
        <w:rPr>
          <w:sz w:val="22"/>
          <w:szCs w:val="22"/>
        </w:rPr>
      </w:pPr>
      <w:r>
        <w:rPr>
          <w:b w:val="1"/>
          <w:bCs w:val="1"/>
          <w:i w:val="1"/>
          <w:iCs w:val="1"/>
          <w:sz w:val="20"/>
          <w:szCs w:val="20"/>
          <w:rtl w:val="0"/>
        </w:rPr>
        <w:t xml:space="preserve">Tabela 8. Obszar anatomiczny najpoważniejszego urazu (pytanie wielokrotnego wyboru, n = 56)</w:t>
      </w:r>
      <w:r>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Pr>
                <w:b w:val="1"/>
                <w:bCs w:val="1"/>
                <w:sz w:val="20"/>
                <w:szCs w:val="20"/>
                <w:rtl w:val="0"/>
              </w:rPr>
              <w:t xml:space="preserve">Obszar anatomiczny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jc w:val="left"/>
              <w:rPr>
                <w:sz w:val="22"/>
                <w:szCs w:val="22"/>
              </w:rPr>
            </w:pPr>
            <w:r>
              <w:rPr>
                <w:sz w:val="20"/>
                <w:szCs w:val="20"/>
                <w:rtl w:val="0"/>
              </w:rPr>
              <w:t xml:space="preserve">Staw skokowy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left"/>
              <w:rPr>
                <w:sz w:val="22"/>
                <w:szCs w:val="22"/>
              </w:rPr>
            </w:pPr>
            <w:r>
              <w:rPr>
                <w:sz w:val="20"/>
                <w:szCs w:val="20"/>
                <w:rtl w:val="0"/>
              </w:rPr>
              <w:t xml:space="preserve">Staw kolanowy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left"/>
              <w:rPr>
                <w:sz w:val="22"/>
                <w:szCs w:val="22"/>
              </w:rPr>
            </w:pPr>
            <w:r>
              <w:rPr>
                <w:sz w:val="20"/>
                <w:szCs w:val="20"/>
                <w:rtl w:val="0"/>
              </w:rPr>
              <w:t xml:space="preserve">Mięśnie uda (czworogłowy / kulszowo-goleniowe / przywodziciele)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left"/>
              <w:rPr>
                <w:sz w:val="22"/>
                <w:szCs w:val="22"/>
              </w:rPr>
            </w:pPr>
            <w:r>
              <w:rPr>
                <w:sz w:val="20"/>
                <w:szCs w:val="20"/>
                <w:rtl w:val="0"/>
              </w:rPr>
              <w:t xml:space="preserve">Staw biodrowy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left"/>
              <w:rPr>
                <w:sz w:val="22"/>
                <w:szCs w:val="22"/>
              </w:rPr>
            </w:pPr>
            <w:r>
              <w:rPr>
                <w:sz w:val="20"/>
                <w:szCs w:val="20"/>
                <w:rtl w:val="0"/>
              </w:rPr>
              <w:t xml:space="preserve">Stopa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left"/>
              <w:rPr>
                <w:sz w:val="22"/>
                <w:szCs w:val="22"/>
              </w:rPr>
            </w:pPr>
            <w:r>
              <w:rPr>
                <w:sz w:val="20"/>
                <w:szCs w:val="20"/>
                <w:rtl w:val="0"/>
              </w:rPr>
              <w:t xml:space="preserve">Podudzie / łydka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center"/>
              <w:rPr>
                <w:sz w:val="22"/>
                <w:szCs w:val="22"/>
              </w:rPr>
            </w:pPr>
            <w:r>
              <w:rPr>
                <w:sz w:val="20"/>
                <w:szCs w:val="20"/>
                <w:rtl w:val="0"/>
              </w:rPr>
              <w:t xml:space="preserve">3,6%</w:t>
            </w:r>
            <w:r>
              <w:rPr>
                <w:rtl w:val="0"/>
              </w:rPr>
            </w:r>
          </w:p>
        </w:tc>
      </w:tr>
    </w:tbl>
    <w:p w:rsidR="00000000" w:rsidDel="00000000" w:rsidP="00000000" w:rsidRDefault="00000000" w:rsidRPr="00000000" w14:paraId="000000B4">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B6">
      <w:pPr>
        <w:spacing w:after="80" w:before="200" w:line="240" w:lineRule="auto"/>
        <w:jc w:val="left"/>
        <w:rPr>
          <w:sz w:val="22"/>
          <w:szCs w:val="22"/>
        </w:rPr>
      </w:pPr>
      <w:r>
        <w:rPr>
          <w:b w:val="1"/>
          <w:bCs w:val="1"/>
          <w:i w:val="1"/>
          <w:iCs w:val="1"/>
          <w:sz w:val="20"/>
          <w:szCs w:val="20"/>
          <w:rtl w:val="0"/>
        </w:rPr>
        <w:t xml:space="preserve">Tabela 9. Rodzaj najpoważniejszego urazu (n = 56)</w:t>
      </w:r>
      <w:r>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Pr>
                <w:b w:val="1"/>
                <w:bCs w:val="1"/>
                <w:sz w:val="20"/>
                <w:szCs w:val="20"/>
                <w:rtl w:val="0"/>
              </w:rPr>
              <w:t xml:space="preserve">Rodzaj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left"/>
              <w:rPr>
                <w:sz w:val="22"/>
                <w:szCs w:val="22"/>
              </w:rPr>
            </w:pPr>
            <w:r>
              <w:rPr>
                <w:sz w:val="20"/>
                <w:szCs w:val="20"/>
                <w:rtl w:val="0"/>
              </w:rPr>
              <w:t xml:space="preserve">Skręcenie (np. stawu skokowego/kolanowego)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left"/>
              <w:rPr>
                <w:sz w:val="22"/>
                <w:szCs w:val="22"/>
              </w:rPr>
            </w:pPr>
            <w:r>
              <w:rPr>
                <w:sz w:val="20"/>
                <w:szCs w:val="20"/>
                <w:rtl w:val="0"/>
              </w:rPr>
              <w:t xml:space="preserve">Naderwanie/zerwanie więzadeł (np. ACL, PCL, ATFL)</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sz w:val="22"/>
                <w:szCs w:val="22"/>
              </w:rPr>
            </w:pPr>
            <w:r>
              <w:rPr>
                <w:sz w:val="20"/>
                <w:szCs w:val="20"/>
                <w:rtl w:val="0"/>
              </w:rPr>
              <w:t xml:space="preserve">28,6%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left"/>
              <w:rPr>
                <w:sz w:val="22"/>
                <w:szCs w:val="22"/>
              </w:rPr>
            </w:pPr>
            <w:r>
              <w:rPr>
                <w:sz w:val="20"/>
                <w:szCs w:val="20"/>
                <w:rtl w:val="0"/>
              </w:rPr>
              <w:t xml:space="preserve">Naderwanie/zerwanie mięśnia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sz w:val="22"/>
                <w:szCs w:val="22"/>
              </w:rPr>
            </w:pPr>
            <w:r>
              <w:rPr>
                <w:sz w:val="20"/>
                <w:szCs w:val="20"/>
                <w:rtl w:val="0"/>
              </w:rPr>
              <w:t xml:space="preserve">25,0%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left"/>
              <w:rPr>
                <w:sz w:val="22"/>
                <w:szCs w:val="22"/>
              </w:rPr>
            </w:pPr>
            <w:r>
              <w:rPr>
                <w:sz w:val="20"/>
                <w:szCs w:val="20"/>
                <w:rtl w:val="0"/>
              </w:rPr>
              <w:t xml:space="preserve">Stłuczenie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sz w:val="22"/>
                <w:szCs w:val="22"/>
              </w:rPr>
            </w:pPr>
            <w:r>
              <w:rPr>
                <w:sz w:val="20"/>
                <w:szCs w:val="20"/>
                <w:rtl w:val="0"/>
              </w:rPr>
              <w:t xml:space="preserve">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left"/>
              <w:rPr>
                <w:sz w:val="22"/>
                <w:szCs w:val="22"/>
              </w:rPr>
            </w:pPr>
            <w:r>
              <w:rPr>
                <w:sz w:val="20"/>
                <w:szCs w:val="20"/>
                <w:rtl w:val="0"/>
              </w:rPr>
              <w:t xml:space="preserve">Złamanie/pęknięcie kości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center"/>
              <w:rPr>
                <w:sz w:val="22"/>
                <w:szCs w:val="22"/>
              </w:rPr>
            </w:pPr>
            <w:r>
              <w:rPr>
                <w:sz w:val="20"/>
                <w:szCs w:val="20"/>
                <w:rtl w:val="0"/>
              </w:rPr>
              <w:t xml:space="preserve">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CC">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CE">
      <w:pPr>
        <w:spacing w:after="80" w:before="200" w:line="240" w:lineRule="auto"/>
        <w:jc w:val="left"/>
        <w:rPr>
          <w:sz w:val="22"/>
          <w:szCs w:val="22"/>
        </w:rPr>
      </w:pPr>
      <w:r>
        <w:rPr>
          <w:b w:val="1"/>
          <w:bCs w:val="1"/>
          <w:i w:val="1"/>
          <w:iCs w:val="1"/>
          <w:sz w:val="20"/>
          <w:szCs w:val="20"/>
          <w:rtl w:val="0"/>
        </w:rPr>
        <w:t xml:space="preserve">Tabela 10. Okoliczności powstania urazu (n = 56)</w:t>
      </w:r>
      <w:r>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center"/>
              <w:rPr>
                <w:sz w:val="22"/>
                <w:szCs w:val="22"/>
              </w:rPr>
            </w:pPr>
            <w:r>
              <w:rPr>
                <w:b w:val="1"/>
                <w:bCs w:val="1"/>
                <w:sz w:val="20"/>
                <w:szCs w:val="20"/>
                <w:rtl w:val="0"/>
              </w:rPr>
              <w:t xml:space="preserve">Okoliczności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left"/>
              <w:rPr>
                <w:sz w:val="22"/>
                <w:szCs w:val="22"/>
              </w:rPr>
            </w:pPr>
            <w:r>
              <w:rPr>
                <w:sz w:val="20"/>
                <w:szCs w:val="20"/>
                <w:rtl w:val="0"/>
              </w:rPr>
              <w:t xml:space="preserve">Mecz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Pr>
                <w:sz w:val="20"/>
                <w:szCs w:val="20"/>
                <w:rtl w:val="0"/>
              </w:rPr>
              <w:t xml:space="preserve">35,7%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left"/>
              <w:rPr>
                <w:sz w:val="22"/>
                <w:szCs w:val="22"/>
              </w:rPr>
            </w:pPr>
            <w:r>
              <w:rPr>
                <w:sz w:val="20"/>
                <w:szCs w:val="20"/>
                <w:rtl w:val="0"/>
              </w:rPr>
              <w:t xml:space="preserve">Mecz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left"/>
              <w:rPr>
                <w:sz w:val="22"/>
                <w:szCs w:val="22"/>
              </w:rPr>
            </w:pPr>
            <w:r>
              <w:rPr>
                <w:sz w:val="20"/>
                <w:szCs w:val="20"/>
                <w:rtl w:val="0"/>
              </w:rPr>
              <w:t xml:space="preserve">Trening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Pr>
                <w:sz w:val="20"/>
                <w:szCs w:val="20"/>
                <w:rtl w:val="0"/>
              </w:rPr>
              <w:t xml:space="preserve">23,2%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left"/>
              <w:rPr>
                <w:sz w:val="22"/>
                <w:szCs w:val="22"/>
              </w:rPr>
            </w:pPr>
            <w:r>
              <w:rPr>
                <w:sz w:val="20"/>
                <w:szCs w:val="20"/>
                <w:rtl w:val="0"/>
              </w:rPr>
              <w:t xml:space="preserve">Trening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E1">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bookmarkStart w:colFirst="0" w:colLast="0" w:name="q5f13c8f251r" w:id="24"/>
    <w:bookmarkEnd w:id="24"/>
    <w:p w:rsidR="00000000" w:rsidDel="00000000" w:rsidP="00000000" w:rsidRDefault="00000000" w:rsidRPr="00000000" w14:paraId="000000E3">
      <w:pPr>
        <w:pStyle w:val="Heading2"/>
        <w:rPr/>
      </w:pPr>
      <w:r>
        <w:rPr>
          <w:rtl w:val="0"/>
        </w:rPr>
        <w:t xml:space="preserve">6.2. Proces rehabilitacji i Return to Play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E5">
      <w:pPr>
        <w:spacing w:after="80" w:before="200" w:line="240" w:lineRule="auto"/>
        <w:jc w:val="left"/>
        <w:rPr>
          <w:sz w:val="22"/>
          <w:szCs w:val="22"/>
        </w:rPr>
      </w:pPr>
      <w:r>
        <w:rPr>
          <w:b w:val="1"/>
          <w:bCs w:val="1"/>
          <w:i w:val="1"/>
          <w:iCs w:val="1"/>
          <w:sz w:val="20"/>
          <w:szCs w:val="20"/>
          <w:rtl w:val="0"/>
        </w:rPr>
        <w:t xml:space="preserve">Tabela 11. Osoba/osoby prowadzące proces usprawniania (pytanie wielokrotnego wyboru, n = 56)</w:t>
      </w:r>
      <w:r>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center"/>
              <w:rPr>
                <w:sz w:val="22"/>
                <w:szCs w:val="22"/>
              </w:rPr>
            </w:pPr>
            <w:r>
              <w:rPr>
                <w:b w:val="1"/>
                <w:bCs w:val="1"/>
                <w:sz w:val="20"/>
                <w:szCs w:val="20"/>
                <w:rtl w:val="0"/>
              </w:rPr>
              <w:t xml:space="preserve">Podmiot prowadzący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Pr>
                <w:sz w:val="20"/>
                <w:szCs w:val="20"/>
                <w:rtl w:val="0"/>
              </w:rPr>
              <w:t xml:space="preserve">66,1%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left"/>
              <w:rPr>
                <w:sz w:val="22"/>
                <w:szCs w:val="22"/>
              </w:rPr>
            </w:pPr>
            <w:r>
              <w:rPr>
                <w:sz w:val="20"/>
                <w:szCs w:val="20"/>
                <w:rtl w:val="0"/>
              </w:rPr>
              <w:t xml:space="preserve">Lekarz ortopeda (tylko diagnoza i kontrola)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left"/>
              <w:rPr>
                <w:sz w:val="22"/>
                <w:szCs w:val="22"/>
              </w:rPr>
            </w:pPr>
            <w:r>
              <w:rPr>
                <w:sz w:val="20"/>
                <w:szCs w:val="20"/>
                <w:rtl w:val="0"/>
              </w:rPr>
              <w:t xml:space="preserve">Samodzielna rehabilitacja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left"/>
              <w:rPr>
                <w:sz w:val="22"/>
                <w:szCs w:val="22"/>
              </w:rPr>
            </w:pPr>
            <w:r>
              <w:rPr>
                <w:sz w:val="20"/>
                <w:szCs w:val="20"/>
                <w:rtl w:val="0"/>
              </w:rPr>
              <w:t xml:space="preserve">Trener personalny / przygotowania motorycznego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left"/>
              <w:rPr>
                <w:sz w:val="22"/>
                <w:szCs w:val="22"/>
              </w:rPr>
            </w:pPr>
            <w:r>
              <w:rPr>
                <w:sz w:val="20"/>
                <w:szCs w:val="20"/>
                <w:rtl w:val="0"/>
              </w:rPr>
              <w:t xml:space="preserve">Brak rehabilitacji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0F8">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F9">
      <w:pPr>
        <w:spacing w:after="80" w:before="200" w:line="240" w:lineRule="auto"/>
        <w:jc w:val="left"/>
        <w:rPr>
          <w:sz w:val="22"/>
          <w:szCs w:val="22"/>
        </w:rPr>
      </w:pPr>
      <w:r>
        <w:rPr>
          <w:b w:val="1"/>
          <w:bCs w:val="1"/>
          <w:i w:val="1"/>
          <w:iCs w:val="1"/>
          <w:sz w:val="20"/>
          <w:szCs w:val="20"/>
          <w:rtl w:val="0"/>
        </w:rPr>
        <w:t xml:space="preserve">Tabela 12. Zastosowane metody fizjoterapeutyczne (pytanie wielokrotnego wyboru, n = 55)</w:t>
      </w:r>
      <w:r>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center"/>
              <w:rPr>
                <w:sz w:val="22"/>
                <w:szCs w:val="22"/>
              </w:rPr>
            </w:pPr>
            <w:r>
              <w:rPr>
                <w:b w:val="1"/>
                <w:bCs w:val="1"/>
                <w:sz w:val="20"/>
                <w:szCs w:val="20"/>
                <w:rtl w:val="0"/>
              </w:rPr>
              <w:t xml:space="preserve">Metoda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left"/>
              <w:rPr>
                <w:sz w:val="22"/>
                <w:szCs w:val="22"/>
              </w:rPr>
            </w:pPr>
            <w:r>
              <w:rPr>
                <w:sz w:val="20"/>
                <w:szCs w:val="20"/>
                <w:rtl w:val="0"/>
              </w:rPr>
              <w:t xml:space="preserve">Trening medyczny / ćwiczenia siłowe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Pr>
                <w:sz w:val="20"/>
                <w:szCs w:val="20"/>
                <w:rtl w:val="0"/>
              </w:rPr>
              <w:t xml:space="preserve">67,3%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left"/>
              <w:rPr>
                <w:sz w:val="22"/>
                <w:szCs w:val="22"/>
              </w:rPr>
            </w:pPr>
            <w:r>
              <w:rPr>
                <w:sz w:val="20"/>
                <w:szCs w:val="20"/>
                <w:rtl w:val="0"/>
              </w:rPr>
              <w:t xml:space="preserve">Terapia manualna (masaż, mobilizacje)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Pr>
                <w:sz w:val="20"/>
                <w:szCs w:val="20"/>
                <w:rtl w:val="0"/>
              </w:rPr>
              <w:t xml:space="preserve">54,5%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left"/>
              <w:rPr>
                <w:sz w:val="22"/>
                <w:szCs w:val="22"/>
              </w:rPr>
            </w:pPr>
            <w:r>
              <w:rPr>
                <w:sz w:val="20"/>
                <w:szCs w:val="20"/>
                <w:rtl w:val="0"/>
              </w:rPr>
              <w:t xml:space="preserve">Fizykoterapia (laser, fala uderzeniowa, pole magnetyczne, hydroterapia)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Pr>
                <w:sz w:val="20"/>
                <w:szCs w:val="20"/>
                <w:rtl w:val="0"/>
              </w:rPr>
              <w:t xml:space="preserve">27,3%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left"/>
              <w:rPr>
                <w:sz w:val="22"/>
                <w:szCs w:val="22"/>
              </w:rPr>
            </w:pPr>
            <w:r>
              <w:rPr>
                <w:sz w:val="20"/>
                <w:szCs w:val="20"/>
                <w:rtl w:val="0"/>
              </w:rPr>
              <w:t xml:space="preserve">Kinesiotaping (plastrowanie)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Pr>
                <w:sz w:val="20"/>
                <w:szCs w:val="20"/>
                <w:rtl w:val="0"/>
              </w:rPr>
              <w:t xml:space="preserve">20,0%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left"/>
              <w:rPr>
                <w:sz w:val="22"/>
                <w:szCs w:val="22"/>
              </w:rPr>
            </w:pPr>
            <w:r>
              <w:rPr>
                <w:sz w:val="20"/>
                <w:szCs w:val="20"/>
                <w:rtl w:val="0"/>
              </w:rPr>
              <w:t xml:space="preserve">Inne (odpoczynek, farmakoterapia miejscowa)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10C">
      <w:pPr>
        <w:spacing w:after="200" w:line="240" w:lineRule="auto"/>
        <w:jc w:val="left"/>
        <w:rPr/>
      </w:pPr>
      <w:r>
        <w:rPr>
          <w:i w:val="1"/>
          <w:iCs w:val="1"/>
          <w:sz w:val="18"/>
          <w:szCs w:val="18"/>
          <w:rtl w:val="0"/>
        </w:rPr>
        <w:t xml:space="preserve">Źródło: opracowanie własne. n = 55 (jeden respondent nie udzielił odpowiedzi). Odsetki nie sumują się do 100%.</w:t>
      </w:r>
      <w:r>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10E">
      <w:pPr>
        <w:spacing w:after="80" w:before="200" w:line="240" w:lineRule="auto"/>
        <w:jc w:val="left"/>
        <w:rPr>
          <w:sz w:val="22"/>
          <w:szCs w:val="22"/>
        </w:rPr>
      </w:pPr>
      <w:r>
        <w:rPr>
          <w:b w:val="1"/>
          <w:bCs w:val="1"/>
          <w:i w:val="1"/>
          <w:iCs w:val="1"/>
          <w:sz w:val="20"/>
          <w:szCs w:val="20"/>
          <w:rtl w:val="0"/>
        </w:rPr>
        <w:t xml:space="preserve">Tabela 13a. Rozkład ocen subiektywnej sprawności kończyny po zakończeniu usprawniania (skala 1–5, n = 56)</w:t>
      </w:r>
      <w:r>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center"/>
              <w:rPr>
                <w:sz w:val="22"/>
                <w:szCs w:val="22"/>
              </w:rPr>
            </w:pPr>
            <w:r>
              <w:rPr>
                <w:b w:val="1"/>
                <w:bCs w:val="1"/>
                <w:sz w:val="20"/>
                <w:szCs w:val="20"/>
                <w:rtl w:val="0"/>
              </w:rPr>
              <w:t xml:space="preserve">Ocena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left"/>
              <w:rPr>
                <w:sz w:val="22"/>
                <w:szCs w:val="22"/>
              </w:rPr>
            </w:pPr>
            <w:r>
              <w:rPr>
                <w:sz w:val="20"/>
                <w:szCs w:val="20"/>
                <w:rtl w:val="0"/>
              </w:rPr>
              <w:t xml:space="preserve">5 — Pełny powrót do sprawności sprzed urazu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left"/>
              <w:rPr>
                <w:sz w:val="22"/>
                <w:szCs w:val="22"/>
              </w:rPr>
            </w:pPr>
            <w:r>
              <w:rPr>
                <w:sz w:val="20"/>
                <w:szCs w:val="20"/>
                <w:rtl w:val="0"/>
              </w:rPr>
              <w:t xml:space="preserve">4 — Powrót do sprawności niemal całkowitej</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left"/>
              <w:rPr>
                <w:sz w:val="22"/>
                <w:szCs w:val="22"/>
              </w:rPr>
            </w:pPr>
            <w:r>
              <w:rPr>
                <w:sz w:val="20"/>
                <w:szCs w:val="20"/>
                <w:rtl w:val="0"/>
              </w:rPr>
              <w:t xml:space="preserve">3 — Poprawa znacząca, z ograniczeniami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center"/>
              <w:rPr>
                <w:sz w:val="22"/>
                <w:szCs w:val="22"/>
              </w:rPr>
            </w:pPr>
            <w:r>
              <w:rPr>
                <w:sz w:val="20"/>
                <w:szCs w:val="20"/>
                <w:rtl w:val="0"/>
              </w:rPr>
              <w:t xml:space="preserve">16,1%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left"/>
              <w:rPr>
                <w:sz w:val="22"/>
                <w:szCs w:val="22"/>
              </w:rPr>
            </w:pPr>
            <w:r>
              <w:rPr>
                <w:sz w:val="20"/>
                <w:szCs w:val="20"/>
                <w:rtl w:val="0"/>
              </w:rPr>
              <w:t xml:space="preserve">2 — Poprawa niewielka, odczuwalny dyskomfort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left"/>
              <w:rPr>
                <w:sz w:val="22"/>
                <w:szCs w:val="22"/>
              </w:rPr>
            </w:pPr>
            <w:r>
              <w:rPr>
                <w:sz w:val="20"/>
                <w:szCs w:val="20"/>
                <w:rtl w:val="0"/>
              </w:rPr>
              <w:t xml:space="preserve">1 — Brak poprawy / minimalna poprawa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24">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25">
      <w:pPr>
        <w:spacing w:after="80" w:before="200" w:line="240" w:lineRule="auto"/>
        <w:jc w:val="left"/>
        <w:rPr>
          <w:sz w:val="22"/>
          <w:szCs w:val="22"/>
        </w:rPr>
      </w:pPr>
      <w:r>
        <w:rPr>
          <w:b w:val="1"/>
          <w:bCs w:val="1"/>
          <w:i w:val="1"/>
          <w:iCs w:val="1"/>
          <w:sz w:val="20"/>
          <w:szCs w:val="20"/>
          <w:rtl w:val="0"/>
        </w:rPr>
        <w:t xml:space="preserve">Tabela 13b. Statystyki opisowe skali subiektywnej oceny sprawności (1–5)</w:t>
      </w:r>
      <w:r>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Pr>
                <w:b w:val="1"/>
                <w:bCs w:val="1"/>
                <w:sz w:val="20"/>
                <w:szCs w:val="20"/>
                <w:rtl w:val="0"/>
              </w:rPr>
              <w:t xml:space="preserve">Zmienna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center"/>
              <w:rPr>
                <w:sz w:val="22"/>
                <w:szCs w:val="22"/>
              </w:rPr>
            </w:pPr>
            <w:r>
              <w:rPr>
                <w:b w:val="1"/>
                <w:bCs w:val="1"/>
                <w:sz w:val="20"/>
                <w:szCs w:val="20"/>
                <w:rtl w:val="0"/>
              </w:rPr>
              <w:t xml:space="preserve">M ± SD</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Pr>
                <w:b w:val="1"/>
                <w:bCs w:val="1"/>
                <w:sz w:val="20"/>
                <w:szCs w:val="20"/>
                <w:rtl w:val="0"/>
              </w:rPr>
              <w:t xml:space="preserve">Me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Pr>
                <w:b w:val="1"/>
                <w:bCs w:val="1"/>
                <w:sz w:val="20"/>
                <w:szCs w:val="20"/>
                <w:rtl w:val="0"/>
              </w:rPr>
              <w:t xml:space="preserve">Q25–Q75</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center"/>
              <w:rPr>
                <w:sz w:val="22"/>
                <w:szCs w:val="22"/>
              </w:rPr>
            </w:pPr>
            <w:r>
              <w:rPr>
                <w:b w:val="1"/>
                <w:bCs w:val="1"/>
                <w:sz w:val="20"/>
                <w:szCs w:val="20"/>
                <w:rtl w:val="0"/>
              </w:rPr>
              <w:t xml:space="preserve">Min–Max</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center"/>
              <w:rPr>
                <w:sz w:val="22"/>
                <w:szCs w:val="22"/>
              </w:rPr>
            </w:pPr>
            <w:r>
              <w:rPr>
                <w:b w:val="1"/>
                <w:bCs w:val="1"/>
                <w:sz w:val="20"/>
                <w:szCs w:val="20"/>
                <w:rtl w:val="0"/>
              </w:rPr>
              <w:t xml:space="preserve">Shapiro-Wilk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left"/>
              <w:rPr>
                <w:sz w:val="22"/>
                <w:szCs w:val="22"/>
              </w:rPr>
            </w:pPr>
            <w:r>
              <w:rPr>
                <w:sz w:val="20"/>
                <w:szCs w:val="20"/>
                <w:rtl w:val="0"/>
              </w:rPr>
              <w:t xml:space="preserve">Ocena sprawności (1–5)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Pr>
                <w:sz w:val="20"/>
                <w:szCs w:val="20"/>
                <w:rtl w:val="0"/>
              </w:rPr>
              <w:t xml:space="preserve">4,21 ± 0,91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Pr>
                <w:sz w:val="20"/>
                <w:szCs w:val="20"/>
                <w:rtl w:val="0"/>
              </w:rPr>
              <w:t xml:space="preserve">4,0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center"/>
              <w:rPr>
                <w:sz w:val="22"/>
                <w:szCs w:val="22"/>
              </w:rPr>
            </w:pPr>
            <w:r>
              <w:rPr>
                <w:sz w:val="20"/>
                <w:szCs w:val="20"/>
                <w:rtl w:val="0"/>
              </w:rPr>
              <w:t xml:space="preserve">4,0–5,0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sz w:val="22"/>
                <w:szCs w:val="22"/>
              </w:rPr>
            </w:pPr>
            <w:r>
              <w:rPr>
                <w:sz w:val="20"/>
                <w:szCs w:val="20"/>
                <w:rtl w:val="0"/>
              </w:rPr>
              <w:t xml:space="preserve">W=0,787; p=&lt; 0,001</w:t>
            </w:r>
            <w:r>
              <w:rPr>
                <w:rtl w:val="0"/>
              </w:rPr>
            </w:r>
          </w:p>
        </w:tc>
      </w:tr>
    </w:tbl>
    <w:p w:rsidR="00000000" w:rsidDel="00000000" w:rsidP="00000000" w:rsidRDefault="00000000" w:rsidRPr="00000000" w14:paraId="00000134">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 a nie personel medyczny –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36">
      <w:pPr>
        <w:spacing w:after="80" w:before="200" w:line="240" w:lineRule="auto"/>
        <w:jc w:val="left"/>
        <w:rPr>
          <w:sz w:val="22"/>
          <w:szCs w:val="22"/>
        </w:rPr>
      </w:pPr>
      <w:r>
        <w:rPr>
          <w:b w:val="1"/>
          <w:bCs w:val="1"/>
          <w:i w:val="1"/>
          <w:iCs w:val="1"/>
          <w:sz w:val="20"/>
          <w:szCs w:val="20"/>
          <w:rtl w:val="0"/>
        </w:rPr>
        <w:t xml:space="preserve">Tabela 14. Czas powrotu do pełnego treningu z drużyną (RTP) (n = 56)</w:t>
      </w:r>
      <w:r>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jc w:val="center"/>
              <w:rPr>
                <w:sz w:val="22"/>
                <w:szCs w:val="22"/>
              </w:rPr>
            </w:pPr>
            <w:r>
              <w:rPr>
                <w:b w:val="1"/>
                <w:bCs w:val="1"/>
                <w:sz w:val="20"/>
                <w:szCs w:val="20"/>
                <w:rtl w:val="0"/>
              </w:rPr>
              <w:t xml:space="preserve">Czas RTP</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left"/>
              <w:rPr>
                <w:sz w:val="22"/>
                <w:szCs w:val="22"/>
              </w:rPr>
            </w:pPr>
            <w:r>
              <w:rPr>
                <w:sz w:val="20"/>
                <w:szCs w:val="20"/>
                <w:rtl w:val="0"/>
              </w:rPr>
              <w:t xml:space="preserve">2–4 tygodnie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center"/>
              <w:rPr>
                <w:sz w:val="22"/>
                <w:szCs w:val="22"/>
              </w:rPr>
            </w:pPr>
            <w:r>
              <w:rPr>
                <w:sz w:val="20"/>
                <w:szCs w:val="20"/>
                <w:rtl w:val="0"/>
              </w:rPr>
              <w:t xml:space="preserve">32,1%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left"/>
              <w:rPr>
                <w:sz w:val="22"/>
                <w:szCs w:val="22"/>
              </w:rPr>
            </w:pPr>
            <w:r>
              <w:rPr>
                <w:sz w:val="20"/>
                <w:szCs w:val="20"/>
                <w:rtl w:val="0"/>
              </w:rPr>
              <w:t xml:space="preserve">1–3 miesiące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left"/>
              <w:rPr>
                <w:sz w:val="22"/>
                <w:szCs w:val="22"/>
              </w:rPr>
            </w:pPr>
            <w:r>
              <w:rPr>
                <w:sz w:val="20"/>
                <w:szCs w:val="20"/>
                <w:rtl w:val="0"/>
              </w:rPr>
              <w:t xml:space="preserve">Powyżej 3 miesięcy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left"/>
              <w:rPr>
                <w:sz w:val="22"/>
                <w:szCs w:val="22"/>
              </w:rPr>
            </w:pPr>
            <w:r>
              <w:rPr>
                <w:sz w:val="20"/>
                <w:szCs w:val="20"/>
                <w:rtl w:val="0"/>
              </w:rPr>
              <w:t xml:space="preserve">Poniżej 2 tygodni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center"/>
              <w:rPr>
                <w:sz w:val="22"/>
                <w:szCs w:val="22"/>
              </w:rPr>
            </w:pPr>
            <w:r>
              <w:rPr>
                <w:sz w:val="20"/>
                <w:szCs w:val="20"/>
                <w:rtl w:val="0"/>
              </w:rPr>
              <w:t xml:space="preserve">19,6%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49">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4A">
      <w:pPr>
        <w:spacing w:after="80" w:before="200" w:line="240" w:lineRule="auto"/>
        <w:jc w:val="left"/>
        <w:rPr>
          <w:sz w:val="22"/>
          <w:szCs w:val="22"/>
        </w:rPr>
      </w:pPr>
      <w:r>
        <w:rPr>
          <w:b w:val="1"/>
          <w:bCs w:val="1"/>
          <w:i w:val="1"/>
          <w:iCs w:val="1"/>
          <w:sz w:val="20"/>
          <w:szCs w:val="20"/>
          <w:rtl w:val="0"/>
        </w:rPr>
        <w:t xml:space="preserve">Tabela 15. Podmiot podejmujący ostateczną decyzję o powrocie do pełnych obciążeń (n = 56)</w:t>
      </w:r>
      <w:r>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Pr>
                <w:b w:val="1"/>
                <w:bCs w:val="1"/>
                <w:sz w:val="20"/>
                <w:szCs w:val="20"/>
                <w:rtl w:val="0"/>
              </w:rPr>
              <w:t xml:space="preserve">Decydent</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left"/>
              <w:rPr>
                <w:sz w:val="22"/>
                <w:szCs w:val="22"/>
              </w:rPr>
            </w:pPr>
            <w:r>
              <w:rPr>
                <w:sz w:val="20"/>
                <w:szCs w:val="20"/>
                <w:rtl w:val="0"/>
              </w:rPr>
              <w:t xml:space="preserve">Samodzielnie (zawodnik)</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Pr>
                <w:sz w:val="20"/>
                <w:szCs w:val="20"/>
                <w:rtl w:val="0"/>
              </w:rPr>
              <w:t xml:space="preserve">33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center"/>
              <w:rPr>
                <w:sz w:val="22"/>
                <w:szCs w:val="22"/>
              </w:rPr>
            </w:pPr>
            <w:r>
              <w:rPr>
                <w:sz w:val="20"/>
                <w:szCs w:val="20"/>
                <w:rtl w:val="0"/>
              </w:rPr>
              <w:t xml:space="preserve">58,9%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left"/>
              <w:rPr>
                <w:sz w:val="22"/>
                <w:szCs w:val="22"/>
              </w:rPr>
            </w:pPr>
            <w:r>
              <w:rPr>
                <w:sz w:val="20"/>
                <w:szCs w:val="20"/>
                <w:rtl w:val="0"/>
              </w:rPr>
              <w:t xml:space="preserve">Lekarz prowadzący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5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5C">
      <w:pPr>
        <w:spacing w:after="80" w:before="200" w:line="240" w:lineRule="auto"/>
        <w:jc w:val="left"/>
        <w:rPr>
          <w:sz w:val="22"/>
          <w:szCs w:val="22"/>
        </w:rPr>
      </w:pPr>
      <w:r>
        <w:rPr>
          <w:b w:val="1"/>
          <w:bCs w:val="1"/>
          <w:i w:val="1"/>
          <w:iCs w:val="1"/>
          <w:sz w:val="20"/>
          <w:szCs w:val="20"/>
          <w:rtl w:val="0"/>
        </w:rPr>
        <w:t xml:space="preserve">Tabela 16. Wykonanie obiektywnych testów funkcjonalnych przed powrotem do gry (pytanie wielokrotnego wyboru, n = 56)</w:t>
      </w:r>
      <w:r>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sz w:val="22"/>
                <w:szCs w:val="22"/>
              </w:rPr>
            </w:pPr>
            <w:r>
              <w:rPr>
                <w:b w:val="1"/>
                <w:bCs w:val="1"/>
                <w:sz w:val="20"/>
                <w:szCs w:val="20"/>
                <w:rtl w:val="0"/>
              </w:rPr>
              <w:t xml:space="preserve">Rodzaj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left"/>
              <w:rPr>
                <w:sz w:val="22"/>
                <w:szCs w:val="22"/>
              </w:rPr>
            </w:pPr>
            <w:r>
              <w:rPr>
                <w:sz w:val="20"/>
                <w:szCs w:val="20"/>
                <w:rtl w:val="0"/>
              </w:rPr>
              <w:t xml:space="preserve">Nie przeszedłem żadnych specjalistycznych testów</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center"/>
              <w:rPr>
                <w:sz w:val="22"/>
                <w:szCs w:val="22"/>
              </w:rPr>
            </w:pPr>
            <w:r>
              <w:rPr>
                <w:sz w:val="20"/>
                <w:szCs w:val="20"/>
                <w:rtl w:val="0"/>
              </w:rPr>
              <w:t xml:space="preserve">76,8%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left"/>
              <w:rPr>
                <w:sz w:val="22"/>
                <w:szCs w:val="22"/>
              </w:rPr>
            </w:pPr>
            <w:r>
              <w:rPr>
                <w:sz w:val="20"/>
                <w:szCs w:val="20"/>
                <w:rtl w:val="0"/>
              </w:rPr>
              <w:t xml:space="preserve">Testy siły mięśniowej (dynamometria, testy izokinetyczne)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left"/>
              <w:rPr>
                <w:sz w:val="22"/>
                <w:szCs w:val="22"/>
              </w:rPr>
            </w:pPr>
            <w:r>
              <w:rPr>
                <w:sz w:val="20"/>
                <w:szCs w:val="20"/>
                <w:rtl w:val="0"/>
              </w:rPr>
              <w:t xml:space="preserve">Testy skoków (np. Hop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left"/>
              <w:rPr>
                <w:sz w:val="22"/>
                <w:szCs w:val="22"/>
              </w:rPr>
            </w:pPr>
            <w:r>
              <w:rPr>
                <w:sz w:val="20"/>
                <w:szCs w:val="20"/>
                <w:rtl w:val="0"/>
              </w:rPr>
              <w:t xml:space="preserve">Testy stabilności / równowagi (np. Y-Balance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left"/>
              <w:rPr>
                <w:sz w:val="22"/>
                <w:szCs w:val="22"/>
              </w:rPr>
            </w:pPr>
            <w:r>
              <w:rPr>
                <w:sz w:val="20"/>
                <w:szCs w:val="20"/>
                <w:rtl w:val="0"/>
              </w:rPr>
              <w:t xml:space="preserve">Testy szybkościowe i zwinnościowe na boisku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jc w:val="center"/>
              <w:rPr>
                <w:sz w:val="22"/>
                <w:szCs w:val="22"/>
              </w:rPr>
            </w:pPr>
            <w:r>
              <w:rPr>
                <w:sz w:val="20"/>
                <w:szCs w:val="20"/>
                <w:rtl w:val="0"/>
              </w:rPr>
              <w:t xml:space="preserve">7,1%</w:t>
            </w:r>
            <w:r>
              <w:rPr>
                <w:rtl w:val="0"/>
              </w:rPr>
            </w:r>
          </w:p>
        </w:tc>
      </w:tr>
    </w:tbl>
    <w:p w:rsidR="00000000" w:rsidDel="00000000" w:rsidP="00000000" w:rsidRDefault="00000000" w:rsidRPr="00000000" w14:paraId="0000016F">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70">
      <w:pPr>
        <w:spacing w:after="80" w:before="200" w:line="240" w:lineRule="auto"/>
        <w:jc w:val="left"/>
        <w:rPr>
          <w:sz w:val="22"/>
          <w:szCs w:val="22"/>
        </w:rPr>
      </w:pPr>
      <w:r>
        <w:rPr>
          <w:b w:val="1"/>
          <w:bCs w:val="1"/>
          <w:i w:val="1"/>
          <w:iCs w:val="1"/>
          <w:sz w:val="20"/>
          <w:szCs w:val="20"/>
          <w:rtl w:val="0"/>
        </w:rPr>
        <w:t xml:space="preserve">Tabela 17. Etapowość powrotu do treningu z drużyną (n = 56)</w:t>
      </w:r>
      <w:r>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Pr>
                <w:b w:val="1"/>
                <w:bCs w:val="1"/>
                <w:sz w:val="20"/>
                <w:szCs w:val="20"/>
                <w:rtl w:val="0"/>
              </w:rPr>
              <w:t xml:space="preserve">Etapowość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left"/>
              <w:rPr>
                <w:sz w:val="22"/>
                <w:szCs w:val="22"/>
              </w:rPr>
            </w:pPr>
            <w:r>
              <w:rPr>
                <w:sz w:val="20"/>
                <w:szCs w:val="20"/>
                <w:rtl w:val="0"/>
              </w:rPr>
              <w:t xml:space="preserve">Tak — powrót stopniowy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center"/>
              <w:rPr>
                <w:sz w:val="22"/>
                <w:szCs w:val="22"/>
              </w:rPr>
            </w:pPr>
            <w:r>
              <w:rPr>
                <w:sz w:val="20"/>
                <w:szCs w:val="20"/>
                <w:rtl w:val="0"/>
              </w:rPr>
              <w:t xml:space="preserve">53,6%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left"/>
              <w:rPr>
                <w:sz w:val="22"/>
                <w:szCs w:val="22"/>
              </w:rPr>
            </w:pPr>
            <w:r>
              <w:rPr>
                <w:sz w:val="20"/>
                <w:szCs w:val="20"/>
                <w:rtl w:val="0"/>
              </w:rPr>
              <w:t xml:space="preserve">Nie — od razu trening pełny z drużyną</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7D">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7E">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7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80">
      <w:pPr>
        <w:spacing w:after="80" w:before="200" w:line="240" w:lineRule="auto"/>
        <w:jc w:val="left"/>
        <w:rPr>
          <w:sz w:val="22"/>
          <w:szCs w:val="22"/>
        </w:rPr>
      </w:pPr>
      <w:r>
        <w:rPr>
          <w:b w:val="1"/>
          <w:bCs w:val="1"/>
          <w:i w:val="1"/>
          <w:iCs w:val="1"/>
          <w:sz w:val="20"/>
          <w:szCs w:val="20"/>
          <w:rtl w:val="0"/>
        </w:rPr>
        <w:t xml:space="preserve">Tabela 18. Lęk przed ponownym doznaniem tego samego urazu (kinezjofobia) po powrocie do gry (n = 56)</w:t>
      </w:r>
      <w:r>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center"/>
              <w:rPr>
                <w:sz w:val="22"/>
                <w:szCs w:val="22"/>
              </w:rPr>
            </w:pPr>
            <w:r>
              <w:rPr>
                <w:b w:val="1"/>
                <w:bCs w:val="1"/>
                <w:sz w:val="20"/>
                <w:szCs w:val="20"/>
                <w:rtl w:val="0"/>
              </w:rPr>
              <w:t xml:space="preserve">Poziom lęku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left"/>
              <w:rPr>
                <w:sz w:val="22"/>
                <w:szCs w:val="22"/>
              </w:rPr>
            </w:pPr>
            <w:r>
              <w:rPr>
                <w:sz w:val="20"/>
                <w:szCs w:val="20"/>
                <w:rtl w:val="0"/>
              </w:rPr>
              <w:t xml:space="preserve">Tak, ale tylko w pierwszych meczach/treningach</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Pr>
                <w:sz w:val="20"/>
                <w:szCs w:val="20"/>
                <w:rtl w:val="0"/>
              </w:rPr>
              <w:t xml:space="preserve">27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center"/>
              <w:rPr>
                <w:sz w:val="22"/>
                <w:szCs w:val="22"/>
              </w:rPr>
            </w:pPr>
            <w:r>
              <w:rPr>
                <w:sz w:val="20"/>
                <w:szCs w:val="20"/>
                <w:rtl w:val="0"/>
              </w:rPr>
              <w:t xml:space="preserve">48,2%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left"/>
              <w:rPr>
                <w:sz w:val="22"/>
                <w:szCs w:val="22"/>
              </w:rPr>
            </w:pPr>
            <w:r>
              <w:rPr>
                <w:sz w:val="20"/>
                <w:szCs w:val="20"/>
                <w:rtl w:val="0"/>
              </w:rPr>
              <w:t xml:space="preserve">Nie, pełne poczucie pewności i bezpieczeństwa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left"/>
              <w:rPr>
                <w:sz w:val="22"/>
                <w:szCs w:val="22"/>
              </w:rPr>
            </w:pPr>
            <w:r>
              <w:rPr>
                <w:sz w:val="20"/>
                <w:szCs w:val="20"/>
                <w:rtl w:val="0"/>
              </w:rPr>
              <w:t xml:space="preserve">Tak, lęk był duży i wpływał na grę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F">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90">
      <w:pPr>
        <w:spacing w:after="200" w:line="240" w:lineRule="auto"/>
        <w:jc w:val="left"/>
        <w:rPr>
          <w:sz w:val="22"/>
          <w:szCs w:val="22"/>
        </w:rPr>
      </w:pPr>
      <w:r>
        <w:rPr>
          <w:i w:val="1"/>
          <w:iCs w:val="1"/>
          <w:sz w:val="18"/>
          <w:szCs w:val="18"/>
          <w:rtl w:val="0"/>
        </w:rPr>
        <w:t xml:space="preserve">Źródło: opracowanie własne.</w:t>
      </w:r>
      <w:r>
        <w:rPr>
          <w:rtl w:val="0"/>
        </w:rPr>
      </w:r>
    </w:p>
    <w:bookmarkStart w:colFirst="0" w:colLast="0" w:name="90amcapah4ek" w:id="25"/>
    <w:bookmarkEnd w:id="25"/>
    <w:p w:rsidR="00000000" w:rsidDel="00000000" w:rsidP="00000000" w:rsidRDefault="00000000" w:rsidRPr="00000000" w14:paraId="00000191">
      <w:pPr>
        <w:pStyle w:val="Heading2"/>
        <w:rPr/>
      </w:pPr>
      <w:r>
        <w:rPr>
          <w:rtl w:val="0"/>
        </w:rPr>
        <w:t xml:space="preserve">6.3. Znaczenie profilaktyki</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93">
      <w:pPr>
        <w:spacing w:after="80" w:before="200" w:line="240" w:lineRule="auto"/>
        <w:jc w:val="left"/>
        <w:rPr>
          <w:sz w:val="22"/>
          <w:szCs w:val="22"/>
        </w:rPr>
      </w:pPr>
      <w:r>
        <w:rPr>
          <w:b w:val="1"/>
          <w:bCs w:val="1"/>
          <w:i w:val="1"/>
          <w:iCs w:val="1"/>
          <w:sz w:val="20"/>
          <w:szCs w:val="20"/>
          <w:rtl w:val="0"/>
        </w:rPr>
        <w:t xml:space="preserve">Tabela 19. Obecność zorganizowanej profilaktyki urazów w klubie/zespole (n = 77)</w:t>
      </w:r>
      <w:r>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sz w:val="22"/>
                <w:szCs w:val="22"/>
              </w:rPr>
            </w:pPr>
            <w:r>
              <w:rPr>
                <w:b w:val="1"/>
                <w:bCs w:val="1"/>
                <w:sz w:val="20"/>
                <w:szCs w:val="20"/>
                <w:rtl w:val="0"/>
              </w:rPr>
              <w:t xml:space="preserve">Forma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left"/>
              <w:rPr>
                <w:sz w:val="22"/>
                <w:szCs w:val="22"/>
              </w:rPr>
            </w:pPr>
            <w:r>
              <w:rPr>
                <w:sz w:val="20"/>
                <w:szCs w:val="20"/>
                <w:rtl w:val="0"/>
              </w:rPr>
              <w:t xml:space="preserve">Tylko rozgrzewka ogólnorozwojowa przed treningiem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left"/>
              <w:rPr>
                <w:sz w:val="22"/>
                <w:szCs w:val="22"/>
              </w:rPr>
            </w:pPr>
            <w:r>
              <w:rPr>
                <w:sz w:val="20"/>
                <w:szCs w:val="20"/>
                <w:rtl w:val="0"/>
              </w:rPr>
              <w:t xml:space="preserve">Tak, jako stały element rozgrzewki (np. program FIFA 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Pr>
                <w:sz w:val="20"/>
                <w:szCs w:val="20"/>
                <w:rtl w:val="0"/>
              </w:rPr>
              <w:t xml:space="preserve">23,4%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left"/>
              <w:rPr>
                <w:sz w:val="22"/>
                <w:szCs w:val="22"/>
              </w:rPr>
            </w:pPr>
            <w:r>
              <w:rPr>
                <w:sz w:val="20"/>
                <w:szCs w:val="20"/>
                <w:rtl w:val="0"/>
              </w:rPr>
              <w:t xml:space="preserve">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left"/>
              <w:rPr>
                <w:sz w:val="22"/>
                <w:szCs w:val="22"/>
              </w:rPr>
            </w:pPr>
            <w:r>
              <w:rPr>
                <w:sz w:val="20"/>
                <w:szCs w:val="20"/>
                <w:rtl w:val="0"/>
              </w:rPr>
              <w:t xml:space="preserv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Pr>
                <w:sz w:val="20"/>
                <w:szCs w:val="20"/>
                <w:rtl w:val="0"/>
              </w:rPr>
              <w:t xml:space="preserve">13,0%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left"/>
              <w:rPr>
                <w:sz w:val="22"/>
                <w:szCs w:val="22"/>
              </w:rPr>
            </w:pPr>
            <w:r>
              <w:rPr>
                <w:sz w:val="20"/>
                <w:szCs w:val="20"/>
                <w:rtl w:val="0"/>
              </w:rPr>
              <w:t xml:space="preserve">Tak, jako osobne jednostki treningowe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left"/>
              <w:rPr>
                <w:sz w:val="22"/>
                <w:szCs w:val="22"/>
              </w:rPr>
            </w:pPr>
            <w:r>
              <w:rPr>
                <w:sz w:val="20"/>
                <w:szCs w:val="20"/>
                <w:rtl w:val="0"/>
              </w:rPr>
              <w:t xml:space="preserve">Tylko w okresach przygotowawczych przed sezonem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AC">
      <w:pPr>
        <w:spacing w:after="200" w:line="240" w:lineRule="auto"/>
        <w:jc w:val="left"/>
        <w:rPr/>
      </w:pPr>
      <w:r>
        <w:rPr>
          <w:i w:val="1"/>
          <w:iCs w:val="1"/>
          <w:sz w:val="18"/>
          <w:szCs w:val="18"/>
          <w:rtl w:val="0"/>
        </w:rPr>
        <w:t xml:space="preserve">Źródło: opracowanie własne. Braki danych: n = 1.</w:t>
      </w:r>
      <w:r>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 mimo jednych z najsilniejszych dowodów naukowych na skuteczność w prewencji urazów mięśni kulszowo-goleniowych –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AE">
      <w:pPr>
        <w:spacing w:after="80" w:before="200" w:line="240" w:lineRule="auto"/>
        <w:jc w:val="left"/>
        <w:rPr>
          <w:sz w:val="22"/>
          <w:szCs w:val="22"/>
        </w:rPr>
      </w:pPr>
      <w:r>
        <w:rPr>
          <w:b w:val="1"/>
          <w:bCs w:val="1"/>
          <w:i w:val="1"/>
          <w:iCs w:val="1"/>
          <w:sz w:val="20"/>
          <w:szCs w:val="20"/>
          <w:rtl w:val="0"/>
        </w:rPr>
        <w:t xml:space="preserve">Tabela 20. Elementy profilaktyki aktywnej stosowane samodzielnie (pytanie wielokrotnego wyboru, N = 78)</w:t>
      </w:r>
      <w:r>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center"/>
              <w:rPr>
                <w:sz w:val="22"/>
                <w:szCs w:val="22"/>
              </w:rPr>
            </w:pPr>
            <w:r>
              <w:rPr>
                <w:b w:val="1"/>
                <w:bCs w:val="1"/>
                <w:sz w:val="20"/>
                <w:szCs w:val="20"/>
                <w:rtl w:val="0"/>
              </w:rPr>
              <w:t xml:space="preserve">Element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left"/>
              <w:rPr>
                <w:sz w:val="22"/>
                <w:szCs w:val="22"/>
              </w:rPr>
            </w:pPr>
            <w:r>
              <w:rPr>
                <w:sz w:val="20"/>
                <w:szCs w:val="20"/>
                <w:rtl w:val="0"/>
              </w:rPr>
              <w:t xml:space="preserve">Rozciąganie (stretching statyczny/dynamiczny)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sz w:val="22"/>
                <w:szCs w:val="22"/>
              </w:rPr>
            </w:pPr>
            <w:r>
              <w:rPr>
                <w:sz w:val="20"/>
                <w:szCs w:val="20"/>
                <w:rtl w:val="0"/>
              </w:rPr>
              <w:t xml:space="preserve">47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jc w:val="center"/>
              <w:rPr>
                <w:sz w:val="22"/>
                <w:szCs w:val="22"/>
              </w:rPr>
            </w:pPr>
            <w:r>
              <w:rPr>
                <w:sz w:val="20"/>
                <w:szCs w:val="20"/>
                <w:rtl w:val="0"/>
              </w:rPr>
              <w:t xml:space="preserve">60,3%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left"/>
              <w:rPr>
                <w:sz w:val="22"/>
                <w:szCs w:val="22"/>
              </w:rPr>
            </w:pPr>
            <w:r>
              <w:rPr>
                <w:sz w:val="20"/>
                <w:szCs w:val="20"/>
                <w:rtl w:val="0"/>
              </w:rPr>
              <w:t xml:space="preserve">Autorozluźnianie powięziowe (foam rolling)</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sz w:val="22"/>
                <w:szCs w:val="22"/>
              </w:rPr>
            </w:pPr>
            <w:r>
              <w:rPr>
                <w:sz w:val="20"/>
                <w:szCs w:val="20"/>
                <w:rtl w:val="0"/>
              </w:rPr>
              <w:t xml:space="preserve">41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center"/>
              <w:rPr>
                <w:sz w:val="22"/>
                <w:szCs w:val="22"/>
              </w:rPr>
            </w:pPr>
            <w:r>
              <w:rPr>
                <w:sz w:val="20"/>
                <w:szCs w:val="20"/>
                <w:rtl w:val="0"/>
              </w:rPr>
              <w:t xml:space="preserve">52,6%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left"/>
              <w:rPr>
                <w:sz w:val="22"/>
                <w:szCs w:val="22"/>
              </w:rPr>
            </w:pPr>
            <w:r>
              <w:rPr>
                <w:sz w:val="20"/>
                <w:szCs w:val="20"/>
                <w:rtl w:val="0"/>
              </w:rPr>
              <w:t xml:space="preserve">Praca nad mobilnością stawów (mobility)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Pr>
                <w:sz w:val="20"/>
                <w:szCs w:val="20"/>
                <w:rtl w:val="0"/>
              </w:rPr>
              <w:t xml:space="preserve">32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Pr>
                <w:sz w:val="20"/>
                <w:szCs w:val="20"/>
                <w:rtl w:val="0"/>
              </w:rPr>
              <w:t xml:space="preserve">41,0%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left"/>
              <w:rPr>
                <w:sz w:val="22"/>
                <w:szCs w:val="22"/>
              </w:rPr>
            </w:pPr>
            <w:r>
              <w:rPr>
                <w:sz w:val="20"/>
                <w:szCs w:val="20"/>
                <w:rtl w:val="0"/>
              </w:rPr>
              <w:t xml:space="preserve">Ćwiczenia siłowe koncentryczne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center"/>
              <w:rPr>
                <w:sz w:val="22"/>
                <w:szCs w:val="22"/>
              </w:rPr>
            </w:pPr>
            <w:r>
              <w:rPr>
                <w:sz w:val="20"/>
                <w:szCs w:val="20"/>
                <w:rtl w:val="0"/>
              </w:rPr>
              <w:t xml:space="preserve">24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Pr>
                <w:sz w:val="20"/>
                <w:szCs w:val="20"/>
                <w:rtl w:val="0"/>
              </w:rPr>
              <w:t xml:space="preserve">30,8%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left"/>
              <w:rPr>
                <w:sz w:val="22"/>
                <w:szCs w:val="22"/>
              </w:rPr>
            </w:pPr>
            <w:r>
              <w:rPr>
                <w:sz w:val="20"/>
                <w:szCs w:val="20"/>
                <w:rtl w:val="0"/>
              </w:rPr>
              <w:t xml:space="preserve">Ćwiczenia siłowe zapobiegające urazom (ekscentryczne/izometryczne)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Pr>
                <w:sz w:val="20"/>
                <w:szCs w:val="20"/>
                <w:rtl w:val="0"/>
              </w:rPr>
              <w:t xml:space="preserve">26,9%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left"/>
              <w:rPr>
                <w:sz w:val="22"/>
                <w:szCs w:val="22"/>
              </w:rPr>
            </w:pPr>
            <w:r>
              <w:rPr>
                <w:sz w:val="20"/>
                <w:szCs w:val="20"/>
                <w:rtl w:val="0"/>
              </w:rPr>
              <w:t xml:space="preserve">Ćwiczenia stabilizacyjne (CORE/propriocepcja)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Pr>
                <w:sz w:val="20"/>
                <w:szCs w:val="20"/>
                <w:rtl w:val="0"/>
              </w:rPr>
              <w:t xml:space="preserve">25,6%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4">
            <w:pPr>
              <w:spacing w:after="0" w:line="240" w:lineRule="auto"/>
              <w:jc w:val="left"/>
              <w:rPr>
                <w:sz w:val="22"/>
                <w:szCs w:val="22"/>
              </w:rPr>
            </w:pPr>
            <w:r>
              <w:rPr>
                <w:sz w:val="20"/>
                <w:szCs w:val="20"/>
                <w:rtl w:val="0"/>
              </w:rPr>
              <w:t xml:space="preserve">Nie stosuję żadnych dodatkowych metod</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jc w:val="center"/>
              <w:rPr>
                <w:sz w:val="22"/>
                <w:szCs w:val="22"/>
              </w:rPr>
            </w:pPr>
            <w:r>
              <w:rPr>
                <w:sz w:val="20"/>
                <w:szCs w:val="20"/>
                <w:rtl w:val="0"/>
              </w:rPr>
              <w:t xml:space="preserve">19,2%</w:t>
            </w:r>
            <w:r>
              <w:rPr>
                <w:rtl w:val="0"/>
              </w:rPr>
            </w:r>
          </w:p>
        </w:tc>
      </w:tr>
    </w:tbl>
    <w:p w:rsidR="00000000" w:rsidDel="00000000" w:rsidP="00000000" w:rsidRDefault="00000000" w:rsidRPr="00000000" w14:paraId="000001C7">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C8">
      <w:pPr>
        <w:spacing w:after="80" w:before="200" w:line="240" w:lineRule="auto"/>
        <w:jc w:val="left"/>
        <w:rPr>
          <w:sz w:val="22"/>
          <w:szCs w:val="22"/>
        </w:rPr>
      </w:pPr>
      <w:r>
        <w:rPr>
          <w:b w:val="1"/>
          <w:bCs w:val="1"/>
          <w:i w:val="1"/>
          <w:iCs w:val="1"/>
          <w:sz w:val="20"/>
          <w:szCs w:val="20"/>
          <w:rtl w:val="0"/>
        </w:rPr>
        <w:t xml:space="preserve">Tabela 21. Częstotliwość samodzielnych ćwiczeń profilaktycznych (n = 77)</w:t>
      </w:r>
      <w:r>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center"/>
              <w:rPr>
                <w:sz w:val="22"/>
                <w:szCs w:val="22"/>
              </w:rPr>
            </w:pPr>
            <w:r>
              <w:rPr>
                <w:b w:val="1"/>
                <w:bCs w:val="1"/>
                <w:sz w:val="20"/>
                <w:szCs w:val="20"/>
                <w:rtl w:val="0"/>
              </w:rPr>
              <w:t xml:space="preserve">Częstotliwość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left"/>
              <w:rPr>
                <w:sz w:val="22"/>
                <w:szCs w:val="22"/>
              </w:rPr>
            </w:pPr>
            <w:r>
              <w:rPr>
                <w:sz w:val="20"/>
                <w:szCs w:val="20"/>
                <w:rtl w:val="0"/>
              </w:rPr>
              <w:t xml:space="preserve">2–3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center"/>
              <w:rPr>
                <w:sz w:val="22"/>
                <w:szCs w:val="22"/>
              </w:rPr>
            </w:pPr>
            <w:r>
              <w:rPr>
                <w:sz w:val="20"/>
                <w:szCs w:val="20"/>
                <w:rtl w:val="0"/>
              </w:rPr>
              <w:t xml:space="preserve">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sz w:val="22"/>
                <w:szCs w:val="22"/>
              </w:rPr>
            </w:pPr>
            <w:r>
              <w:rPr>
                <w:sz w:val="20"/>
                <w:szCs w:val="20"/>
                <w:rtl w:val="0"/>
              </w:rPr>
              <w:t xml:space="preserve">40,3%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left"/>
              <w:rPr>
                <w:sz w:val="22"/>
                <w:szCs w:val="22"/>
              </w:rPr>
            </w:pPr>
            <w:r>
              <w:rPr>
                <w:sz w:val="20"/>
                <w:szCs w:val="20"/>
                <w:rtl w:val="0"/>
              </w:rPr>
              <w:t xml:space="preserve">Raz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left"/>
              <w:rPr>
                <w:sz w:val="22"/>
                <w:szCs w:val="22"/>
              </w:rPr>
            </w:pPr>
            <w:r>
              <w:rPr>
                <w:sz w:val="20"/>
                <w:szCs w:val="20"/>
                <w:rtl w:val="0"/>
              </w:rPr>
              <w:t xml:space="preserve">4–6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left"/>
              <w:rPr>
                <w:sz w:val="22"/>
                <w:szCs w:val="22"/>
              </w:rPr>
            </w:pPr>
            <w:r>
              <w:rPr>
                <w:sz w:val="20"/>
                <w:szCs w:val="20"/>
                <w:rtl w:val="0"/>
              </w:rPr>
              <w:t xml:space="preserve">Rzadziej niż raz w tygodniu / 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left"/>
              <w:rPr>
                <w:sz w:val="22"/>
                <w:szCs w:val="22"/>
              </w:rPr>
            </w:pPr>
            <w:r>
              <w:rPr>
                <w:sz w:val="20"/>
                <w:szCs w:val="20"/>
                <w:rtl w:val="0"/>
              </w:rPr>
              <w:t xml:space="preserve">Nie stosuję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sz w:val="22"/>
                <w:szCs w:val="22"/>
              </w:rPr>
            </w:pPr>
            <w:r>
              <w:rPr>
                <w:sz w:val="20"/>
                <w:szCs w:val="20"/>
                <w:rtl w:val="0"/>
              </w:rPr>
              <w:t xml:space="preserve">11,7%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left"/>
              <w:rPr>
                <w:sz w:val="22"/>
                <w:szCs w:val="22"/>
              </w:rPr>
            </w:pPr>
            <w:r>
              <w:rPr>
                <w:sz w:val="20"/>
                <w:szCs w:val="20"/>
                <w:rtl w:val="0"/>
              </w:rPr>
              <w:t xml:space="preserve">Codziennie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sz w:val="22"/>
                <w:szCs w:val="22"/>
              </w:rPr>
            </w:pPr>
            <w:r>
              <w:rPr>
                <w:sz w:val="20"/>
                <w:szCs w:val="20"/>
                <w:rtl w:val="0"/>
              </w:rPr>
              <w:t xml:space="preserve">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E1">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E4">
      <w:pPr>
        <w:spacing w:after="80" w:before="200" w:line="240" w:lineRule="auto"/>
        <w:jc w:val="left"/>
        <w:rPr>
          <w:sz w:val="22"/>
          <w:szCs w:val="22"/>
        </w:rPr>
      </w:pPr>
      <w:r>
        <w:rPr>
          <w:b w:val="1"/>
          <w:bCs w:val="1"/>
          <w:i w:val="1"/>
          <w:iCs w:val="1"/>
          <w:sz w:val="20"/>
          <w:szCs w:val="20"/>
          <w:rtl w:val="0"/>
        </w:rPr>
        <w:t xml:space="preserve">Tabela 22. Elementy regeneracji i odnowy biologicznej w rutynie zawodnika (pytanie wielokrotnego wyboru, N = 78)</w:t>
      </w:r>
      <w:r>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Pr>
                <w:b w:val="1"/>
                <w:bCs w:val="1"/>
                <w:sz w:val="20"/>
                <w:szCs w:val="20"/>
                <w:rtl w:val="0"/>
              </w:rPr>
              <w:t xml:space="preserve">Element regeneracji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left"/>
              <w:rPr>
                <w:sz w:val="22"/>
                <w:szCs w:val="22"/>
              </w:rPr>
            </w:pPr>
            <w:r>
              <w:rPr>
                <w:sz w:val="20"/>
                <w:szCs w:val="20"/>
                <w:rtl w:val="0"/>
              </w:rPr>
              <w:t xml:space="preserve">Odpowiednia ilość snu (min. 7–9 h/dobę)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sz w:val="22"/>
                <w:szCs w:val="22"/>
              </w:rPr>
            </w:pPr>
            <w:r>
              <w:rPr>
                <w:sz w:val="20"/>
                <w:szCs w:val="20"/>
                <w:rtl w:val="0"/>
              </w:rPr>
              <w:t xml:space="preserve">57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Pr>
                <w:sz w:val="20"/>
                <w:szCs w:val="20"/>
                <w:rtl w:val="0"/>
              </w:rPr>
              <w:t xml:space="preserve">73,1%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left"/>
              <w:rPr>
                <w:sz w:val="22"/>
                <w:szCs w:val="22"/>
              </w:rPr>
            </w:pPr>
            <w:r>
              <w:rPr>
                <w:sz w:val="20"/>
                <w:szCs w:val="20"/>
                <w:rtl w:val="0"/>
              </w:rPr>
              <w:t xml:space="preserve">Zbilansowana dieta i nawodnienie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jc w:val="left"/>
              <w:rPr>
                <w:sz w:val="22"/>
                <w:szCs w:val="22"/>
              </w:rPr>
            </w:pPr>
            <w:r>
              <w:rPr>
                <w:sz w:val="20"/>
                <w:szCs w:val="20"/>
                <w:rtl w:val="0"/>
              </w:rPr>
              <w:t xml:space="preserve">Suplementacja (witaminy, minerały, odżywki białkowe)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left"/>
              <w:rPr>
                <w:sz w:val="22"/>
                <w:szCs w:val="22"/>
              </w:rPr>
            </w:pPr>
            <w:r>
              <w:rPr>
                <w:sz w:val="20"/>
                <w:szCs w:val="20"/>
                <w:rtl w:val="0"/>
              </w:rPr>
              <w:t xml:space="preserve">Zimne kąpiele / morsowanie / krioterapia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left"/>
              <w:rPr>
                <w:sz w:val="22"/>
                <w:szCs w:val="22"/>
              </w:rPr>
            </w:pPr>
            <w:r>
              <w:rPr>
                <w:sz w:val="20"/>
                <w:szCs w:val="20"/>
                <w:rtl w:val="0"/>
              </w:rPr>
              <w:t xml:space="preserve">Regularne wizyty u fizjoterapeuty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Pr>
                <w:sz w:val="20"/>
                <w:szCs w:val="20"/>
                <w:rtl w:val="0"/>
              </w:rPr>
              <w:t xml:space="preserve">12,8%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left"/>
              <w:rPr>
                <w:sz w:val="22"/>
                <w:szCs w:val="22"/>
              </w:rPr>
            </w:pPr>
            <w:r>
              <w:rPr>
                <w:sz w:val="20"/>
                <w:szCs w:val="20"/>
                <w:rtl w:val="0"/>
              </w:rPr>
              <w:t xml:space="preserve">Nie stosuję żadnych metod regeneracji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Pr>
                <w:sz w:val="20"/>
                <w:szCs w:val="20"/>
                <w:rtl w:val="0"/>
              </w:rPr>
              <w:t xml:space="preserve">10,3%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left"/>
              <w:rPr>
                <w:sz w:val="22"/>
                <w:szCs w:val="22"/>
              </w:rPr>
            </w:pPr>
            <w:r>
              <w:rPr>
                <w:sz w:val="20"/>
                <w:szCs w:val="20"/>
                <w:rtl w:val="0"/>
              </w:rPr>
              <w:t xml:space="preserve">Odzież kompresyjna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Pr>
                <w:sz w:val="20"/>
                <w:szCs w:val="20"/>
                <w:rtl w:val="0"/>
              </w:rPr>
              <w:t xml:space="preserve">5,1%</w:t>
            </w:r>
            <w:r>
              <w:rPr>
                <w:rtl w:val="0"/>
              </w:rPr>
            </w:r>
          </w:p>
        </w:tc>
      </w:tr>
    </w:tbl>
    <w:p w:rsidR="00000000" w:rsidDel="00000000" w:rsidP="00000000" w:rsidRDefault="00000000" w:rsidRPr="00000000" w14:paraId="000001FD">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FF">
      <w:pPr>
        <w:spacing w:after="80" w:before="200" w:line="240" w:lineRule="auto"/>
        <w:jc w:val="left"/>
        <w:rPr>
          <w:sz w:val="22"/>
          <w:szCs w:val="22"/>
        </w:rPr>
      </w:pPr>
      <w:r>
        <w:rPr>
          <w:b w:val="1"/>
          <w:bCs w:val="1"/>
          <w:i w:val="1"/>
          <w:iCs w:val="1"/>
          <w:sz w:val="20"/>
          <w:szCs w:val="20"/>
          <w:rtl w:val="0"/>
        </w:rPr>
        <w:t xml:space="preserve">Tabela 23. Źródła wiedzy o ćwiczeniach profilaktycznych i metodach regeneracji (pytanie wielokrotnego wyboru, N = 78)</w:t>
      </w:r>
      <w:r>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jc w:val="center"/>
              <w:rPr>
                <w:sz w:val="22"/>
                <w:szCs w:val="22"/>
              </w:rPr>
            </w:pPr>
            <w:r>
              <w:rPr>
                <w:b w:val="1"/>
                <w:bCs w:val="1"/>
                <w:sz w:val="20"/>
                <w:szCs w:val="20"/>
                <w:rtl w:val="0"/>
              </w:rPr>
              <w:t xml:space="preserve">Źródło wiedzy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left"/>
              <w:rPr>
                <w:sz w:val="22"/>
                <w:szCs w:val="22"/>
              </w:rPr>
            </w:pPr>
            <w:r>
              <w:rPr>
                <w:sz w:val="20"/>
                <w:szCs w:val="20"/>
                <w:rtl w:val="0"/>
              </w:rPr>
              <w:t xml:space="preserve">Internet (social media, YouTube, portale sportowe)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sz w:val="22"/>
                <w:szCs w:val="22"/>
              </w:rPr>
            </w:pPr>
            <w:r>
              <w:rPr>
                <w:sz w:val="20"/>
                <w:szCs w:val="20"/>
                <w:rtl w:val="0"/>
              </w:rPr>
              <w:t xml:space="preserve">49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jc w:val="center"/>
              <w:rPr>
                <w:sz w:val="22"/>
                <w:szCs w:val="22"/>
              </w:rPr>
            </w:pPr>
            <w:r>
              <w:rPr>
                <w:sz w:val="20"/>
                <w:szCs w:val="20"/>
                <w:rtl w:val="0"/>
              </w:rPr>
              <w:t xml:space="preserve">62,8%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left"/>
              <w:rPr>
                <w:sz w:val="22"/>
                <w:szCs w:val="22"/>
              </w:rPr>
            </w:pPr>
            <w:r>
              <w:rPr>
                <w:sz w:val="20"/>
                <w:szCs w:val="20"/>
                <w:rtl w:val="0"/>
              </w:rPr>
              <w:t xml:space="preserve">Fizjoterapeuta (klubowy lub prywatny)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Pr>
                <w:sz w:val="20"/>
                <w:szCs w:val="20"/>
                <w:rtl w:val="0"/>
              </w:rPr>
              <w:t xml:space="preserve">47,4%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Pr>
                <w:sz w:val="20"/>
                <w:szCs w:val="20"/>
                <w:rtl w:val="0"/>
              </w:rPr>
              <w:t xml:space="preserve">Starsi/bardziej doświadczeni koledzy z drużyny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Pr>
                <w:sz w:val="20"/>
                <w:szCs w:val="20"/>
                <w:rtl w:val="0"/>
              </w:rPr>
              <w:t xml:space="preserve">Trener przygotowania motorycznego / trener główny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Pr>
                <w:sz w:val="20"/>
                <w:szCs w:val="20"/>
                <w:rtl w:val="0"/>
              </w:rPr>
              <w:t xml:space="preserve">20,5%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Pr>
                <w:sz w:val="20"/>
                <w:szCs w:val="20"/>
                <w:rtl w:val="0"/>
              </w:rPr>
              <w:t xml:space="preserve">Brak takiej wiedzy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Pr>
                <w:sz w:val="20"/>
                <w:szCs w:val="20"/>
                <w:rtl w:val="0"/>
              </w:rPr>
              <w:t xml:space="preserve">14,1%</w:t>
            </w:r>
            <w:r>
              <w:rPr>
                <w:rtl w:val="0"/>
              </w:rPr>
            </w:r>
          </w:p>
        </w:tc>
      </w:tr>
    </w:tbl>
    <w:p w:rsidR="00000000" w:rsidDel="00000000" w:rsidP="00000000" w:rsidRDefault="00000000" w:rsidRPr="00000000" w14:paraId="00000212">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213">
      <w:pPr>
        <w:spacing w:after="80" w:before="200" w:line="240" w:lineRule="auto"/>
        <w:jc w:val="left"/>
        <w:rPr>
          <w:sz w:val="22"/>
          <w:szCs w:val="22"/>
        </w:rPr>
      </w:pPr>
      <w:r>
        <w:rPr>
          <w:b w:val="1"/>
          <w:bCs w:val="1"/>
          <w:i w:val="1"/>
          <w:iCs w:val="1"/>
          <w:sz w:val="20"/>
          <w:szCs w:val="20"/>
          <w:rtl w:val="0"/>
        </w:rPr>
        <w:t xml:space="preserve">Tabela 24. Bariery w regularnym stosowaniu profilaktyki (n = 77)</w:t>
      </w:r>
      <w:r>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Pr>
                <w:b w:val="1"/>
                <w:bCs w:val="1"/>
                <w:sz w:val="20"/>
                <w:szCs w:val="20"/>
                <w:rtl w:val="0"/>
              </w:rPr>
              <w:t xml:space="preserve">Bariera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left"/>
              <w:rPr>
                <w:sz w:val="22"/>
                <w:szCs w:val="22"/>
              </w:rPr>
            </w:pPr>
            <w:r>
              <w:rPr>
                <w:sz w:val="20"/>
                <w:szCs w:val="20"/>
                <w:rtl w:val="0"/>
              </w:rPr>
              <w:t xml:space="preserve">Brak czasu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center"/>
              <w:rPr>
                <w:sz w:val="22"/>
                <w:szCs w:val="22"/>
              </w:rPr>
            </w:pPr>
            <w:r>
              <w:rPr>
                <w:sz w:val="20"/>
                <w:szCs w:val="20"/>
                <w:rtl w:val="0"/>
              </w:rPr>
              <w:t xml:space="preserve">29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Pr>
                <w:sz w:val="20"/>
                <w:szCs w:val="20"/>
                <w:rtl w:val="0"/>
              </w:rPr>
              <w:t xml:space="preserve">37,7%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left"/>
              <w:rPr>
                <w:sz w:val="22"/>
                <w:szCs w:val="22"/>
              </w:rPr>
            </w:pPr>
            <w:r>
              <w:rPr>
                <w:sz w:val="20"/>
                <w:szCs w:val="20"/>
                <w:rtl w:val="0"/>
              </w:rPr>
              <w:t xml:space="preserve">Nie widzę przeszkód, stosuję regularnie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jc w:val="left"/>
              <w:rPr>
                <w:sz w:val="22"/>
                <w:szCs w:val="22"/>
              </w:rPr>
            </w:pPr>
            <w:r>
              <w:rPr>
                <w:sz w:val="20"/>
                <w:szCs w:val="20"/>
                <w:rtl w:val="0"/>
              </w:rPr>
              <w:t xml:space="preserve">Brak wiedzy, jak poprawnie wykonywać ćwiczenia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center"/>
              <w:rPr>
                <w:sz w:val="22"/>
                <w:szCs w:val="22"/>
              </w:rPr>
            </w:pPr>
            <w:r>
              <w:rPr>
                <w:sz w:val="20"/>
                <w:szCs w:val="20"/>
                <w:rtl w:val="0"/>
              </w:rPr>
              <w:t xml:space="preserve">15,6%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jc w:val="left"/>
              <w:rPr>
                <w:sz w:val="22"/>
                <w:szCs w:val="22"/>
              </w:rPr>
            </w:pPr>
            <w:r>
              <w:rPr>
                <w:sz w:val="20"/>
                <w:szCs w:val="20"/>
                <w:rtl w:val="0"/>
              </w:rPr>
              <w:t xml:space="preserve">Brak odpowiedniego sprzętu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left"/>
              <w:rPr>
                <w:sz w:val="22"/>
                <w:szCs w:val="22"/>
              </w:rPr>
            </w:pPr>
            <w:r>
              <w:rPr>
                <w:sz w:val="20"/>
                <w:szCs w:val="20"/>
                <w:rtl w:val="0"/>
              </w:rPr>
              <w:t xml:space="preserve">Brak przekonania o skuteczności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29">
      <w:pPr>
        <w:spacing w:after="200" w:line="240" w:lineRule="auto"/>
        <w:jc w:val="left"/>
        <w:rPr/>
      </w:pPr>
      <w:r>
        <w:rPr>
          <w:i w:val="1"/>
          <w:iCs w:val="1"/>
          <w:sz w:val="18"/>
          <w:szCs w:val="18"/>
          <w:rtl w:val="0"/>
        </w:rPr>
        <w:t xml:space="preserve">Źródło: opracowanie własne.</w:t>
      </w:r>
      <w:r>
        <w:rPr>
          <w:rtl w:val="0"/>
        </w:rPr>
      </w:r>
    </w:p>
    <w:bookmarkStart w:colFirst="0" w:colLast="0" w:name="d4mksop7gl2" w:id="26"/>
    <w:bookmarkEnd w:id="26"/>
    <w:p w:rsidR="00000000" w:rsidDel="00000000" w:rsidP="00000000" w:rsidRDefault="00000000" w:rsidRPr="00000000" w14:paraId="0000022A">
      <w:pPr>
        <w:pStyle w:val="Heading2"/>
        <w:rPr/>
      </w:pPr>
      <w:r>
        <w:rPr>
          <w:rtl w:val="0"/>
        </w:rPr>
        <w:t xml:space="preserve">6.4. Weryfikacja hipotez statystycznych</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potwierdzono jedynie związek stażu zawodniczego z wystąpieniem urazu, przy braku potwierdzenia dla poziomu rozgrywkowego, wieku oraz liczby urazów.</w:t>
      </w:r>
    </w:p>
    <w:p w:rsidR="00000000" w:rsidDel="00000000" w:rsidP="00000000" w:rsidRDefault="00000000" w:rsidRPr="00000000" w14:paraId="0000022C">
      <w:pPr>
        <w:spacing w:after="80" w:before="200" w:line="240" w:lineRule="auto"/>
        <w:jc w:val="left"/>
        <w:rPr>
          <w:sz w:val="22"/>
          <w:szCs w:val="22"/>
        </w:rPr>
      </w:pPr>
      <w:r>
        <w:rPr>
          <w:b w:val="1"/>
          <w:bCs w:val="1"/>
          <w:i w:val="1"/>
          <w:iCs w:val="1"/>
          <w:sz w:val="20"/>
          <w:szCs w:val="20"/>
          <w:rtl w:val="0"/>
        </w:rPr>
        <w:t xml:space="preserve">Tabela 25. Poziom rozgrywkowy a wystąpienie urazu w ciągu 24 miesięcy (N = 78)</w:t>
      </w:r>
      <w:r>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jc w:val="center"/>
              <w:rPr>
                <w:sz w:val="22"/>
                <w:szCs w:val="22"/>
              </w:rPr>
            </w:pPr>
            <w:r>
              <w:rPr>
                <w:b w:val="1"/>
                <w:bCs w:val="1"/>
                <w:sz w:val="20"/>
                <w:szCs w:val="20"/>
                <w:rtl w:val="0"/>
              </w:rPr>
              <w:t xml:space="preserve">Poziom rozgrywkowy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E">
            <w:pPr>
              <w:spacing w:after="0" w:line="240" w:lineRule="auto"/>
              <w:jc w:val="center"/>
              <w:rPr>
                <w:sz w:val="22"/>
                <w:szCs w:val="22"/>
              </w:rPr>
            </w:pPr>
            <w:r>
              <w:rPr>
                <w:b w:val="1"/>
                <w:bCs w:val="1"/>
                <w:sz w:val="20"/>
                <w:szCs w:val="20"/>
                <w:rtl w:val="0"/>
              </w:rPr>
              <w:t xml:space="preserve">Bez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sz w:val="22"/>
                <w:szCs w:val="22"/>
              </w:rPr>
            </w:pPr>
            <w:r>
              <w:rPr>
                <w:b w:val="1"/>
                <w:bCs w:val="1"/>
                <w:sz w:val="20"/>
                <w:szCs w:val="20"/>
                <w:rtl w:val="0"/>
              </w:rPr>
              <w:t xml:space="preserve">Z urazem</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jc w:val="left"/>
              <w:rPr>
                <w:sz w:val="22"/>
                <w:szCs w:val="22"/>
              </w:rPr>
            </w:pPr>
            <w:r>
              <w:rPr>
                <w:sz w:val="20"/>
                <w:szCs w:val="20"/>
                <w:rtl w:val="0"/>
              </w:rPr>
              <w:t xml:space="preserve">Profesjonalny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2">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jc w:val="center"/>
              <w:rPr>
                <w:sz w:val="22"/>
                <w:szCs w:val="22"/>
              </w:rPr>
            </w:pPr>
            <w:r>
              <w:rPr>
                <w:sz w:val="20"/>
                <w:szCs w:val="20"/>
                <w:rtl w:val="0"/>
              </w:rPr>
              <w:t xml:space="preserve">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left"/>
              <w:rPr>
                <w:sz w:val="22"/>
                <w:szCs w:val="22"/>
              </w:rPr>
            </w:pPr>
            <w:r>
              <w:rPr>
                <w:sz w:val="20"/>
                <w:szCs w:val="20"/>
                <w:rtl w:val="0"/>
              </w:rPr>
              <w:t xml:space="preserve">Półprofesjonalny/amatorski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center"/>
              <w:rPr>
                <w:sz w:val="22"/>
                <w:szCs w:val="22"/>
              </w:rPr>
            </w:pPr>
            <w:r>
              <w:rPr>
                <w:sz w:val="20"/>
                <w:szCs w:val="20"/>
                <w:rtl w:val="0"/>
              </w:rPr>
              <w:t xml:space="preserve">53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Pr>
                <w:sz w:val="20"/>
                <w:szCs w:val="20"/>
                <w:rtl w:val="0"/>
              </w:rPr>
              <w:t xml:space="preserve">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sz w:val="22"/>
                <w:szCs w:val="22"/>
              </w:rPr>
            </w:pPr>
            <w:r>
              <w:rPr>
                <w:sz w:val="20"/>
                <w:szCs w:val="20"/>
                <w:rtl w:val="0"/>
              </w:rPr>
              <w:t xml:space="preserve">78</w:t>
            </w:r>
            <w:r>
              <w:rPr>
                <w:rtl w:val="0"/>
              </w:rPr>
            </w:r>
          </w:p>
        </w:tc>
      </w:tr>
    </w:tbl>
    <w:p w:rsidR="00000000" w:rsidDel="00000000" w:rsidP="00000000" w:rsidRDefault="00000000" w:rsidRPr="00000000" w14:paraId="0000023D">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3E">
      <w:pPr>
        <w:spacing w:after="80" w:before="200" w:line="240" w:lineRule="auto"/>
        <w:jc w:val="left"/>
        <w:rPr>
          <w:sz w:val="22"/>
          <w:szCs w:val="22"/>
        </w:rPr>
      </w:pPr>
      <w:r>
        <w:rPr>
          <w:b w:val="1"/>
          <w:bCs w:val="1"/>
          <w:i w:val="1"/>
          <w:iCs w:val="1"/>
          <w:sz w:val="20"/>
          <w:szCs w:val="20"/>
          <w:rtl w:val="0"/>
        </w:rPr>
        <w:t xml:space="preserve">Tabela 26. Wyniki testów niezależności — poziom rozgrywkowy × wystąpienie urazu</w:t>
      </w:r>
      <w:r>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jc w:val="center"/>
              <w:rPr>
                <w:sz w:val="22"/>
                <w:szCs w:val="22"/>
              </w:rPr>
            </w:pPr>
            <w:r>
              <w:rPr>
                <w:sz w:val="20"/>
                <w:szCs w:val="20"/>
                <w:rtl w:val="0"/>
              </w:rPr>
              <w:t xml:space="preserve">χ² = 0,021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4">
            <w:pPr>
              <w:spacing w:after="0" w:line="240" w:lineRule="auto"/>
              <w:jc w:val="center"/>
              <w:rPr>
                <w:sz w:val="22"/>
                <w:szCs w:val="22"/>
              </w:rPr>
            </w:pPr>
            <w:r>
              <w:rPr>
                <w:sz w:val="20"/>
                <w:szCs w:val="20"/>
                <w:rtl w:val="0"/>
              </w:rPr>
              <w:t xml:space="preserve">0,884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5">
            <w:pPr>
              <w:spacing w:after="0" w:line="240" w:lineRule="auto"/>
              <w:jc w:val="left"/>
              <w:rPr>
                <w:sz w:val="22"/>
                <w:szCs w:val="22"/>
              </w:rPr>
            </w:pPr>
            <w:r>
              <w:rPr>
                <w:sz w:val="20"/>
                <w:szCs w:val="20"/>
                <w:rtl w:val="0"/>
              </w:rPr>
              <w:t xml:space="preserve">Dokładny Test Fishera (min. liczebność oczekiwana = 1,13 &lt; 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6">
            <w:pPr>
              <w:spacing w:after="0" w:line="240" w:lineRule="auto"/>
              <w:jc w:val="center"/>
              <w:rPr>
                <w:sz w:val="22"/>
                <w:szCs w:val="22"/>
              </w:rPr>
            </w:pPr>
            <w:r>
              <w:rPr>
                <w:sz w:val="20"/>
                <w:szCs w:val="20"/>
                <w:rtl w:val="0"/>
              </w:rPr>
              <w:t xml:space="preserve">OR = 0,84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48">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49">
      <w:pPr>
        <w:spacing w:after="80" w:before="200" w:line="240" w:lineRule="auto"/>
        <w:jc w:val="left"/>
        <w:rPr>
          <w:sz w:val="22"/>
          <w:szCs w:val="22"/>
        </w:rPr>
      </w:pPr>
      <w:r>
        <w:rPr>
          <w:b w:val="1"/>
          <w:bCs w:val="1"/>
          <w:i w:val="1"/>
          <w:iCs w:val="1"/>
          <w:sz w:val="20"/>
          <w:szCs w:val="20"/>
          <w:rtl w:val="0"/>
        </w:rPr>
        <w:t xml:space="preserve">Tabela 27. Wiek i staż zawodniczy a wystąpienie urazu w ciągu 24 miesięcy</w:t>
      </w:r>
      <w:r>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A">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left"/>
              <w:rPr>
                <w:sz w:val="22"/>
                <w:szCs w:val="22"/>
              </w:rPr>
            </w:pPr>
            <w:r>
              <w:rPr>
                <w:sz w:val="20"/>
                <w:szCs w:val="20"/>
                <w:rtl w:val="0"/>
              </w:rPr>
              <w:t xml:space="preserve">Wiek: grupa z urazem (Me=23,5; n=56) vs. bez urazu (Me=25,0; n=21)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Pr>
                <w:sz w:val="20"/>
                <w:szCs w:val="20"/>
                <w:rtl w:val="0"/>
              </w:rPr>
              <w:t xml:space="preserve">U Manna-Whitneya = 497,0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center"/>
              <w:rPr>
                <w:sz w:val="22"/>
                <w:szCs w:val="22"/>
              </w:rPr>
            </w:pPr>
            <w:r>
              <w:rPr>
                <w:sz w:val="20"/>
                <w:szCs w:val="20"/>
                <w:rtl w:val="0"/>
              </w:rPr>
              <w:t xml:space="preserve">0,299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jc w:val="left"/>
              <w:rPr>
                <w:sz w:val="22"/>
                <w:szCs w:val="22"/>
              </w:rPr>
            </w:pPr>
            <w:r>
              <w:rPr>
                <w:sz w:val="20"/>
                <w:szCs w:val="20"/>
                <w:rtl w:val="0"/>
              </w:rPr>
              <w:t xml:space="preserve">Staż: grupa z urazem (Me=10,0; n=55) vs. bez urazu (Me=14,0; n=22)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jc w:val="center"/>
              <w:rPr>
                <w:sz w:val="22"/>
                <w:szCs w:val="22"/>
              </w:rPr>
            </w:pPr>
            <w:r>
              <w:rPr>
                <w:sz w:val="20"/>
                <w:szCs w:val="20"/>
                <w:rtl w:val="0"/>
              </w:rPr>
              <w:t xml:space="preserve">U Manna-Whitneya = 422,5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center"/>
              <w:rPr>
                <w:sz w:val="22"/>
                <w:szCs w:val="22"/>
              </w:rPr>
            </w:pPr>
            <w:r>
              <w:rPr>
                <w:sz w:val="20"/>
                <w:szCs w:val="20"/>
                <w:rtl w:val="0"/>
              </w:rPr>
              <w:t xml:space="preserve">0,039 *</w:t>
            </w:r>
            <w:r>
              <w:rPr>
                <w:rtl w:val="0"/>
              </w:rPr>
            </w:r>
          </w:p>
        </w:tc>
      </w:tr>
    </w:tbl>
    <w:p w:rsidR="00000000" w:rsidDel="00000000" w:rsidP="00000000" w:rsidRDefault="00000000" w:rsidRPr="00000000" w14:paraId="00000253">
      <w:pPr>
        <w:spacing w:after="200" w:line="240" w:lineRule="auto"/>
        <w:jc w:val="left"/>
        <w:rPr>
          <w:sz w:val="22"/>
          <w:szCs w:val="22"/>
        </w:rPr>
      </w:pPr>
      <w:r>
        <w:rPr>
          <w:i w:val="1"/>
          <w:iCs w:val="1"/>
          <w:sz w:val="18"/>
          <w:szCs w:val="18"/>
          <w:rtl w:val="0"/>
        </w:rPr>
        <w:t xml:space="preserve">Źródło: opracowanie własne. * różnica istotna statystycznie przy α = 0,05.</w:t>
      </w:r>
      <w:r>
        <w:rPr>
          <w:rtl w:val="0"/>
        </w:rPr>
      </w:r>
    </w:p>
    <w:p w:rsidR="00000000" w:rsidDel="00000000" w:rsidP="00000000" w:rsidRDefault="00000000" w:rsidRPr="00000000" w14:paraId="00000254">
      <w:pPr>
        <w:spacing w:after="80" w:before="200" w:line="240" w:lineRule="auto"/>
        <w:jc w:val="left"/>
        <w:rPr>
          <w:sz w:val="22"/>
          <w:szCs w:val="22"/>
        </w:rPr>
      </w:pPr>
      <w:r>
        <w:rPr>
          <w:b w:val="1"/>
          <w:bCs w:val="1"/>
          <w:i w:val="1"/>
          <w:iCs w:val="1"/>
          <w:sz w:val="20"/>
          <w:szCs w:val="20"/>
          <w:rtl w:val="0"/>
        </w:rPr>
        <w:t xml:space="preserve">Tabela 28. Korelacja liczby urazów (podpróba n=55–56) z wiekiem i stażem zawodniczym</w:t>
      </w:r>
      <w:r>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jc w:val="left"/>
              <w:rPr>
                <w:sz w:val="22"/>
                <w:szCs w:val="22"/>
              </w:rPr>
            </w:pPr>
            <w:r>
              <w:rPr>
                <w:sz w:val="20"/>
                <w:szCs w:val="20"/>
                <w:rtl w:val="0"/>
              </w:rPr>
              <w:t xml:space="preserve">Liczba urazów × wiek (korelacja rang Spearmana, n=56)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Pr>
                <w:sz w:val="20"/>
                <w:szCs w:val="20"/>
                <w:rtl w:val="0"/>
              </w:rPr>
              <w:t xml:space="preserve">rho = -0,138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Pr>
                <w:sz w:val="20"/>
                <w:szCs w:val="20"/>
                <w:rtl w:val="0"/>
              </w:rPr>
              <w:t xml:space="preserve">0,310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B">
            <w:pPr>
              <w:spacing w:after="0" w:line="240" w:lineRule="auto"/>
              <w:jc w:val="left"/>
              <w:rPr>
                <w:sz w:val="22"/>
                <w:szCs w:val="22"/>
              </w:rPr>
            </w:pPr>
            <w:r>
              <w:rPr>
                <w:sz w:val="20"/>
                <w:szCs w:val="20"/>
                <w:rtl w:val="0"/>
              </w:rPr>
              <w:t xml:space="preserve">Liczba urazów × staż zawodniczy (korelacja rang Spearmana, n=55)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C">
            <w:pPr>
              <w:spacing w:after="0" w:line="240" w:lineRule="auto"/>
              <w:jc w:val="center"/>
              <w:rPr>
                <w:sz w:val="22"/>
                <w:szCs w:val="22"/>
              </w:rPr>
            </w:pPr>
            <w:r>
              <w:rPr>
                <w:sz w:val="20"/>
                <w:szCs w:val="20"/>
                <w:rtl w:val="0"/>
              </w:rPr>
              <w:t xml:space="preserve">rho = -0,137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sz w:val="22"/>
                <w:szCs w:val="22"/>
              </w:rPr>
            </w:pPr>
            <w:r>
              <w:rPr>
                <w:sz w:val="20"/>
                <w:szCs w:val="20"/>
                <w:rtl w:val="0"/>
              </w:rPr>
              <w:t xml:space="preserve">0,318</w:t>
            </w:r>
            <w:r>
              <w:rPr>
                <w:rtl w:val="0"/>
              </w:rPr>
            </w:r>
          </w:p>
        </w:tc>
      </w:tr>
    </w:tbl>
    <w:p w:rsidR="00000000" w:rsidDel="00000000" w:rsidP="00000000" w:rsidRDefault="00000000" w:rsidRPr="00000000" w14:paraId="0000025E">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 badanej próbie proporcja urazów mięśniowych i więzadłowych rozkładała się względnie równomiernie niezależnie od mechanizmu urazu.</w:t>
      </w:r>
    </w:p>
    <w:p w:rsidR="00000000" w:rsidDel="00000000" w:rsidP="00000000" w:rsidRDefault="00000000" w:rsidRPr="00000000" w14:paraId="00000260">
      <w:pPr>
        <w:spacing w:after="80" w:before="200" w:line="240" w:lineRule="auto"/>
        <w:jc w:val="left"/>
        <w:rPr>
          <w:sz w:val="22"/>
          <w:szCs w:val="22"/>
        </w:rPr>
      </w:pPr>
      <w:r>
        <w:rPr>
          <w:b w:val="1"/>
          <w:bCs w:val="1"/>
          <w:i w:val="1"/>
          <w:iCs w:val="1"/>
          <w:sz w:val="20"/>
          <w:szCs w:val="20"/>
          <w:rtl w:val="0"/>
        </w:rPr>
        <w:t xml:space="preserve">Tabela 29. Tabela kontyngencji: mechanizm urazu × rodzaj uszkodzonej tkanki (n = 30)</w:t>
      </w:r>
      <w:r>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center"/>
              <w:rPr>
                <w:sz w:val="22"/>
                <w:szCs w:val="22"/>
              </w:rPr>
            </w:pPr>
            <w:r>
              <w:rPr>
                <w:b w:val="1"/>
                <w:bCs w:val="1"/>
                <w:sz w:val="20"/>
                <w:szCs w:val="20"/>
                <w:rtl w:val="0"/>
              </w:rPr>
              <w:t xml:space="preserve">Mechanizm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Pr>
                <w:b w:val="1"/>
                <w:bCs w:val="1"/>
                <w:sz w:val="20"/>
                <w:szCs w:val="20"/>
                <w:rtl w:val="0"/>
              </w:rPr>
              <w:t xml:space="preserve">Mięśnie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center"/>
              <w:rPr>
                <w:sz w:val="22"/>
                <w:szCs w:val="22"/>
              </w:rPr>
            </w:pPr>
            <w:r>
              <w:rPr>
                <w:b w:val="1"/>
                <w:bCs w:val="1"/>
                <w:sz w:val="20"/>
                <w:szCs w:val="20"/>
                <w:rtl w:val="0"/>
              </w:rPr>
              <w:t xml:space="preserve">Więzadła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left"/>
              <w:rPr>
                <w:sz w:val="22"/>
                <w:szCs w:val="22"/>
              </w:rPr>
            </w:pPr>
            <w:r>
              <w:rPr>
                <w:sz w:val="20"/>
                <w:szCs w:val="20"/>
                <w:rtl w:val="0"/>
              </w:rPr>
              <w:t xml:space="preserve">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240" w:lineRule="auto"/>
              <w:jc w:val="center"/>
              <w:rPr>
                <w:sz w:val="22"/>
                <w:szCs w:val="22"/>
              </w:rPr>
            </w:pPr>
            <w:r>
              <w:rPr>
                <w:sz w:val="20"/>
                <w:szCs w:val="20"/>
                <w:rtl w:val="0"/>
              </w:rPr>
              <w:t xml:space="preserve">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sz w:val="22"/>
                <w:szCs w:val="22"/>
              </w:rPr>
            </w:pPr>
            <w:r>
              <w:rPr>
                <w:sz w:val="20"/>
                <w:szCs w:val="20"/>
                <w:rtl w:val="0"/>
              </w:rPr>
              <w:t xml:space="preserve">16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9">
            <w:pPr>
              <w:spacing w:after="0" w:line="240" w:lineRule="auto"/>
              <w:jc w:val="left"/>
              <w:rPr>
                <w:sz w:val="22"/>
                <w:szCs w:val="22"/>
              </w:rPr>
            </w:pPr>
            <w:r>
              <w:rPr>
                <w:sz w:val="20"/>
                <w:szCs w:val="20"/>
                <w:rtl w:val="0"/>
              </w:rPr>
              <w:t xml:space="preserve">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A">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Pr>
                <w:sz w:val="20"/>
                <w:szCs w:val="20"/>
                <w:rtl w:val="0"/>
              </w:rPr>
              <w:t xml:space="preserve">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Pr>
                <w:sz w:val="20"/>
                <w:szCs w:val="20"/>
                <w:rtl w:val="0"/>
              </w:rPr>
              <w:t xml:space="preserve">30</w:t>
            </w:r>
            <w:r>
              <w:rPr>
                <w:rtl w:val="0"/>
              </w:rPr>
            </w:r>
          </w:p>
        </w:tc>
      </w:tr>
    </w:tbl>
    <w:p w:rsidR="00000000" w:rsidDel="00000000" w:rsidP="00000000" w:rsidRDefault="00000000" w:rsidRPr="00000000" w14:paraId="00000271">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72">
      <w:pPr>
        <w:spacing w:after="80" w:before="200" w:line="240" w:lineRule="auto"/>
        <w:jc w:val="left"/>
        <w:rPr>
          <w:sz w:val="22"/>
          <w:szCs w:val="22"/>
        </w:rPr>
      </w:pPr>
      <w:r>
        <w:rPr>
          <w:b w:val="1"/>
          <w:bCs w:val="1"/>
          <w:i w:val="1"/>
          <w:iCs w:val="1"/>
          <w:sz w:val="20"/>
          <w:szCs w:val="20"/>
          <w:rtl w:val="0"/>
        </w:rPr>
        <w:t xml:space="preserve">Tabela 30. Wyniki testów niezależności</w:t>
      </w:r>
      <w:r>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4">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Pr>
                <w:sz w:val="20"/>
                <w:szCs w:val="20"/>
                <w:rtl w:val="0"/>
              </w:rPr>
              <w:t xml:space="preserve">χ² = 1,265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Pr>
                <w:sz w:val="20"/>
                <w:szCs w:val="20"/>
                <w:rtl w:val="0"/>
              </w:rPr>
              <w:t xml:space="preserve">0,261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left"/>
              <w:rPr>
                <w:sz w:val="22"/>
                <w:szCs w:val="22"/>
              </w:rPr>
            </w:pPr>
            <w:r>
              <w:rPr>
                <w:sz w:val="20"/>
                <w:szCs w:val="20"/>
                <w:rtl w:val="0"/>
              </w:rPr>
              <w:t xml:space="preserve">Dokładny Test Fishera (weryfikacja pomocnicza)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A">
            <w:pPr>
              <w:spacing w:after="0" w:line="240" w:lineRule="auto"/>
              <w:jc w:val="center"/>
              <w:rPr>
                <w:sz w:val="22"/>
                <w:szCs w:val="22"/>
              </w:rPr>
            </w:pPr>
            <w:r>
              <w:rPr>
                <w:sz w:val="20"/>
                <w:szCs w:val="20"/>
                <w:rtl w:val="0"/>
              </w:rPr>
              <w:t xml:space="preserve">OR = 2,31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after="0" w:line="240" w:lineRule="auto"/>
              <w:jc w:val="center"/>
              <w:rPr>
                <w:sz w:val="22"/>
                <w:szCs w:val="22"/>
              </w:rPr>
            </w:pPr>
            <w:r>
              <w:rPr>
                <w:sz w:val="20"/>
                <w:szCs w:val="20"/>
                <w:rtl w:val="0"/>
              </w:rPr>
              <w:t xml:space="preserve">0,299</w:t>
            </w:r>
            <w:r>
              <w:rPr>
                <w:rtl w:val="0"/>
              </w:rPr>
            </w:r>
          </w:p>
        </w:tc>
      </w:tr>
    </w:tbl>
    <w:p w:rsidR="00000000" w:rsidDel="00000000" w:rsidP="00000000" w:rsidRDefault="00000000" w:rsidRPr="00000000" w14:paraId="0000027C">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Z</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7E">
      <w:pPr>
        <w:spacing w:after="80" w:before="200" w:line="240" w:lineRule="auto"/>
        <w:jc w:val="left"/>
        <w:rPr>
          <w:sz w:val="22"/>
          <w:szCs w:val="22"/>
        </w:rPr>
      </w:pPr>
      <w:r>
        <w:rPr>
          <w:b w:val="1"/>
          <w:bCs w:val="1"/>
          <w:i w:val="1"/>
          <w:iCs w:val="1"/>
          <w:sz w:val="20"/>
          <w:szCs w:val="20"/>
          <w:rtl w:val="0"/>
        </w:rPr>
        <w:t xml:space="preserve">Tabela 31. Testy funkcjonalne i etapowość powrotu a subiektywna ocena sprawności oraz poziom lęku (n = 56)</w:t>
      </w:r>
      <w:r>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left"/>
              <w:rPr>
                <w:sz w:val="22"/>
                <w:szCs w:val="22"/>
              </w:rPr>
            </w:pPr>
            <w:r>
              <w:rPr>
                <w:sz w:val="20"/>
                <w:szCs w:val="20"/>
                <w:rtl w:val="0"/>
              </w:rPr>
              <w:t xml:space="preserve">Ocena sprawności: wykonano testy funkcjonalne (Me=4,0; n=13) vs. nie wykonano (Me=4,0;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center"/>
              <w:rPr>
                <w:sz w:val="22"/>
                <w:szCs w:val="22"/>
              </w:rPr>
            </w:pPr>
            <w:r>
              <w:rPr>
                <w:sz w:val="20"/>
                <w:szCs w:val="20"/>
                <w:rtl w:val="0"/>
              </w:rPr>
              <w:t xml:space="preserve">U Manna-Whitneya = 266,5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Pr>
                <w:sz w:val="20"/>
                <w:szCs w:val="20"/>
                <w:rtl w:val="0"/>
              </w:rPr>
              <w:t xml:space="preserve">0,793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left"/>
              <w:rPr>
                <w:sz w:val="22"/>
                <w:szCs w:val="22"/>
              </w:rPr>
            </w:pPr>
            <w:r>
              <w:rPr>
                <w:sz w:val="20"/>
                <w:szCs w:val="20"/>
                <w:rtl w:val="0"/>
              </w:rPr>
              <w:t xml:space="preserve">Ocena sprawności: powrót etapowy (Me=4,0; n=30) vs. powrót natychmiastowy (Me=5,0;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6">
            <w:pPr>
              <w:spacing w:after="0" w:line="240" w:lineRule="auto"/>
              <w:jc w:val="center"/>
              <w:rPr>
                <w:sz w:val="22"/>
                <w:szCs w:val="22"/>
              </w:rPr>
            </w:pPr>
            <w:r>
              <w:rPr>
                <w:sz w:val="20"/>
                <w:szCs w:val="20"/>
                <w:rtl w:val="0"/>
              </w:rPr>
              <w:t xml:space="preserve">U Manna-Whitneya = 314,5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7">
            <w:pPr>
              <w:spacing w:after="0" w:line="240" w:lineRule="auto"/>
              <w:jc w:val="center"/>
              <w:rPr>
                <w:sz w:val="22"/>
                <w:szCs w:val="22"/>
              </w:rPr>
            </w:pPr>
            <w:r>
              <w:rPr>
                <w:sz w:val="20"/>
                <w:szCs w:val="20"/>
                <w:rtl w:val="0"/>
              </w:rPr>
              <w:t xml:space="preserve">0,183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left"/>
              <w:rPr>
                <w:sz w:val="22"/>
                <w:szCs w:val="22"/>
              </w:rPr>
            </w:pPr>
            <w:r>
              <w:rPr>
                <w:sz w:val="20"/>
                <w:szCs w:val="20"/>
                <w:rtl w:val="0"/>
              </w:rPr>
              <w:t xml:space="preserve">Kinezjofobia: wykonano testy funkcjonalne (Me=1; n=13) vs. nie wykonano (Me=1;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Pr>
                <w:sz w:val="20"/>
                <w:szCs w:val="20"/>
                <w:rtl w:val="0"/>
              </w:rPr>
              <w:t xml:space="preserve">U Manna-Whitneya = 241,0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Pr>
                <w:sz w:val="20"/>
                <w:szCs w:val="20"/>
                <w:rtl w:val="0"/>
              </w:rPr>
              <w:t xml:space="preserve">0,424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left"/>
              <w:rPr>
                <w:sz w:val="22"/>
                <w:szCs w:val="22"/>
              </w:rPr>
            </w:pPr>
            <w:r>
              <w:rPr>
                <w:sz w:val="20"/>
                <w:szCs w:val="20"/>
                <w:rtl w:val="0"/>
              </w:rPr>
              <w:t xml:space="preserve">Kinezjofobia: powrót etapowy (M=1,13; n=30) vs. powrót natychmiastowy (M=0,65;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center"/>
              <w:rPr>
                <w:sz w:val="22"/>
                <w:szCs w:val="22"/>
              </w:rPr>
            </w:pPr>
            <w:r>
              <w:rPr>
                <w:sz w:val="20"/>
                <w:szCs w:val="20"/>
                <w:rtl w:val="0"/>
              </w:rPr>
              <w:t xml:space="preserve">U Manna-Whitneya = 528,0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Pr>
                <w:sz w:val="20"/>
                <w:szCs w:val="20"/>
                <w:rtl w:val="0"/>
              </w:rPr>
              <w:t xml:space="preserve">0,014 *</w:t>
            </w:r>
            <w:r>
              <w:rPr>
                <w:rtl w:val="0"/>
              </w:rPr>
            </w:r>
          </w:p>
        </w:tc>
      </w:tr>
    </w:tbl>
    <w:p w:rsidR="00000000" w:rsidDel="00000000" w:rsidP="00000000" w:rsidRDefault="00000000" w:rsidRPr="00000000" w14:paraId="0000028E">
      <w:pPr>
        <w:spacing w:after="200" w:line="240" w:lineRule="auto"/>
        <w:jc w:val="left"/>
        <w:rPr/>
      </w:pPr>
      <w:r>
        <w:rPr>
          <w:i w:val="1"/>
          <w:iCs w:val="1"/>
          <w:sz w:val="18"/>
          <w:szCs w:val="18"/>
          <w:rtl w:val="0"/>
        </w:rPr>
        <w:t xml:space="preserve">Źródło: opracowanie własne. * istotne przy α = 0,05. Kinezjofobię zakodowano porządkowo: 0 = brak lęku, 1 = lęk przejściowy, 2 = lęk nasilony.</w:t>
      </w:r>
      <w:r>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90">
      <w:pPr>
        <w:spacing w:after="80" w:before="200" w:line="240" w:lineRule="auto"/>
        <w:jc w:val="left"/>
        <w:rPr>
          <w:sz w:val="22"/>
          <w:szCs w:val="22"/>
        </w:rPr>
      </w:pPr>
      <w:r>
        <w:rPr>
          <w:b w:val="1"/>
          <w:bCs w:val="1"/>
          <w:i w:val="1"/>
          <w:iCs w:val="1"/>
          <w:sz w:val="20"/>
          <w:szCs w:val="20"/>
          <w:rtl w:val="0"/>
        </w:rPr>
        <w:t xml:space="preserve">Tabela 32. Profilaktyka klubowa i indywidualna a liczba urazów (N = 77–78)</w:t>
      </w:r>
      <w:r>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3">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left"/>
              <w:rPr>
                <w:sz w:val="22"/>
                <w:szCs w:val="22"/>
              </w:rPr>
            </w:pPr>
            <w:r>
              <w:rPr>
                <w:sz w:val="20"/>
                <w:szCs w:val="20"/>
                <w:rtl w:val="0"/>
              </w:rPr>
              <w:t xml:space="preserve">Liczba urazów: zorganizowana profilaktyka w klubie (M=1,52; n=54) vs. brak/rzadko (M=1,39; n=23)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sz w:val="22"/>
                <w:szCs w:val="22"/>
              </w:rPr>
            </w:pPr>
            <w:r>
              <w:rPr>
                <w:sz w:val="20"/>
                <w:szCs w:val="20"/>
                <w:rtl w:val="0"/>
              </w:rPr>
              <w:t xml:space="preserve">U Manna-Whitneya = 631,0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sz w:val="22"/>
                <w:szCs w:val="22"/>
              </w:rPr>
            </w:pPr>
            <w:r>
              <w:rPr>
                <w:sz w:val="20"/>
                <w:szCs w:val="20"/>
                <w:rtl w:val="0"/>
              </w:rPr>
              <w:t xml:space="preserve">0,913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7">
            <w:pPr>
              <w:spacing w:after="0" w:line="240" w:lineRule="auto"/>
              <w:jc w:val="left"/>
              <w:rPr>
                <w:sz w:val="22"/>
                <w:szCs w:val="22"/>
              </w:rPr>
            </w:pPr>
            <w:r>
              <w:rPr>
                <w:sz w:val="20"/>
                <w:szCs w:val="20"/>
                <w:rtl w:val="0"/>
              </w:rPr>
              <w:t xml:space="preserve">Liczba urazów × częstotliwość samodzielnej profilaktyki (korelacja rang Spearmana, n=77)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8">
            <w:pPr>
              <w:spacing w:after="0" w:line="240" w:lineRule="auto"/>
              <w:jc w:val="center"/>
              <w:rPr>
                <w:sz w:val="22"/>
                <w:szCs w:val="22"/>
              </w:rPr>
            </w:pPr>
            <w:r>
              <w:rPr>
                <w:sz w:val="20"/>
                <w:szCs w:val="20"/>
                <w:rtl w:val="0"/>
              </w:rPr>
              <w:t xml:space="preserve">rho = 0,125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9">
            <w:pPr>
              <w:spacing w:after="0" w:line="240" w:lineRule="auto"/>
              <w:jc w:val="center"/>
              <w:rPr>
                <w:sz w:val="22"/>
                <w:szCs w:val="22"/>
              </w:rPr>
            </w:pPr>
            <w:r>
              <w:rPr>
                <w:sz w:val="20"/>
                <w:szCs w:val="20"/>
                <w:rtl w:val="0"/>
              </w:rPr>
              <w:t xml:space="preserve">0,279</w:t>
            </w:r>
            <w:r>
              <w:rPr>
                <w:rtl w:val="0"/>
              </w:rPr>
            </w:r>
          </w:p>
        </w:tc>
      </w:tr>
    </w:tbl>
    <w:p w:rsidR="00000000" w:rsidDel="00000000" w:rsidP="00000000" w:rsidRDefault="00000000" w:rsidRPr="00000000" w14:paraId="0000029A">
      <w:pPr>
        <w:spacing w:after="200" w:line="240" w:lineRule="auto"/>
        <w:jc w:val="left"/>
        <w:rPr>
          <w:sz w:val="22"/>
          <w:szCs w:val="22"/>
        </w:rPr>
      </w:pPr>
      <w:r>
        <w:rPr>
          <w:i w:val="1"/>
          <w:iCs w:val="1"/>
          <w:sz w:val="18"/>
          <w:szCs w:val="18"/>
          <w:rtl w:val="0"/>
        </w:rPr>
        <w:t xml:space="preserve">Źródło: opracowanie własne. Liczba urazów obliczona dla całej próby (0 dla braku urazu w okresie 24 mies.).</w:t>
      </w:r>
      <w:r>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9B">
      <w:pPr>
        <w:pStyle w:val="Heading1"/>
        <w:rPr/>
      </w:pPr>
      <w:r>
        <w:rPr>
          <w:rtl w:val="0"/>
        </w:rPr>
        <w:t xml:space="preserve">Rozdział VII. Propozycje modelowych protokołów usprawniania i kryteriów Return to Play (RTP) w najczęstszych urazach piłkarskich</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VI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[RR], koncepcję rehabilitacji opartej na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[TT] oraz – w bezpośredniej odpowiedzi na deficyty wykazane w badaniu własnym – obiektywne narzędzia oceny gotowości funkcjonalnej i psychologicznej do powrotu do rywalizacji [UU, VV, WW].</w:t>
      </w:r>
    </w:p>
    <w:p w:rsidR="00000000" w:rsidDel="00000000" w:rsidP="00000000" w:rsidRDefault="00000000" w:rsidRPr="00000000" w14:paraId="0000029E">
      <w:pPr>
        <w:pStyle w:val="Heading2"/>
        <w:rPr/>
      </w:pPr>
      <w:r>
        <w:rPr>
          <w:rtl w:val="0"/>
        </w:rPr>
        <w:t xml:space="preserve">7.1. Protokół postępowania po ostrym skręceniu inwersyjnym stawu skokowego</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[QQ]. Zaproponowany protokół kładzie nacisk na wczesną, funkcjonalną mobilizację stawu w miejsce przedłużonego unieruchomienia oraz na obiektywizację kryteriów powrotu do gry, adresując bezpośrednio stwierdzony w badaniu własnym deficyt testowania funkcjonalnego.</w:t>
      </w:r>
    </w:p>
    <w:p w:rsidR="00000000" w:rsidDel="00000000" w:rsidP="00000000" w:rsidRDefault="00000000" w:rsidRPr="00000000" w14:paraId="000002A0">
      <w:pPr>
        <w:pStyle w:val="Heading3"/>
        <w:rPr/>
      </w:pPr>
      <w:r>
        <w:rPr>
          <w:rtl w:val="0"/>
        </w:rPr>
        <w:t xml:space="preserve">Faza I. Ochrona tkanek i kontrola reakcji zapalnej (doba 0.–3./5.)</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[RR]: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A2">
      <w:pPr>
        <w:pStyle w:val="Heading3"/>
        <w:rPr/>
      </w:pPr>
      <w:r>
        <w:rPr>
          <w:rtl w:val="0"/>
        </w:rPr>
        <w:t xml:space="preserve">Faza II. Odbudowa strukturalna i funkcjonalna (tydzień 1.–4.)</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 obciążanie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[RR]. Priorytetem jest przywrócenie pełnego, symetrycznego zakresu zgięcia grzbietowego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A4">
      <w:pPr>
        <w:pStyle w:val="Heading3"/>
        <w:rPr/>
      </w:pPr>
      <w:r>
        <w:rPr>
          <w:rtl w:val="0"/>
        </w:rPr>
        <w:t xml:space="preserve">Faza III. Przygotowanie specyficzne dla piłki nożnej – Return to Train (tydzień 3.–6.)</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A6">
      <w:pPr>
        <w:pStyle w:val="Heading3"/>
        <w:rPr/>
      </w:pPr>
      <w:r>
        <w:rPr>
          <w:rtl w:val="0"/>
        </w:rPr>
        <w:t xml:space="preserve">Faza IV. Obiektywne kryteria powrotu do pełnej rywalizacji (Criteria-Based Return to Play)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kończynami [XX]; (3) siła mięśni odwracaczy/nawracaczy stopy oceniona dynamometrycznie, z LSI ≥90%; (4) czas sprintu oraz wynik testu zmiany kierunku (np.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wynik Skali Kinezjofobii Tampa (TSK) poniżej progu wskazującego na klinicznie istotny lęk przed ruchem [WW]. Zgodnie z modelem decyzyjnym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 oraz konsensusem z Bern [AC] ostateczna decyzja powinna mieć charakter zespołowy – z udziałem lekarza, fizjoterapeuty i trenera przygotowania motorycznego – co stanowi bezpośrednie przeciwdziałanie modelowi ujawnionemu w badaniu własnym, w którym w 58,9% przypadków decyzję tę podejmował samodzielnie sam zawodnik.</w:t>
      </w:r>
    </w:p>
    <w:p w:rsidR="00000000" w:rsidDel="00000000" w:rsidP="00000000" w:rsidRDefault="00000000" w:rsidRPr="00000000" w14:paraId="000002A8">
      <w:pPr>
        <w:pStyle w:val="Heading2"/>
        <w:rPr/>
      </w:pPr>
      <w:r>
        <w:rPr>
          <w:rtl w:val="0"/>
        </w:rPr>
        <w:t xml:space="preserve">7.2. Protokół postępowania w urazach skrętnych stawu kolanowego / rekonstrukcji ACL</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 od izolowanego uszkodzenia więzadła pobocznego piszczelowego po rekonstrukcję więzadła krzyżowego przedniego wymagającą leczenia operacyjnego – zaproponowany protokół ma charakter ramowy, oparty na wieloośrodkowych wytycznych rehabilitacji pooperacyjnej ACL [TT],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AA">
      <w:pPr>
        <w:pStyle w:val="Heading3"/>
        <w:rPr/>
      </w:pPr>
      <w:r>
        <w:rPr>
          <w:rtl w:val="0"/>
        </w:rPr>
        <w:t xml:space="preserve">Faza I. Ochrona stawu i kontrola wysięku (tydzień 0.–2.)</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przy ograniczonym stosowaniu przedłużonej krioterapii [RR], a przede wszystkim wczesne, kontrolowane odzyskiwanie zakresu ruchu, ze szczególnym naciskiem na pełny, symetryczny wyprost bierny kolana – jeden z najsilniejszych predyktorów niekorzystnego wyniku funkcjonalnego w obserwacji odległej. Kluczowym elementem jest wczesna reedukacja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AC">
      <w:pPr>
        <w:pStyle w:val="Heading3"/>
        <w:rPr/>
      </w:pPr>
      <w:r>
        <w:rPr>
          <w:rtl w:val="0"/>
        </w:rPr>
        <w:t xml:space="preserve">Faza II. Odbudowa strukturalna i funkcjonalna (miesiąc 1.–3.)</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zgodnie z ograniczeniami właściwymi dla rodzaju przeszczepu i fazy gojenia tkanki [TT]. Równolegle prowadzi się trening propriocepcji i kontroli nerwowo-mięśniowej (stanie jednonóż z progresją zaburzeń równowagi, ćwiczenia na platformie niestabilnej), trening wytrzymałościowy o niskim obciążeniu stawu (rower stacjonarny, trening w wodzie) oraz – wobec wykazanej w badaniu własnym istotnej korelacji liczby urazów i etapowości powrotu z poziomem kinezjofobii (odpowiednio p = 0,003 i p = 0,014) –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AE">
      <w:pPr>
        <w:pStyle w:val="Heading3"/>
        <w:rPr/>
      </w:pPr>
      <w:r>
        <w:rPr>
          <w:rtl w:val="0"/>
        </w:rPr>
        <w:t xml:space="preserve">Faza III. Przygotowanie specyficzne dla piłki nożnej – Return to Train (miesiąc 4.–7.)</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 od zaplanowanych do reaktywnych, z obciążeniem poznawczym (podwójne zadanie) –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[VV]. Kryterium progresji do fazy IV: LSI siły i skoku ≥90%, brak bólu i wysięku po treningu o wysokiej intensywności.</w:t>
      </w:r>
    </w:p>
    <w:p w:rsidR="00000000" w:rsidDel="00000000" w:rsidP="00000000" w:rsidRDefault="00000000" w:rsidRPr="00000000" w14:paraId="000002B0">
      <w:pPr>
        <w:pStyle w:val="Heading3"/>
        <w:rPr/>
      </w:pPr>
      <w:r>
        <w:rPr>
          <w:rtl w:val="0"/>
        </w:rPr>
        <w:t xml:space="preserve">Faza IV. Obiektywne kryteria powrotu do pełnej rywalizacji</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[UU]; (3) symetryczny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[XX]; (4) wynik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powyżej progu wskazującego na niskie ryzyko ponownego urazu [VV]; (5) wynik Skali Kinezjofobii Tampa poniżej progu istotnego klinicznie [WW]. Wykazano, że spełnienie powyższych kryteriów przed powrotem do sportu zmniejsza ryzyko ponownego urazu więzadła nawet o 84%, a każdy dodatkowy miesiąc opóźnienia powrotu między 6. a 9. miesiącem od zabiegu redukuje to ryzyko o kolejne 51% [UU], co stanowi bezpośredni argument przeciwko modelowi czasowemu i samodzielnemu podejmowaniu decyzji o powrocie, ujawnionemu w badaniu własnym u 58,9% respondentów. Decyzja końcowa powinna mieć charakter interdyscyplinarny, zgodnie z modelem decyzyjnym RTP [AD] oraz konsensusem berneńskim [AC].</w:t>
      </w:r>
    </w:p>
    <w:p w:rsidR="00000000" w:rsidDel="00000000" w:rsidP="00000000" w:rsidRDefault="00000000" w:rsidRPr="00000000" w14:paraId="000002B2">
      <w:pPr>
        <w:pStyle w:val="Heading2"/>
        <w:rPr/>
      </w:pPr>
      <w:r>
        <w:rPr>
          <w:rtl w:val="0"/>
        </w:rPr>
        <w:t xml:space="preserve">7.3. Protokół postępowania w ostrym naciągnięciu/naderwaniu mięśni kulszowo-goleniowych (hamstring strain injury)</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 z dominującym udziałem grupy kulszowo-goleniowej – były obszarem anatomicznym wskazywanym w 21,4% przypadków. Uraz ten charakteryzuje się jednym z najwyższych w piłce nożnej wskaźników nawrotowości, sięgającym nawet 30% w pierwszym roku po powrocie do gry [YY], co pozostaje w bezpośrednim związku z wykazanym w badaniu własnym marginalnym wykorzystaniem treningu ekscentrycznego/izometrycznego, stosowanego jedynie przez 26,9% badanych mimo jego udokumentowanej skuteczności prewencyjnej [ZZ]. Zaproponowany protokół stawia pracę ekscentryczną w centrum procesu usprawniania, adresując bezpośrednio ten zidentyfikowany deficyt.</w:t>
      </w:r>
    </w:p>
    <w:p w:rsidR="00000000" w:rsidDel="00000000" w:rsidP="00000000" w:rsidRDefault="00000000" w:rsidRPr="00000000" w14:paraId="000002B4">
      <w:pPr>
        <w:pStyle w:val="Heading3"/>
        <w:rPr/>
      </w:pPr>
      <w:r>
        <w:rPr>
          <w:rtl w:val="0"/>
        </w:rPr>
        <w:t xml:space="preserve">Faza I. Ochrona tkanki i kontrola bólu (doba 0.–5.)</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unikanie agresywnego rozciągania statycznego mogącego pogłębić uszkodzenie włókien – zwłaszcza przy zajęciu wolnego ścięgna proksymalnego, lokalizacji istotnie wydłużającej czas powrotu do sportu [AB] – oraz wprowadzenie łagodnych, bezbolesnych napięć izometrycznych mięśni kulszowo-goleniowych w pozycjach niskiego obciążenia. Zgodnie z zasadami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mogą zaburzać proces regeneracji tkanki mięśniowej [RR]. Kryterium progresji do fazy II: bezbolesny chód, bezbolesne napięcie izometryczne o niskiej intensywności, brak progresji krwiaka/obrzęku.</w:t>
      </w:r>
    </w:p>
    <w:p w:rsidR="00000000" w:rsidDel="00000000" w:rsidP="00000000" w:rsidRDefault="00000000" w:rsidRPr="00000000" w14:paraId="000002B6">
      <w:pPr>
        <w:pStyle w:val="Heading3"/>
        <w:rPr/>
      </w:pPr>
      <w:r>
        <w:rPr>
          <w:rtl w:val="0"/>
        </w:rPr>
        <w:t xml:space="preserve">Faza II. Odbudowa strukturalna i funkcjonalna – progresja obciążenia ekscentrycznego (tydzień 1.–3.)</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który w badaniach porównawczych istotnie skrócił czas powrotu do pełnego treningu względem protokołu konwencjonalnego [AB]. Równolegle prowadzi się trening stabilizacji tułowia i miednicy (kontrola przechylenia miednicy, praca mięśni pośladkowych) z uwagi na ścisły funkcjonalny związek między kontrolą lędźwiowo-miedniczną a obciążeniem mięśni kulszowo-goleniowych [YY].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B8">
      <w:pPr>
        <w:pStyle w:val="Heading3"/>
        <w:rPr/>
      </w:pPr>
      <w:r>
        <w:rPr>
          <w:rtl w:val="0"/>
        </w:rPr>
        <w:t xml:space="preserve">Faza III. Przygotowanie specyficzne dla piłki nożnej – Return to Train (tydzień 3.–6.)</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kluczowym elementem tej fazy jest kontrolowana, progresywna ekspozycja na sprint o rosnącej intensywności, aż do osiągnięcia prędkości maksymalnej w warunkach kontrolowanych. Program treningu ekscentrycznego kontynuowany jest z włączeniem ćwiczenia nordyckiego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zredukowało liczbę nowych urazów mięśni kulszowo-goleniowych o 60%, a urazów nawrotowych – o 85% [ZZ].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BA">
      <w:pPr>
        <w:pStyle w:val="Heading3"/>
        <w:rPr/>
      </w:pPr>
      <w:r>
        <w:rPr>
          <w:rtl w:val="0"/>
        </w:rPr>
        <w:t xml:space="preserve">Faza IV. Obiektywne kryteria powrotu do pełnej rywalizacji</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 uznawana za najsilniejszy pojedynczy predyktor ryzyka nawrotu tego urazu [YY]; (2) wynik baterii testów skoku jednonóż jako uzupełniające potwierdzenie symetrii funkcjonalnej kończyn [UU]; (3) osiągnięcie prędkości sprintu maksymalnego odpowiadającej wartościom sprzed urazu; (4) niski poziom lęku przed ponownym urazem w Skali Kinezjofobii Tampa [WW],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[ZZ], co ma szczególne znaczenie w świetle wykazanego w badaniu własnym (podrozdział 6.3) marginalnego odsetka zawodników stosujących tę formę ćwiczeń (26,9%) pomimo jej udokumentowanej skuteczności prewencyjnej.</w:t>
      </w:r>
    </w:p>
    <w:p w:rsidR="00000000" w:rsidDel="00000000" w:rsidP="00000000" w:rsidRDefault="00000000" w:rsidRPr="00000000" w14:paraId="000002BC">
      <w:pPr>
        <w:pStyle w:val="Heading1"/>
        <w:rPr/>
      </w:pPr>
      <w:r>
        <w:rPr>
          <w:rtl w:val="0"/>
        </w:rPr>
        <w:t xml:space="preserve">Rozdział VIII. Dyskusja i wnioski</w:t>
      </w:r>
    </w:p>
    <w:p w:rsidR="00000000" w:rsidDel="00000000" w:rsidP="00000000" w:rsidRDefault="00000000" w:rsidRPr="00000000" w14:paraId="000002BD">
      <w:pPr>
        <w:pStyle w:val="Heading2"/>
        <w:rPr/>
      </w:pPr>
      <w:r>
        <w:rPr>
          <w:rtl w:val="0"/>
        </w:rPr>
        <w:t xml:space="preserve">8.1. Dyskusja wyników</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mimo odmiennej metodologii gromadzenia danych (retrospektywna ankieta samoopisowa w populacji amatorskiej/półprofesjonalnej wobec prospektywnego nadzoru medycznego w badaniach klubowych). Dominacja urazów stawu skokowego (33,9%) i kolanowego (30,4%) odpowiada wynikom UEFA Injury Study, w którym uraz mięśnia kulszowo-goleniowego i skręcenia stawu skokowego pozostają jednymi z najczęściej rejestrowanych jednostek urazowych w piłce nożnej na poziomie elitarnym [QQ]. Równy udział mechanizmu kontaktowego i bezkontaktowego w powstawaniu urazów (odpowiednio po 50,0%) potwierdza dwutorowy charakter etiologii kontuzji piłkarskich – zarówno bezpośredni kontakt z przeciwnikiem, jak i czynniki biomechaniczne związane z gwałtownymi zmianami kierunku biegu i lądowaniami, opisane szczegółowo w Rozdziale II niniejszej pracy. Zbieżność ta, mimo istotnych różnic metodologicznych między badaniami, wskazuje na uniwersalny, niezależny od poziomu sportowego charakter podstawowych mechanizmów urazowości w tej dyscyplinie.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istotnie częstszym występowaniem urazu (Me = 10 lat w grupie z urazem wobec Me = 14 lat w grupie bez urazu; p = 0,039) można wyjaśnić na kilku uzupełniających się płaszczyznach. Po pierwsze, dłuższy staż treningowy wiąże się z postępującą adaptacją strukturalną tkanek biernych – zwiększoną sztywnością i wytrzymałością mechaniczną ścięgien i więzadeł na obciążenia powtarzalne – oraz z doskonaleniem wzorców nerwowo-mięśniowych ograniczających niekorzystne obciążenia stawów. Po drugie, zawodnicy z dłuższym doświadczeniem startowym dysponują lepiej rozwiniętą świadomością ciała oraz tzw. „boiskowym sprytem” – zdolnością antycypacji sytuacji kontaktowych i wyboru bezpieczniejszych wariantów technicznych, co ogranicza ekspozycję na sytuacje wysokiego ryzyka. Nie można również wykluczyć efektu przetrwania (survivorship bias), charakterystycznego dla badań przekrojowych: zawodnicy szczególnie podatni na kontuzje mogli zakończyć aktywność sportową przed osiągnięciem dłuższego stażu, co selekcjonuje w grupie „doświadczonej” zawodników relatywnie bardziej odpornych na urazy.</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 wykazano istotnej statystycznie zależności między mechanizmem urazu (kontaktowy vs. bezkontaktowy) a rodzajem uszkodzonej tkanki (mięśnie vs. więzadła) (χ²(1) = 1,265; p = 0,261), choć w podgrupie urazów o mechanizmie kontaktowym odsetek uszkodzeń więzadłowych był liczbowo wyższy (OR = 2,31). Brak istotności statystycznej należy interpretować przede wszystkim w świetle ograniczonej liczebności analizowanej podpróby (n = 30, po wyłączeniu skręceń stawowych o niesprecyzowanej strukturze, złamań i stłuczeń), istotnie ograniczającej moc statystyczną testu. Z klinicznego punktu widzenia wynik ten nie jest zaskakujący: zarówno urazy więzadłowe (np. skręcenie stawu skokowego czy uszkodzenie ACL w mechanizmie rotacyjnym bez kontaktu), jak i urazy mięśniowe (np. naderwanie mięśnia dwugłowego uda podczas sprintu) mogą powstawać w obu mechanizmach urazowych, a o rodzaju uszkodzonej struktury decyduje w większym stopniu specyficzny wzorzec obciążenia biomechanicznego w momencie urazu niż sam fakt obecności lub braku kontaktu z przeciwnikiem. Potwierdza to zasadność klasyfikowania urazów piłkarskich raczej według swoistego mechanizmu biomechanicznego (np. inwersyjnego stawu skokowego, rotacyjnego kolana czy nagłego rozciągnięcia mięśnia w fazie zamachu) niż według uproszczonego podziału na kontaktowe i bezkontaktowe [QQ].</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badania własnego pozostaje ujawniona luka w procedurze powrotu do gry: aż 76,8% badanych nie zostało poddanych żadnym obiektywnym testom funkcjonalnym przed powrotem do pełnej aktywności, a w 58,9% przypadków decyzję o powrocie podejmował samodzielnie sam zawodnik, z pominięciem personelu medycznego. Wyniki te pozostają w jaskrawej sprzeczności z aktualnym stanem wiedzy, zgodnie z którym stosowanie modelu opartego na obiektywnych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redukuje ryzyko ponownego urazu nawet o 84% [UU], a decyzja o powrocie powinna mieć charakter zespołowy, uwzględniający ocenę stanu zdrowia, ryzyka uczestnictwa oraz czynników modyfikujących [AD, AC]. Zjawisko to prawdopodobnie odzwierciedla nie tyle brak świadomości zawodników, ile strukturalne ograniczenia dostępu do infrastruktury medycyny sportowej na poziomie amatorskim i półprofesjonalnym, dominującym w badanej próbie (94,9%). Szczególnie istotnym uzupełnieniem tego obrazu jest wymiar psychologiczny: wykazana istotna korelacja między etapowością powrotu a nasileniem kinezjofobii (p = 0,014) oraz między liczbą przebytych urazów a poziomem lęku (rho = 0,385; p = 0,003) wskazuje, że aspekt psychologiczny procesu RTP pozostaje w praktyce klinicznej systematycznie pomijany, mimo że jego przesiewowa ocena za pomocą prostych, tanich narzędzi (Skala Kinezjofobii Tampa,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mogłaby istotnie poprawić bezpieczeństwo powrotu do sportu bez istotnych nakładów organizacyjnych.</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statystycznie zależności między obecnością zorganizowanej profilaktyki klubowej a liczbą doznanych urazów (p = 0,913) stanowi pozorny paradoks w świetle silnych dowodów naukowych na skuteczność ustrukturyzowanych programów prewencyjnych typu FIFA 11+. Wyjaśnienia tego zjawiska należy szukać przede wszystkim w ograniczeniach metodologicznych właściwych badaniom przekrojowym – w zjawisku odwrotnej przyczynowości, w którym zawodnicy po przebytym poważnym urazie mogą wtórnie intensyfikować działania profilaktyczne, co zaciera w danych przekrojowych rzeczywisty, ochronny kierunek zależności. Równie istotna wydaje się powierzchowność wielu klubowych „programów profilaktycznych” zadeklarowanych przez respondentów: w badanej grupie jedynie 29,9% zawodników uczestniczyło w ustrukturyzowanej profilaktyce o charakterze zbliżonym do protokołów o udokumentowanej skuteczności, podczas gdy 33,8% ograniczało się do ogólnorozwojowej rozgrzewki przedtreningowej, pozbawionej kluczowych elementów neuromotorycznych (praca ekscentryczna, trening równowagi, plyometria). Skuteczność profilaktyki zależy nie od samego faktu jej deklarowanego istnienia, lecz od wierności jej wdrożenia (compliance) oraz zgodności z komponentami o potwierdzonej biomechanicznie skuteczności – aspektu, którego badanie o charakterze przekrojowym nie było w stanie zoperacjonalizować.</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Warto przy tym odnotować, że deklarowany w badaniu własnym niski odsetek zawodników stosujących trening ekscentryczny/izometryczny (26,9%) — formę profilaktyki dysponującą jednymi z najsilniejszych dowodów naukowych na skuteczność w zapobieganiu urazom mięśni kulszowo-goleniowych [ZZ] — koresponduje z głównymi barierami zgłaszanymi przez respondentów w stosowaniu profilaktyki: brakiem czasu (37,7%) oraz brakiem wiedzy, jak poprawnie wykonywać ćwiczenia (15,6%), a nie brakiem przekonania o skuteczności takich działań (6,5%). Sugeruje to, że stwierdzony deficyt ma charakter przede wszystkim organizacyjno-edukacyjny, a nie postawowy, i stanowi dodatkowy argument przemawiający za tym, że sama deklarowana obecność profilaktyki klubowej nie przekłada się automatycznie na wdrożenie jej najbardziej wartościowych naukowo komponentów.</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przedstawionych wyników należy prowadzić z uwzględnieniem istotnych ograniczeń metodologicznych badania własnego: (1) przekrojowy charakter badania uniemożliwia wnioskowanie o kierunku związków przyczynowo-skutkowych; (2) próba badawcza (N = 78) miała charakter wygodny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convenience sample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była zdominowana przez zawodników szczebla amatorskiego/półprofesjonalnego (94,9%), co ogranicza możliwość uogólnienia wyników na populację piłkarzy zawodowych; (3) dane o urazach sprzed maksymalnie 24 miesięcy obarczone są ryzykiem błędu pamięci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 bias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zastosowanie kwestionariusza samoopisowego niesie ryzyko obciążenia odpowiedzi społeczną aprobatą oraz obciążenia wspólną metodą pomiaru, co ma szczególne znaczenie przy interpretacji zmiennych opartych na samoocenie (np. subiektywnej oceny sprawności czy poziomu kinezjofobii).</w:t>
      </w:r>
    </w:p>
    <w:p w:rsidR="00000000" w:rsidDel="00000000" w:rsidP="00000000" w:rsidRDefault="00000000" w:rsidRPr="00000000" w14:paraId="000002C4">
      <w:pPr>
        <w:pStyle w:val="Heading2"/>
        <w:rPr/>
      </w:pPr>
      <w:r>
        <w:rPr>
          <w:rtl w:val="0"/>
        </w:rPr>
        <w:t xml:space="preserve">8.2. Wnioski końcowe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[QQ].</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 stanowiące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bookmarkStart w:colFirst="0" w:colLast="0" w:name="qtqkfcskwu0l" w:id="27"/>
    <w:bookmarkEnd w:id="27"/>
    <w:p w:rsidR="00000000" w:rsidDel="00000000" w:rsidP="00000000" w:rsidRDefault="00000000" w:rsidRPr="00000000" w14:paraId="000002CB">
      <w:pPr>
        <w:pStyle w:val="Heading1"/>
        <w:rPr/>
      </w:pPr>
      <w:r>
        <w:rPr>
          <w:rtl w:val="0"/>
        </w:rPr>
        <w:t xml:space="preserve">Bibliografia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[AA1] Bochenek, 579–586.</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[AA2] Bochenek, 587–600.</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[AA3] Bochenek, 600–609.</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Polkowski, G. G., &amp; Clohisy, J. C. Hip Biomechanics.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 Altaweel, A., Nuhmani, S., Ahsan, M., Abualait, T., &amp; Muaidi, Q. (2022). Determining the hip joint isokinetic muscle strength and range of motion of professional soccer players based on their field position.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[nowe2] Brezovar, T., Drobnič, M., &amp; Kacin, A. (2024). Foot posture index and hip joint rotation mobility in handball and soccer players.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 Hoffer, A. J., W., K., Degen, P. R. M., &amp; MSc, M. Y. (2024). The Contribution of Soft Tissue and Bony Stabilizers to the Hip Suction Seal: A Systematic Review of Biomechanical Studies.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[FF] Fanelli, G. C. Knee Dislocation.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[GG] Mesfar, W., &amp; Shirazi-Adl, A. (2005). Biomechanics of the knee joint in flexion under various quadriceps forces.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[HH] X., Liu, Q., Xu, D., Fu, J., He, Y., &amp; Huang, J. (2024). Biomechanical impact of progressive meniscal extrusion on the knee joint: a finite element analysis.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Zembaty, 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 I.</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[JJ] Timpka, T., Jacobsson, J., Bickenbach, J., Finch, C. F., Ekberg, J., &amp; Nordenfelt, L. What is a sports injury?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[KK] Wang, C., Stovitz, S., Kaufman, J. S., Steele, R. J., &amp; Shrier, I. (2024). Principles of musculoskeletal sport injuries for epidemiologists: a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 Wik, E. (2022). Growth, maturation and injuries in high-level youth football (soccer): A mini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[MM] Gurău, T., Gurau, G., Voinescu, D., Anghel, L., Onose, G., Iordan, D., Munteanu, C., Onu, I., &amp; Musat, C. (2023). Epidemiology of Injuries in Men’s Professional and Amateur Football (Part 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[NN] Lee, I., Jeong, H., &amp; Lee, S. (2020). Injury Profiles in Korean Youth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 Kolokotsios, S., Drousia, G., Koukoulithras, I., &amp; Plexousakis, M. (2021). Ankle Injuries in Soccer Players: A Narrative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[QQ] Ekstrand, J., Hägglund, M., &amp; Waldén, M. (2011). Injury incidence and injury patterns in professional football: the UEFA injury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[RR] Dubois, B., &amp; Esculier, J.-F. (2020). Soft-tissue injuries simply need PEACE and LOVE.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 Vuurberg, G., Hoorntje, A., Wink, L. M., i wsp. (2018). Diagnosis, treatment and prevention of ankle sprains: update of an evidence-based clinical guideline.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 van Melick, N., van Cingel, R. E. H., Brooijmans, F., i wsp. (2016). Evidence-based clinical practice update: practice guidelines for anterior cruciate ligament rehabilitation based on a systematic review and multidisciplinary consensus.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 Grindem, H., Snyder-Mackler, L., Moksnes, H., Engebretsen, L., &amp; Risberg, M. A. (2016). Simple decision rules can reduce reinjury risk by 84% after ACL reconstruction: the Delaware-Oslo ACL cohort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[VV] Webster, K. E., Feller, J. A., &amp; Lambros, C. (2008). Development and preliminary validation of a scale to measure the psychological impact of returning to sport following anterior cruciate ligament reconstruction surgery.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 Miller, R. P., Kori, S., &amp; Todd, D. (1991). The Tampa Scale: a measure of kinesiophobia.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 Plisky, P. J., Gorman, P. P., Butler, R. J., Kiesel, K. B., Underwood, F. B., &amp; Elkins, B. (2009). The reliability of an instrumented device for measuring components of the star excursion balance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[YY] Heiderscheit, B. C., Sherry, M. A., Silder, A., Chumanov, E. S., &amp; Thelen, D. G. (2010). Hamstring strain injuries: recommendations for diagnosis, rehabilitation, and injury prevention.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[ZZ] Petersen, J., Thorborg, K., Nielsen, M. B., Budtz-Jørgensen, E., &amp; Hölmich, P. (2011). Preventive effect of eccentric training on acute hamstring injuries in men's soccer: a cluster-randomized controlled trial.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 Askling, C. M., Tengvar, M., Tarassova, O., &amp; Thorstensson, A. (2014). Acute hamstring injuries in Swedish elite sprinters and jumpers: a prospective randomised controlled clinical trial comparing two rehabilitation protocols.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 Ardern, C. L., Glasgow, P., Schneiders, A., i wsp. (2016). 2016 Consensus statement on return to sport from the First World Congress in Sports Physical Therapy, Bern.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Creighton, D. W., Shrier, I., Shultz, R., Meeuwisse, W. H., &amp; Matheson, G. O. (2010). Return-to-play in sport: a decision-based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 prosimy o jej uzupełnienie przed oddaniem pracy, jeśli jest wykorzystywana w dalszych, nieprzesłanych fragmentach (Rozdział IV, Dyskusja, Wnioski).</w:t>
      </w:r>
      <w:r>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