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8"/>
        </w:rPr>
        <w:t>Streszczenie</w:t>
      </w:r>
    </w:p>
    <w:p>
      <w:pPr>
        <w:spacing w:line="360" w:lineRule="auto" w:after="120"/>
        <w:jc w:val="both"/>
      </w:pPr>
      <w:r>
        <w:rPr>
          <w:rFonts w:ascii="Times New Roman" w:hAnsi="Times New Roman"/>
          <w:b/>
          <w:sz w:val="24"/>
        </w:rPr>
        <w:t xml:space="preserve">Wstęp i cel: </w:t>
      </w:r>
      <w:r>
        <w:rPr>
          <w:rFonts w:ascii="Times New Roman" w:hAnsi="Times New Roman"/>
          <w:sz w:val="24"/>
        </w:rPr>
        <w:t>Urazy kończyn dolnych stanowią istotny problem medycyny sportowej w piłce nożnej, wpływając na czasową niezdolność zawodnika do gry oraz ryzyko nawrotu kontuzji. Celem pracy była analiza epidemiologii tych urazów, ocena procesu usprawniania i kryteriów powrotu do gry (Return to Play, RTP) oraz opracowanie modelowych protokołów postępowania fizjoterapeutycznego.</w:t>
      </w:r>
    </w:p>
    <w:p>
      <w:pPr>
        <w:spacing w:line="360" w:lineRule="auto" w:after="120"/>
        <w:jc w:val="both"/>
      </w:pPr>
      <w:r>
        <w:rPr>
          <w:rFonts w:ascii="Times New Roman" w:hAnsi="Times New Roman"/>
          <w:b/>
          <w:sz w:val="24"/>
        </w:rPr>
        <w:t xml:space="preserve">Materiał i metody: </w:t>
      </w:r>
      <w:r>
        <w:rPr>
          <w:rFonts w:ascii="Times New Roman" w:hAnsi="Times New Roman"/>
          <w:sz w:val="24"/>
        </w:rPr>
        <w:t>Badaniem objęto N = 78 czynnych zawodników, głównie szczebla amatorskiego i półprofesjonalnego (94,9%). Zastosowano autorski kwestionariusz internetowy, obejmujący moduł urazowy (n = 56 zawodników z urazem w ostatnich 24 miesiącach) oraz moduł profilaktyczny, wypełniany przez całą próbę. Analizę statystyczną przeprowadzono z użyciem testu Shapiro-Wilka, testu U Manna-Whitneya, korelacji rang Spearmana, testu chi-kwadrat Pearsona oraz dokładnego testu Fishera (p &lt; 0,05).</w:t>
      </w:r>
    </w:p>
    <w:p>
      <w:pPr>
        <w:spacing w:line="360" w:lineRule="auto" w:after="120"/>
        <w:jc w:val="both"/>
      </w:pPr>
      <w:r>
        <w:rPr>
          <w:rFonts w:ascii="Times New Roman" w:hAnsi="Times New Roman"/>
          <w:b/>
          <w:sz w:val="24"/>
        </w:rPr>
        <w:t xml:space="preserve">Wyniki: </w:t>
      </w:r>
      <w:r>
        <w:rPr>
          <w:rFonts w:ascii="Times New Roman" w:hAnsi="Times New Roman"/>
          <w:sz w:val="24"/>
        </w:rPr>
        <w:t>Uraz kończyny dolnej zgłosiło 71,8% badanych (n = 56), najczęściej w obrębie stawu skokowego (33,9%), kolanowego (30,4%) i mięśni uda (21,4%), przy równym udziale mechanizmów kontaktowych i bezkontaktowych (po 50,0%). Zawodnicy z krótszym stażem doznawali urazów istotnie częściej (mediana 10 wobec 14 lat, p = 0,039), bez istotnych zależności dla wieku, poziomu rozgrywkowego i mechanizmu urazu względem rodzaju tkanki. Wykazano istotną lukę w procesie RTP, 76,8% zawodników nie przeszło testów funkcjonalnych, a 58,9% decydowało o powrocie samodzielnie. Etapowość powrotu wiązała się istotnie z kinezjofobią (p = 0,014), a liczba urazów dodatnio korelowała z jej nasileniem (rho = 0,385, p = 0,003). Profilaktyka klubowa nie miała istotnego związku z liczbą urazów (p = 0,913), a ćwiczenia ekscentryczne stosowało jedynie 26,9% badanych.</w:t>
      </w:r>
    </w:p>
    <w:p>
      <w:pPr>
        <w:spacing w:line="360" w:lineRule="auto" w:after="120"/>
        <w:jc w:val="both"/>
      </w:pPr>
      <w:r>
        <w:rPr>
          <w:rFonts w:ascii="Times New Roman" w:hAnsi="Times New Roman"/>
          <w:b/>
          <w:sz w:val="24"/>
        </w:rPr>
        <w:t xml:space="preserve">Wnioski: </w:t>
      </w:r>
      <w:r>
        <w:rPr>
          <w:rFonts w:ascii="Times New Roman" w:hAnsi="Times New Roman"/>
          <w:sz w:val="24"/>
        </w:rPr>
        <w:t>Wyniki wskazują na istotną lukę w procedurze powrotu do gry w amatorskiej piłce nożnej, opartej głównie na decyzji zawodnika, nie na kryteriach obiektywnych. Konieczne jest wdrożenie modelu opartego na obiektywnych kryteriach funkcjonalnych (criteria-based Return to Play) oraz monitorowanie kinezjofobii jako czynnika ryzyka nawrotu urazu. Praktycznym efektem pracy są modelowe protokoły usprawniania dla najczęstszych urazów stawu skokowego i kolanowego, uwzględniające etapowość powrotu do gry.</w:t>
      </w:r>
    </w:p>
    <w:p>
      <w:pPr>
        <w:spacing w:line="360" w:lineRule="auto" w:after="120"/>
        <w:jc w:val="both"/>
      </w:pPr>
      <w:r>
        <w:rPr>
          <w:rFonts w:ascii="Times New Roman" w:hAnsi="Times New Roman"/>
          <w:b/>
          <w:sz w:val="24"/>
        </w:rPr>
        <w:t xml:space="preserve">Słowa kluczowe: </w:t>
      </w:r>
      <w:r>
        <w:rPr>
          <w:rFonts w:ascii="Times New Roman" w:hAnsi="Times New Roman"/>
          <w:sz w:val="24"/>
        </w:rPr>
        <w:t>piłka nożna, urazy kończyn dolnych, rehabilitacja sportowa, return to play, kinezjofobia.</w:t>
      </w:r>
    </w:p>
    <w:p>
      <w:r>
        <w:br w:type="page"/>
      </w:r>
    </w:p>
    <w:p>
      <w:pPr>
        <w:spacing w:line="360" w:lineRule="auto" w:after="120"/>
        <w:jc w:val="center"/>
      </w:pPr>
      <w:r>
        <w:rPr>
          <w:rFonts w:ascii="Times New Roman" w:hAnsi="Times New Roman"/>
          <w:b/>
          <w:sz w:val="28"/>
        </w:rPr>
        <w:t>Abstract</w:t>
      </w:r>
    </w:p>
    <w:p>
      <w:pPr>
        <w:spacing w:line="360" w:lineRule="auto" w:after="120"/>
        <w:jc w:val="both"/>
      </w:pPr>
      <w:r>
        <w:rPr>
          <w:rFonts w:ascii="Times New Roman" w:hAnsi="Times New Roman"/>
          <w:b/>
          <w:sz w:val="24"/>
        </w:rPr>
        <w:t xml:space="preserve">Introduction and Aim: </w:t>
      </w:r>
      <w:r>
        <w:rPr>
          <w:rFonts w:ascii="Times New Roman" w:hAnsi="Times New Roman"/>
          <w:sz w:val="24"/>
        </w:rPr>
        <w:t>Lower limb injuries are a major concern in football, contributing to time loss from competition and an increased risk of re-injury. This study aimed to analyse the epidemiology of these injuries, evaluate the rehabilitation process and Return to Play (RTP) criteria, and develop criteria-based rehabilitation protocols.</w:t>
      </w:r>
    </w:p>
    <w:p>
      <w:pPr>
        <w:spacing w:line="360" w:lineRule="auto" w:after="120"/>
        <w:jc w:val="both"/>
      </w:pPr>
      <w:r>
        <w:rPr>
          <w:rFonts w:ascii="Times New Roman" w:hAnsi="Times New Roman"/>
          <w:b/>
          <w:sz w:val="24"/>
        </w:rPr>
        <w:t xml:space="preserve">Material and Methods: </w:t>
      </w:r>
      <w:r>
        <w:rPr>
          <w:rFonts w:ascii="Times New Roman" w:hAnsi="Times New Roman"/>
          <w:sz w:val="24"/>
        </w:rPr>
        <w:t>The study included N = 78 active football players, mostly of amateur and semi-professional level (94.9%). An original online questionnaire was used, comprising an injury module (n = 56 players with a qualifying injury within 24 months) and a prevention module completed by the whole sample. Statistical analysis used the Shapiro-Wilk, Mann-Whitney U, Spearman correlation, Pearson chi-square, and Fisher exact tests (p &lt; 0.05).</w:t>
      </w:r>
    </w:p>
    <w:p>
      <w:pPr>
        <w:spacing w:line="360" w:lineRule="auto" w:after="120"/>
        <w:jc w:val="both"/>
      </w:pPr>
      <w:r>
        <w:rPr>
          <w:rFonts w:ascii="Times New Roman" w:hAnsi="Times New Roman"/>
          <w:b/>
          <w:sz w:val="24"/>
        </w:rPr>
        <w:t xml:space="preserve">Results: </w:t>
      </w:r>
      <w:r>
        <w:rPr>
          <w:rFonts w:ascii="Times New Roman" w:hAnsi="Times New Roman"/>
          <w:sz w:val="24"/>
        </w:rPr>
        <w:t>A qualifying injury was reported by 71.8% of players (n = 56), most often affecting the ankle (33.9%), knee (30.4%), and thigh muscles, mainly hamstrings (21.4%), with contact and non-contact mechanisms equally distributed (50.0% each). Players with shorter experience were injured significantly more often (median 10 versus 14 years, p = 0.039), with no significant associations for age, league level, or mechanism versus tissue type. A major RTP gap emerged: 76.8% underwent no functional testing and 58.9% decided on return independently. Staged return correlated with kinesiophobia (p = 0.014), and injury count correlated positively with its severity (rho = 0.385, p = 0.003). Club prevention programmes showed no significant link with injury count (p = 0.913); eccentric exercises were used by only 26.9% of respondents.</w:t>
      </w:r>
    </w:p>
    <w:p>
      <w:pPr>
        <w:spacing w:line="360" w:lineRule="auto" w:after="120"/>
        <w:jc w:val="both"/>
      </w:pPr>
      <w:r>
        <w:rPr>
          <w:rFonts w:ascii="Times New Roman" w:hAnsi="Times New Roman"/>
          <w:b/>
          <w:sz w:val="24"/>
        </w:rPr>
        <w:t xml:space="preserve">Conclusions: </w:t>
      </w:r>
      <w:r>
        <w:rPr>
          <w:rFonts w:ascii="Times New Roman" w:hAnsi="Times New Roman"/>
          <w:sz w:val="24"/>
        </w:rPr>
        <w:t>Results indicate a substantial gap in Return to Play management, driven mainly by the player's own judgement rather than objective criteria. Time-based protocols should be replaced with criteria-based Return to Play, incorporating objective measures such as the Limb Symmetry Index (LSI) and routine kinesiophobia screening with validated tools such as the Tampa Scale of Kinesiophobia (TSK). The thesis proposes model rehabilitation protocols for the most common football injuries, including ankle sprain and knee ligament injuries, structured around staged progression and objective return-to-play criteria.</w:t>
      </w:r>
    </w:p>
    <w:p>
      <w:pPr>
        <w:spacing w:line="360" w:lineRule="auto" w:after="120"/>
        <w:jc w:val="both"/>
      </w:pPr>
      <w:r>
        <w:rPr>
          <w:rFonts w:ascii="Times New Roman" w:hAnsi="Times New Roman"/>
          <w:b/>
          <w:sz w:val="24"/>
        </w:rPr>
        <w:t xml:space="preserve">Keywords: </w:t>
      </w:r>
      <w:r>
        <w:rPr>
          <w:rFonts w:ascii="Times New Roman" w:hAnsi="Times New Roman"/>
          <w:sz w:val="24"/>
        </w:rPr>
        <w:t>soccer, lower limb injuries, sports rehabilitation, return to play, kinesiophobia.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