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spacing w:after="320" w:before="700"/>
        <w:jc w:val="center"/>
      </w:pPr>
      <w:r>
        <w:rPr>
          <w:rFonts w:ascii="Aptos Display" w:hAnsi="Aptos Display"/>
          <w:b/>
          <w:color w:val="000000"/>
          <w:sz w:val="48"/>
        </w:rPr>
        <w:t>VIX and Future SP500 Volatility</w:t>
      </w:r>
    </w:p>
    <w:p>
      <w:pPr>
        <w:keepNext/>
        <w:pageBreakBefore w:val="0"/>
        <w:widowControl/>
        <w:spacing w:after="520"/>
        <w:jc w:val="center"/>
      </w:pPr>
      <w:r>
        <w:rPr>
          <w:rFonts w:ascii="Aptos Display" w:hAnsi="Aptos Display"/>
          <w:b/>
          <w:color w:val="000000"/>
          <w:sz w:val="36"/>
        </w:rPr>
        <w:t>Revised Pair Project Proposal</w:t>
      </w:r>
    </w:p>
    <w:p>
      <w:pPr>
        <w:keepNext w:val="0"/>
        <w:pageBreakBefore w:val="0"/>
        <w:widowControl/>
        <w:spacing w:after="100" w:line="259" w:lineRule="auto"/>
        <w:jc w:val="center"/>
      </w:pPr>
      <w:r>
        <w:rPr>
          <w:rFonts w:ascii="Aptos" w:hAnsi="Aptos"/>
          <w:b w:val="0"/>
          <w:color w:val="000000"/>
          <w:sz w:val="21"/>
        </w:rPr>
        <w:t>Course  CISC7204 Data Science and Data Visualization</w:t>
      </w:r>
    </w:p>
    <w:p>
      <w:pPr>
        <w:keepNext w:val="0"/>
        <w:pageBreakBefore w:val="0"/>
        <w:widowControl/>
        <w:spacing w:after="100" w:line="259" w:lineRule="auto"/>
        <w:jc w:val="center"/>
      </w:pPr>
      <w:r>
        <w:rPr>
          <w:rFonts w:ascii="Aptos" w:hAnsi="Aptos"/>
          <w:b w:val="0"/>
          <w:color w:val="000000"/>
          <w:sz w:val="21"/>
        </w:rPr>
        <w:t>Assessment  Assignment 02 Revised Project Proposal</w:t>
      </w:r>
    </w:p>
    <w:p>
      <w:pPr>
        <w:keepNext w:val="0"/>
        <w:pageBreakBefore w:val="0"/>
        <w:widowControl/>
        <w:spacing w:after="100" w:line="259" w:lineRule="auto"/>
        <w:jc w:val="center"/>
      </w:pPr>
      <w:r>
        <w:rPr>
          <w:rFonts w:ascii="Aptos" w:hAnsi="Aptos"/>
          <w:b w:val="0"/>
          <w:color w:val="000000"/>
          <w:sz w:val="21"/>
        </w:rPr>
        <w:t>Class K  Pair 02</w:t>
      </w:r>
    </w:p>
    <w:p>
      <w:pPr>
        <w:keepNext w:val="0"/>
        <w:pageBreakBefore w:val="0"/>
        <w:widowControl/>
        <w:spacing w:after="140" w:line="259" w:lineRule="auto" w:before="280"/>
        <w:jc w:val="center"/>
      </w:pPr>
      <w:r>
        <w:rPr>
          <w:rFonts w:ascii="Aptos" w:hAnsi="Aptos"/>
          <w:b/>
          <w:color w:val="000000"/>
          <w:sz w:val="21"/>
        </w:rPr>
        <w:t>Pair members</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128"/>
      </w:tblGrid>
      <w:tr>
        <w:trPr>
          <w:cantSplit/>
          <w:tblHeader/>
        </w:trPr>
        <w:tc>
          <w:tcPr>
            <w:tcW w:type="dxa" w:w="2160"/>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21"/>
              </w:rPr>
              <w:t>Student ID</w:t>
            </w:r>
          </w:p>
        </w:tc>
        <w:tc>
          <w:tcPr>
            <w:tcW w:type="dxa" w:w="7128"/>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21"/>
              </w:rPr>
              <w:t>Student name</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21"/>
              </w:rPr>
              <w:t>MC666313</w:t>
            </w:r>
          </w:p>
        </w:tc>
        <w:tc>
          <w:tcPr>
            <w:tcW w:type="dxa" w:w="71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21"/>
              </w:rPr>
              <w:t>OSCAR CARRANZA JIMENEZ</w:t>
            </w:r>
          </w:p>
        </w:tc>
      </w:tr>
      <w:tr>
        <w:trPr>
          <w:cantSplit/>
        </w:trPr>
        <w:tc>
          <w:tcPr>
            <w:tcW w:type="dxa" w:w="2160"/>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21"/>
              </w:rPr>
              <w:t>MC648349</w:t>
            </w:r>
          </w:p>
        </w:tc>
        <w:tc>
          <w:tcPr>
            <w:tcW w:type="dxa" w:w="7128"/>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21"/>
              </w:rPr>
              <w:t>HUANG RENCONG</w:t>
            </w:r>
          </w:p>
        </w:tc>
      </w:tr>
    </w:tbl>
    <w:p>
      <w:pPr>
        <w:keepNext w:val="0"/>
        <w:pageBreakBefore w:val="0"/>
        <w:widowControl/>
        <w:spacing w:after="80" w:line="259" w:lineRule="auto" w:before="340"/>
        <w:jc w:val="center"/>
      </w:pPr>
      <w:r>
        <w:rPr>
          <w:rFonts w:ascii="Aptos" w:hAnsi="Aptos"/>
          <w:b w:val="0"/>
          <w:color w:val="000000"/>
          <w:sz w:val="21"/>
        </w:rPr>
        <w:t>Region  United States</w:t>
      </w:r>
    </w:p>
    <w:p>
      <w:pPr>
        <w:keepNext w:val="0"/>
        <w:pageBreakBefore w:val="0"/>
        <w:widowControl/>
        <w:spacing w:after="80" w:line="259" w:lineRule="auto"/>
        <w:jc w:val="center"/>
      </w:pPr>
      <w:r>
        <w:rPr>
          <w:rFonts w:ascii="Aptos" w:hAnsi="Aptos"/>
          <w:b w:val="0"/>
          <w:color w:val="000000"/>
          <w:sz w:val="21"/>
        </w:rPr>
        <w:t>Domain  Financial markets and volatility</w:t>
      </w:r>
    </w:p>
    <w:p>
      <w:pPr>
        <w:keepNext w:val="0"/>
        <w:pageBreakBefore w:val="0"/>
        <w:widowControl/>
        <w:spacing w:after="80" w:line="259" w:lineRule="auto"/>
        <w:jc w:val="center"/>
      </w:pPr>
      <w:r>
        <w:rPr>
          <w:rFonts w:ascii="Aptos" w:hAnsi="Aptos"/>
          <w:b w:val="0"/>
          <w:color w:val="000000"/>
          <w:sz w:val="21"/>
        </w:rPr>
        <w:t>Date  22 October 2026</w:t>
      </w:r>
    </w:p>
    <w:p>
      <w:pPr>
        <w:keepNext w:val="0"/>
        <w:pageBreakBefore w:val="0"/>
        <w:widowControl/>
        <w:spacing w:after="160" w:line="259" w:lineRule="auto" w:before="400"/>
        <w:jc w:val="center"/>
      </w:pPr>
      <w:r>
        <w:rPr>
          <w:rFonts w:ascii="Aptos" w:hAnsi="Aptos"/>
          <w:b w:val="0"/>
          <w:color w:val="000000"/>
          <w:sz w:val="21"/>
        </w:rPr>
        <w:t>A reproducible visual study of how option-implied volatility relates to the S&amp;P 500 volatility observed over the following month.</w:t>
      </w:r>
    </w:p>
    <w:p>
      <w:pPr>
        <w:keepNext w:val="0"/>
        <w:pageBreakBefore w:val="0"/>
        <w:widowControl/>
        <w:spacing w:after="80" w:line="259" w:lineRule="auto"/>
        <w:jc w:val="center"/>
      </w:pPr>
      <w:r>
        <w:rPr>
          <w:rFonts w:ascii="Aptos" w:hAnsi="Aptos"/>
          <w:b w:val="0"/>
          <w:color w:val="000000"/>
          <w:sz w:val="20"/>
        </w:rPr>
        <w:t>Developed from Oscar Carranza Jimenez's Assignment 01 preliminary proposal. The allocation of future pair responsibilities is proposed for partner review.</w:t>
      </w:r>
    </w:p>
    <w:p>
      <w:r>
        <w:br w:type="page"/>
      </w:r>
    </w:p>
    <w:p>
      <w:pPr>
        <w:pStyle w:val="Heading1"/>
        <w:keepNext/>
        <w:pageBreakBefore w:val="0"/>
        <w:widowControl/>
        <w:spacing w:before="160" w:after="60"/>
      </w:pPr>
      <w:r>
        <w:rPr>
          <w:rFonts w:ascii="Aptos" w:hAnsi="Aptos"/>
          <w:b/>
          <w:color w:val="000000"/>
          <w:sz w:val="26"/>
        </w:rPr>
        <w:t>Project topic and research question</w:t>
      </w:r>
    </w:p>
    <w:p>
      <w:pPr>
        <w:keepNext w:val="0"/>
        <w:pageBreakBefore w:val="0"/>
        <w:widowControl/>
        <w:spacing w:after="80" w:line="259" w:lineRule="auto"/>
      </w:pPr>
      <w:r>
        <w:rPr>
          <w:rFonts w:ascii="Aptos" w:hAnsi="Aptos"/>
          <w:b w:val="0"/>
          <w:color w:val="000000"/>
          <w:sz w:val="21"/>
        </w:rPr>
        <w:t>How strongly does the closing Cboe Volatility Index (VIX) relate to S&amp;P 500 realized volatility over the next 22 trading days, and how do its bias and forecasting error differ between low, medium and high VIX conditions?</w:t>
      </w:r>
    </w:p>
    <w:p>
      <w:pPr>
        <w:keepNext w:val="0"/>
        <w:pageBreakBefore w:val="0"/>
        <w:widowControl/>
        <w:spacing w:after="80" w:line="259" w:lineRule="auto"/>
      </w:pPr>
      <w:r>
        <w:rPr>
          <w:rFonts w:ascii="Aptos" w:hAnsi="Aptos"/>
          <w:b w:val="0"/>
          <w:color w:val="000000"/>
          <w:sz w:val="21"/>
        </w:rPr>
        <w:t>We will distinguish three questions: whether VIX and subsequent volatility move together; whether VIX systematically exceeds or falls below the realized outcome; and whether VIX adds useful forecasting information compared with recent historical volatility. A positive correlation alone would not answer all three.</w:t>
      </w:r>
    </w:p>
    <w:p>
      <w:pPr>
        <w:pStyle w:val="Heading1"/>
        <w:keepNext/>
        <w:pageBreakBefore w:val="0"/>
        <w:widowControl/>
        <w:spacing w:before="160" w:after="60"/>
      </w:pPr>
      <w:r>
        <w:rPr>
          <w:rFonts w:ascii="Aptos" w:hAnsi="Aptos"/>
          <w:b/>
          <w:color w:val="000000"/>
          <w:sz w:val="26"/>
        </w:rPr>
        <w:t>Purpose and expected learning</w:t>
      </w:r>
    </w:p>
    <w:p>
      <w:pPr>
        <w:keepNext w:val="0"/>
        <w:pageBreakBefore w:val="0"/>
        <w:widowControl/>
        <w:spacing w:after="80" w:line="259" w:lineRule="auto"/>
      </w:pPr>
      <w:r>
        <w:rPr>
          <w:rFonts w:ascii="Aptos" w:hAnsi="Aptos"/>
          <w:b w:val="0"/>
          <w:color w:val="000000"/>
          <w:sz w:val="21"/>
        </w:rPr>
        <w:t>The project will explain the relationship between market expectations and subsequent outcomes through a reproducible analysis and a small set of connected visualizations. It develops skills in pandas data cleaning, time-series alignment, statistical comparison, Matplotlib and Seaborn, and optional Plotly interaction. It also connects course learning to financial risk communication.</w:t>
      </w:r>
    </w:p>
    <w:p>
      <w:pPr>
        <w:keepNext w:val="0"/>
        <w:pageBreakBefore w:val="0"/>
        <w:widowControl/>
        <w:spacing w:after="80" w:line="259" w:lineRule="auto"/>
      </w:pPr>
      <w:r>
        <w:rPr>
          <w:rFonts w:ascii="Aptos" w:hAnsi="Aptos"/>
          <w:b w:val="0"/>
          <w:color w:val="000000"/>
          <w:sz w:val="21"/>
        </w:rPr>
        <w:t>VIX expresses annualized volatility implied by S&amp;P 500 option prices over a constant 30-day horizon (Doar, 2023). Realized volatility is calculated from returns observed afterward. A gap between them can reflect several effects, including compensation for risk and unexpected shocks. Our comparison will not identify a pure variance risk premium or establish causation (Bekaert &amp; Hoerova, 2014).</w:t>
      </w:r>
    </w:p>
    <w:p>
      <w:pPr>
        <w:pStyle w:val="Heading1"/>
        <w:keepNext/>
        <w:pageBreakBefore w:val="0"/>
        <w:widowControl/>
        <w:spacing w:before="160" w:after="60"/>
      </w:pPr>
      <w:r>
        <w:rPr>
          <w:rFonts w:ascii="Aptos" w:hAnsi="Aptos"/>
          <w:b/>
          <w:color w:val="000000"/>
          <w:sz w:val="26"/>
        </w:rPr>
        <w:t>Refinements from Assignment 01</w:t>
      </w:r>
    </w:p>
    <w:p>
      <w:pPr>
        <w:keepNext w:val="0"/>
        <w:pageBreakBefore w:val="0"/>
        <w:widowControl/>
        <w:spacing w:after="80" w:line="259" w:lineRule="auto"/>
      </w:pPr>
      <w:r>
        <w:rPr>
          <w:rFonts w:ascii="Aptos" w:hAnsi="Aptos"/>
          <w:b w:val="0"/>
          <w:color w:val="000000"/>
          <w:sz w:val="21"/>
        </w:rPr>
        <w:t>The original topic and two sources are retained. This revision fixes the sample window, specifies the forward calculation and missing-data rules, adds a historical-volatility benchmark and a chronological holdout, makes the non-overlapping-window check a required validation step, and translates the charts into explicit research questions. It also introduces a proposed pair workflow and measurable completion criteria. The analysis is planned; empirical findings have not yet been calculated.</w:t>
      </w:r>
    </w:p>
    <w:p>
      <w:pPr>
        <w:pStyle w:val="Heading1"/>
        <w:keepNext/>
        <w:pageBreakBefore w:val="0"/>
        <w:widowControl/>
        <w:spacing w:before="160" w:after="60"/>
      </w:pPr>
      <w:r>
        <w:rPr>
          <w:rFonts w:ascii="Aptos" w:hAnsi="Aptos"/>
          <w:b/>
          <w:color w:val="000000"/>
          <w:sz w:val="26"/>
        </w:rPr>
        <w:t>Data sources and scope</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52"/>
        <w:gridCol w:w="6336"/>
      </w:tblGrid>
      <w:tr>
        <w:trPr>
          <w:cantSplit/>
          <w:tblHeader/>
        </w:trPr>
        <w:tc>
          <w:tcPr>
            <w:tcW w:type="dxa" w:w="2952"/>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19"/>
              </w:rPr>
              <w:t>Dataset and source</w:t>
            </w:r>
          </w:p>
        </w:tc>
        <w:tc>
          <w:tcPr>
            <w:tcW w:type="dxa" w:w="6336"/>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19"/>
              </w:rPr>
              <w:t>Measurement and analytical use</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S&amp;P 500</w:t>
              <w:br/>
              <w:t>FRED series SP500</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Daily closing price index. Used to calculate log returns and historical and forward realized volatility. The series excludes dividends.</w:t>
            </w:r>
          </w:p>
        </w:tc>
      </w:tr>
      <w:tr>
        <w:trPr>
          <w:cantSplit/>
        </w:trPr>
        <w:tc>
          <w:tcPr>
            <w:tcW w:type="dxa" w:w="2952"/>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Cboe VIX</w:t>
              <w:br/>
              <w:t>FRED series VIXCLS</w:t>
            </w:r>
          </w:p>
        </w:tc>
        <w:tc>
          <w:tcPr>
            <w:tcW w:type="dxa" w:w="6336"/>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Daily closing VIX level. Used as the expectation observed at the forecast origin. Its numerical level is interpreted in annualized percentage units.</w:t>
            </w:r>
          </w:p>
        </w:tc>
      </w:tr>
    </w:tbl>
    <w:p>
      <w:pPr>
        <w:keepNext w:val="0"/>
        <w:pageBreakBefore w:val="0"/>
        <w:widowControl/>
        <w:spacing w:after="80" w:line="259" w:lineRule="auto" w:before="100"/>
      </w:pPr>
      <w:r>
        <w:rPr>
          <w:rFonts w:ascii="Aptos" w:hAnsi="Aptos"/>
          <w:b w:val="0"/>
          <w:color w:val="000000"/>
          <w:sz w:val="21"/>
        </w:rPr>
        <w:t xml:space="preserve">Dataset links: </w:t>
      </w:r>
      <w:hyperlink r:id="rId9">
        <w:r>
          <w:rPr>
            <w:color w:val="0563C1"/>
            <w:u w:val="single"/>
          </w:rPr>
          <w:t>S&amp;P 500 SP500</w:t>
        </w:r>
      </w:hyperlink>
      <w:r>
        <w:t xml:space="preserve"> | </w:t>
      </w:r>
      <w:hyperlink r:id="rId10">
        <w:r>
          <w:rPr>
            <w:color w:val="0563C1"/>
            <w:u w:val="single"/>
          </w:rPr>
          <w:t>Cboe VIX VIXCLS</w:t>
        </w:r>
      </w:hyperlink>
    </w:p>
    <w:p>
      <w:pPr>
        <w:keepNext w:val="0"/>
        <w:pageBreakBefore w:val="0"/>
        <w:widowControl/>
        <w:spacing w:after="80" w:line="259" w:lineRule="auto"/>
      </w:pPr>
      <w:r>
        <w:rPr>
          <w:rFonts w:ascii="Aptos" w:hAnsi="Aptos"/>
          <w:b w:val="0"/>
          <w:color w:val="000000"/>
          <w:sz w:val="21"/>
        </w:rPr>
        <w:t>The planned raw-data window is 1 January 2017 to 30 September 2026, subject to the common valid observations. FRED provides ten years of daily S&amp;P 500 history; we will preserve a dated snapshot and report the actual dates and row counts. These two sources are sufficient for the core research question. Public accessibility does not remove source copyright restrictions; raw-data redistribution will follow provider terms.</w:t>
      </w:r>
    </w:p>
    <w:p>
      <w:r>
        <w:br w:type="page"/>
      </w:r>
    </w:p>
    <w:p>
      <w:pPr>
        <w:pStyle w:val="Heading1"/>
        <w:keepNext/>
        <w:pageBreakBefore w:val="0"/>
        <w:widowControl/>
        <w:spacing w:before="160" w:after="60"/>
      </w:pPr>
      <w:r>
        <w:rPr>
          <w:rFonts w:ascii="Aptos" w:hAnsi="Aptos"/>
          <w:b/>
          <w:color w:val="000000"/>
          <w:sz w:val="26"/>
        </w:rPr>
        <w:t>Project tasks and analytical method</w:t>
      </w:r>
    </w:p>
    <w:p>
      <w:pPr>
        <w:keepNext w:val="0"/>
        <w:pageBreakBefore w:val="0"/>
        <w:widowControl/>
        <w:spacing w:after="80" w:line="259" w:lineRule="auto"/>
      </w:pPr>
      <w:r>
        <w:rPr>
          <w:rFonts w:ascii="Aptos" w:hAnsi="Aptos"/>
          <w:b w:val="0"/>
          <w:color w:val="000000"/>
          <w:sz w:val="21"/>
        </w:rPr>
        <w:t>1. Acquire and document. Download both daily series, record retrieval date, source links and units, and keep the original files unchanged. Create a data dictionary and an audit of raw and usable rows.</w:t>
      </w:r>
    </w:p>
    <w:p>
      <w:pPr>
        <w:keepNext w:val="0"/>
        <w:pageBreakBefore w:val="0"/>
        <w:widowControl/>
        <w:spacing w:after="80" w:line="259" w:lineRule="auto"/>
      </w:pPr>
      <w:r>
        <w:rPr>
          <w:rFonts w:ascii="Aptos" w:hAnsi="Aptos"/>
          <w:b w:val="0"/>
          <w:color w:val="000000"/>
          <w:sz w:val="21"/>
        </w:rPr>
        <w:t>2. Clean without filling prices. Parse dates, convert missing markers to null values, sort ascending and check duplicate dates and nonpositive prices. Do not interpolate or forward-fill holidays. Investigate unexpected missing market-day prices and exclude returns crossing unresolved missing observations and any affected volatility windows.</w:t>
      </w:r>
    </w:p>
    <w:p>
      <w:pPr>
        <w:keepNext w:val="0"/>
        <w:pageBreakBefore w:val="0"/>
        <w:widowControl/>
        <w:spacing w:after="80" w:line="259" w:lineRule="auto"/>
      </w:pPr>
      <w:r>
        <w:rPr>
          <w:rFonts w:ascii="Aptos" w:hAnsi="Aptos"/>
          <w:b w:val="0"/>
          <w:color w:val="000000"/>
          <w:sz w:val="21"/>
        </w:rPr>
        <w:t>3. Calculate returns on the price calendar. For each valid consecutive S&amp;P 500 close, calculate r(t) = ln[P(t) / P(t-1)]. Compute the volatility windows on that calendar first, then join VIX at the forecast-origin date. This prevents a missing VIX value from changing which price observations belong to a window.</w:t>
      </w:r>
    </w:p>
    <w:p>
      <w:pPr>
        <w:keepNext w:val="0"/>
        <w:pageBreakBefore w:val="0"/>
        <w:widowControl/>
        <w:spacing w:after="80" w:line="259" w:lineRule="auto"/>
      </w:pPr>
      <w:r>
        <w:rPr>
          <w:rFonts w:ascii="Aptos" w:hAnsi="Aptos"/>
          <w:b w:val="0"/>
          <w:color w:val="000000"/>
          <w:sz w:val="21"/>
        </w:rPr>
        <w:t>4. Construct the forward target. At date t, use the sample standard deviation of r(t+1) through r(t+22), multiplied by sqrt(252) and 100. The return at t is excluded. Retain only origins with a complete valid 22-trading-day future window inside the frozen raw-data period.</w:t>
      </w:r>
    </w:p>
    <w:p>
      <w:pPr>
        <w:keepNext w:val="0"/>
        <w:pageBreakBefore w:val="0"/>
        <w:widowControl/>
        <w:spacing w:after="80" w:line="259" w:lineRule="auto"/>
      </w:pPr>
      <w:r>
        <w:rPr>
          <w:rFonts w:ascii="Aptos" w:hAnsi="Aptos"/>
          <w:b w:val="0"/>
          <w:color w:val="000000"/>
          <w:sz w:val="21"/>
        </w:rPr>
        <w:t>5. Construct a benchmark known at t. Historical volatility uses the most recent 22 valid daily returns through r(t), with the same standard-deviation and annualization convention. No future value enters this benchmark.</w:t>
      </w:r>
    </w:p>
    <w:p>
      <w:pPr>
        <w:keepNext w:val="0"/>
        <w:pageBreakBefore w:val="0"/>
        <w:widowControl/>
        <w:spacing w:after="80" w:line="259" w:lineRule="auto"/>
      </w:pPr>
      <w:r>
        <w:rPr>
          <w:rFonts w:ascii="Aptos" w:hAnsi="Aptos"/>
          <w:b w:val="0"/>
          <w:color w:val="000000"/>
          <w:sz w:val="21"/>
        </w:rPr>
        <w:t>6. Evaluate chronologically. Use origins before 1 January 2024 for model development and later eligible origins for holdout evaluation. Remove development origins whose forward target extends into the holdout period. Do not shuffle observations. Fit any calibration line and VIX regime thresholds on the development set only.</w:t>
      </w:r>
    </w:p>
    <w:p>
      <w:pPr>
        <w:pStyle w:val="Heading1"/>
        <w:keepNext/>
        <w:pageBreakBefore w:val="0"/>
        <w:widowControl/>
        <w:spacing w:before="160" w:after="60"/>
      </w:pPr>
      <w:r>
        <w:rPr>
          <w:rFonts w:ascii="Aptos" w:hAnsi="Aptos"/>
          <w:b/>
          <w:color w:val="000000"/>
          <w:sz w:val="26"/>
        </w:rPr>
        <w:t>Comparison and interpretation</w:t>
      </w:r>
    </w:p>
    <w:p>
      <w:pPr>
        <w:keepNext w:val="0"/>
        <w:pageBreakBefore w:val="0"/>
        <w:widowControl/>
        <w:spacing w:after="80" w:line="259" w:lineRule="auto"/>
      </w:pPr>
      <w:r>
        <w:rPr>
          <w:rFonts w:ascii="Aptos" w:hAnsi="Aptos"/>
          <w:b w:val="0"/>
          <w:color w:val="000000"/>
          <w:sz w:val="21"/>
        </w:rPr>
        <w:t>Report Pearson and Spearman association, mean gap, mean absolute error (MAE) and root mean squared error (RMSE). Define gap(t) = VIX(t) - forward RV(t); a positive gap means VIX exceeded the observed outcome. Compare unadjusted VIX, a simple development-fitted calibration line RV = a + b VIX, and the historical-volatility benchmark on identical holdout origins. Report which has lower MAE and RMSE without assuming VIX must win.</w:t>
      </w:r>
    </w:p>
    <w:p>
      <w:pPr>
        <w:keepNext w:val="0"/>
        <w:pageBreakBefore w:val="0"/>
        <w:widowControl/>
        <w:spacing w:after="80" w:line="259" w:lineRule="auto"/>
      </w:pPr>
      <w:r>
        <w:rPr>
          <w:rFonts w:ascii="Aptos" w:hAnsi="Aptos"/>
          <w:b w:val="0"/>
          <w:color w:val="000000"/>
          <w:sz w:val="21"/>
        </w:rPr>
        <w:t>Define low, medium and high conditions using development-set VIX tertiles and retain those cutoffs for the holdout. Report the number of observations in each group. Working expectations are positive association and changing errors across conditions; these are hypotheses, not findings.</w:t>
      </w:r>
    </w:p>
    <w:p>
      <w:pPr>
        <w:pStyle w:val="Heading1"/>
        <w:keepNext/>
        <w:pageBreakBefore w:val="0"/>
        <w:widowControl/>
        <w:spacing w:before="160" w:after="60"/>
      </w:pPr>
      <w:r>
        <w:rPr>
          <w:rFonts w:ascii="Aptos" w:hAnsi="Aptos"/>
          <w:b/>
          <w:color w:val="000000"/>
          <w:sz w:val="26"/>
        </w:rPr>
        <w:t>Validation and limitations</w:t>
      </w:r>
    </w:p>
    <w:p>
      <w:pPr>
        <w:keepNext w:val="0"/>
        <w:pageBreakBefore w:val="0"/>
        <w:widowControl/>
        <w:spacing w:after="80" w:line="259" w:lineRule="auto"/>
      </w:pPr>
      <w:r>
        <w:rPr>
          <w:rFonts w:ascii="Aptos" w:hAnsi="Aptos"/>
          <w:b w:val="0"/>
          <w:color w:val="000000"/>
          <w:sz w:val="21"/>
        </w:rPr>
        <w:t>Manually verify at least three forward windows, including their start and end dates. Repeat the comparison using origins spaced 22 trading days apart to remove window overlap. Also calculate volatility from available daily returns within the next 30 calendar days as a horizon-sensitivity check. Twenty-two trading days approximate, but do not exactly match, the VIX horizon. Report exclusions and the effect of each check.</w:t>
      </w:r>
    </w:p>
    <w:p>
      <w:pPr>
        <w:keepNext w:val="0"/>
        <w:pageBreakBefore w:val="0"/>
        <w:widowControl/>
        <w:spacing w:after="80" w:line="259" w:lineRule="auto"/>
      </w:pPr>
      <w:r>
        <w:rPr>
          <w:rFonts w:ascii="Aptos" w:hAnsi="Aptos"/>
          <w:b w:val="0"/>
          <w:color w:val="000000"/>
          <w:sz w:val="21"/>
        </w:rPr>
        <w:t>Daily closing returns are a proxy for realized volatility, not an intraday measure. Overlapping daily targets are dependent, so the principal results will be descriptive and no ordinary independent-observation significance claims will be made. The available sample, horizon approximation and unexpected shocks limit generalization. A VIX minus realized-volatility gap is not by itself an identified variance risk premium.</w:t>
      </w:r>
    </w:p>
    <w:p>
      <w:r>
        <w:br w:type="page"/>
      </w:r>
    </w:p>
    <w:p>
      <w:pPr>
        <w:pStyle w:val="Heading1"/>
        <w:keepNext/>
        <w:pageBreakBefore w:val="0"/>
        <w:widowControl/>
        <w:spacing w:before="160" w:after="60"/>
      </w:pPr>
      <w:r>
        <w:rPr>
          <w:rFonts w:ascii="Aptos" w:hAnsi="Aptos"/>
          <w:b/>
          <w:color w:val="000000"/>
          <w:sz w:val="26"/>
        </w:rPr>
        <w:t>Visualizations and their justification</w:t>
      </w:r>
    </w:p>
    <w:p>
      <w:pPr>
        <w:keepNext w:val="0"/>
        <w:pageBreakBefore w:val="0"/>
        <w:widowControl/>
        <w:spacing w:after="80" w:line="259" w:lineRule="auto"/>
      </w:pPr>
      <w:r>
        <w:rPr>
          <w:rFonts w:ascii="Aptos" w:hAnsi="Aptos"/>
          <w:b w:val="0"/>
          <w:color w:val="000000"/>
          <w:sz w:val="21"/>
        </w:rPr>
        <w:t>The visuals will answer the research question in sequence: establish timing, examine calibration, locate large gaps, and compare conditions. Each figure will state its sample, units and evaluation period. The core deliverable is a documented notebook; a small Plotly view may add date and regime selection if the validated analysis is complete.</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cantSplit/>
          <w:tblHeader/>
        </w:trPr>
        <w:tc>
          <w:tcPr>
            <w:tcW w:type="dxa" w:w="2592"/>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19"/>
              </w:rPr>
              <w:t>Visualization</w:t>
            </w:r>
          </w:p>
        </w:tc>
        <w:tc>
          <w:tcPr>
            <w:tcW w:type="dxa" w:w="6696"/>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19"/>
              </w:rPr>
              <w:t>Design and question answered</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Time series comparison</w:t>
            </w:r>
          </w:p>
        </w:tc>
        <w:tc>
          <w:tcPr>
            <w:tcW w:type="dxa" w:w="66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Plot VIX and forward RV on one annualized-percentage axis. Mark the development/holdout boundary and label the future window. Shows when expectations and outcomes diverge.</w:t>
            </w:r>
          </w:p>
        </w:tc>
      </w:tr>
      <w:tr>
        <w:trPr>
          <w:cantSplit/>
        </w:trPr>
        <w:tc>
          <w:tcPr>
            <w:tcW w:type="dxa" w:w="2592"/>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Expectation versus outcome</w:t>
            </w:r>
          </w:p>
        </w:tc>
        <w:tc>
          <w:tcPr>
            <w:tcW w:type="dxa" w:w="6696"/>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Scatter VIX on x and forward RV on y, with a 45-degree equality line and the development-fitted calibration line. Shows association and deviation from equal values.</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Gap through time</w:t>
            </w:r>
          </w:p>
        </w:tc>
        <w:tc>
          <w:tcPr>
            <w:tcW w:type="dxa" w:w="66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Plot VIX minus forward RV against forecast-origin date with a zero reference. Annotate a small number of large discrepancies after checking the underlying dates. Shows direction and timing of error.</w:t>
            </w:r>
          </w:p>
        </w:tc>
      </w:tr>
      <w:tr>
        <w:trPr>
          <w:cantSplit/>
        </w:trPr>
        <w:tc>
          <w:tcPr>
            <w:tcW w:type="dxa" w:w="2592"/>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Conditions and benchmark comparison</w:t>
            </w:r>
          </w:p>
        </w:tc>
        <w:tc>
          <w:tcPr>
            <w:tcW w:type="dxa" w:w="6696"/>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Use box plots of gaps by fixed VIX regime, with group counts, and a compact holdout MAE/RMSE table for VIX and the historical benchmark. Shows whether performance changes by condition and adds value.</w:t>
            </w:r>
          </w:p>
        </w:tc>
      </w:tr>
    </w:tbl>
    <w:p>
      <w:pPr>
        <w:keepNext w:val="0"/>
        <w:pageBreakBefore w:val="0"/>
        <w:widowControl/>
        <w:spacing w:after="80" w:line="259" w:lineRule="auto" w:before="100"/>
      </w:pPr>
      <w:r>
        <w:rPr>
          <w:rFonts w:ascii="Aptos" w:hAnsi="Aptos"/>
          <w:b w:val="0"/>
          <w:color w:val="000000"/>
          <w:sz w:val="21"/>
        </w:rPr>
        <w:t>Together, these figures distinguish a strong relationship from an accurate forecast. The equality line and signed gaps show calibration; the regime comparison exposes differences hidden by an overall average. Holdout comparisons and the non-overlapping check help test whether the visual story persists under a more demanding evaluation.</w:t>
      </w:r>
    </w:p>
    <w:p>
      <w:pPr>
        <w:pStyle w:val="Heading1"/>
        <w:keepNext/>
        <w:pageBreakBefore w:val="0"/>
        <w:widowControl/>
        <w:spacing w:before="160" w:after="60"/>
      </w:pPr>
      <w:r>
        <w:rPr>
          <w:rFonts w:ascii="Aptos" w:hAnsi="Aptos"/>
          <w:b/>
          <w:color w:val="000000"/>
          <w:sz w:val="26"/>
        </w:rPr>
        <w:t>Visual standards</w:t>
      </w:r>
    </w:p>
    <w:p>
      <w:pPr>
        <w:keepNext w:val="0"/>
        <w:pageBreakBefore w:val="0"/>
        <w:widowControl/>
        <w:spacing w:after="80" w:line="259" w:lineRule="auto"/>
      </w:pPr>
      <w:r>
        <w:rPr>
          <w:rFonts w:ascii="Aptos" w:hAnsi="Aptos"/>
          <w:b w:val="0"/>
          <w:color w:val="000000"/>
          <w:sz w:val="21"/>
        </w:rPr>
        <w:t>Use purple consistently for VIX, blue for realized volatility, and neutral gray for benchmarks. Label series directly where practical and use line style or markers as well as color. Keep readable type, explicit units, source notes and comparable scales; retain genuine extremes and explain them. Every chart must be traceable to a saved transformation and a stated question.</w:t>
      </w:r>
    </w:p>
    <w:p>
      <w:pPr>
        <w:pStyle w:val="Heading1"/>
        <w:keepNext/>
        <w:pageBreakBefore w:val="0"/>
        <w:widowControl/>
        <w:spacing w:before="160" w:after="60"/>
      </w:pPr>
      <w:r>
        <w:rPr>
          <w:rFonts w:ascii="Aptos" w:hAnsi="Aptos"/>
          <w:b/>
          <w:color w:val="000000"/>
          <w:sz w:val="26"/>
        </w:rPr>
        <w:t>Criteria for success</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cantSplit/>
          <w:tblHeader/>
        </w:trPr>
        <w:tc>
          <w:tcPr>
            <w:tcW w:type="dxa" w:w="2088"/>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19"/>
              </w:rPr>
              <w:t>Criterion</w:t>
            </w:r>
          </w:p>
        </w:tc>
        <w:tc>
          <w:tcPr>
            <w:tcW w:type="dxa" w:w="7200"/>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19"/>
              </w:rPr>
              <w:t>Evidence required before completion</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Data integrity</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An audit records date ranges, units, duplicates, missing values and all exclusions. Three forward windows are independently checked.</w:t>
            </w:r>
          </w:p>
        </w:tc>
      </w:tr>
      <w:tr>
        <w:trPr>
          <w:cantSplit/>
        </w:trPr>
        <w:tc>
          <w:tcPr>
            <w:tcW w:type="dxa" w:w="2088"/>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Valid comparison</w:t>
            </w:r>
          </w:p>
        </w:tc>
        <w:tc>
          <w:tcPr>
            <w:tcW w:type="dxa" w:w="7200"/>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All models use the same holdout origins; development targets do not cross the test boundary. Regime cutoffs use development data only.</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Reproducibility</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A clean-kernel notebook run recreates every reported metric and figure from the documented inputs in the project uv environment.</w:t>
            </w:r>
          </w:p>
        </w:tc>
      </w:tr>
      <w:tr>
        <w:trPr>
          <w:cantSplit/>
        </w:trPr>
        <w:tc>
          <w:tcPr>
            <w:tcW w:type="dxa" w:w="2088"/>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Clear visual answer</w:t>
            </w:r>
          </w:p>
        </w:tc>
        <w:tc>
          <w:tcPr>
            <w:tcW w:type="dxa" w:w="7200"/>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At least four labeled views plus the benchmark table explain association, bias, time variation and regime differences.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Supported conclusion</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The report answers all three research questions, reports sensitivity results and explains limitations even if VIX performs poorly.</w:t>
            </w:r>
          </w:p>
        </w:tc>
      </w:tr>
    </w:tbl>
    <w:p>
      <w:r>
        <w:br w:type="page"/>
      </w:r>
    </w:p>
    <w:p>
      <w:pPr>
        <w:pStyle w:val="Heading1"/>
        <w:keepNext/>
        <w:pageBreakBefore w:val="0"/>
        <w:widowControl/>
        <w:spacing w:before="160" w:after="60"/>
      </w:pPr>
      <w:r>
        <w:rPr>
          <w:rFonts w:ascii="Aptos" w:hAnsi="Aptos"/>
          <w:b/>
          <w:color w:val="000000"/>
          <w:sz w:val="26"/>
        </w:rPr>
        <w:t>Pair collaboration and responsibilities</w:t>
      </w:r>
    </w:p>
    <w:p>
      <w:pPr>
        <w:keepNext w:val="0"/>
        <w:pageBreakBefore w:val="0"/>
        <w:widowControl/>
        <w:spacing w:after="80" w:line="259" w:lineRule="auto"/>
      </w:pPr>
      <w:r>
        <w:rPr>
          <w:rFonts w:ascii="Aptos" w:hAnsi="Aptos"/>
          <w:b w:val="0"/>
          <w:color w:val="000000"/>
          <w:sz w:val="21"/>
        </w:rPr>
        <w:t>The plan below is proposed for partner review. Oscar's Assignment 01 proposal supplies the starting topic; Huang has suggested revising it together. The next step is to agree on the scope and allocation before carrying out the analysis.</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08"/>
        <w:gridCol w:w="6480"/>
      </w:tblGrid>
      <w:tr>
        <w:trPr>
          <w:cantSplit/>
          <w:tblHeader/>
        </w:trPr>
        <w:tc>
          <w:tcPr>
            <w:tcW w:type="dxa" w:w="2808"/>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19"/>
              </w:rPr>
              <w:t>Member</w:t>
            </w:r>
          </w:p>
        </w:tc>
        <w:tc>
          <w:tcPr>
            <w:tcW w:type="dxa" w:w="6480"/>
            <w:vAlign w:val="center"/>
            <w:shd w:fill="19395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center"/>
            </w:pPr>
            <w:r>
              <w:rPr>
                <w:rFonts w:ascii="Aptos" w:hAnsi="Aptos"/>
                <w:b/>
                <w:color w:val="FFFFFF"/>
                <w:sz w:val="19"/>
              </w:rPr>
              <w:t>Proposed responsibilities and review</w:t>
            </w:r>
          </w:p>
        </w:tc>
      </w:tr>
      <w:tr>
        <w:trPr>
          <w:cantSplit/>
        </w:trPr>
        <w:tc>
          <w:tcPr>
            <w:tcW w:type="dxa" w:w="28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Oscar Carranza Jimenez</w:t>
              <w:br/>
              <w:t>MC666313</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Lead data acquisition, return and volatility calculations, and the reproducible notebook. Coordinate the task list and record the technical definitions.</w:t>
            </w:r>
          </w:p>
        </w:tc>
      </w:tr>
      <w:tr>
        <w:trPr>
          <w:cantSplit/>
        </w:trPr>
        <w:tc>
          <w:tcPr>
            <w:tcW w:type="dxa" w:w="2808"/>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Huang Rencong</w:t>
              <w:br/>
              <w:t>MC648349</w:t>
            </w:r>
          </w:p>
        </w:tc>
        <w:tc>
          <w:tcPr>
            <w:tcW w:type="dxa" w:w="6480"/>
            <w:vAlign w:val="center"/>
            <w:shd w:fill="EAF1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Lead independent window and missing-data checks, the regime comparison and visual interpretation. Track progress and maintain decision notes.</w:t>
            </w:r>
          </w:p>
        </w:tc>
      </w:tr>
      <w:tr>
        <w:trPr>
          <w:cantSplit/>
        </w:trPr>
        <w:tc>
          <w:tcPr>
            <w:tcW w:type="dxa" w:w="28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Both members</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before="0" w:line="250" w:lineRule="auto"/>
              <w:jc w:val="left"/>
            </w:pPr>
            <w:r>
              <w:rPr>
                <w:rFonts w:ascii="Aptos" w:hAnsi="Aptos"/>
                <w:b w:val="0"/>
                <w:color w:val="000000"/>
                <w:sz w:val="19"/>
              </w:rPr>
              <w:t>Agree on research scope and figures, review each other's calculations, discuss limitations, approve the final wording and confirm each member's actual contribution. Designate a liaison before contacting the TA.</w:t>
            </w:r>
          </w:p>
        </w:tc>
      </w:tr>
    </w:tbl>
    <w:p>
      <w:pPr>
        <w:pStyle w:val="Heading1"/>
        <w:keepNext/>
        <w:pageBreakBefore w:val="0"/>
        <w:widowControl/>
        <w:spacing w:before="160" w:after="60"/>
      </w:pPr>
      <w:r>
        <w:rPr>
          <w:rFonts w:ascii="Aptos" w:hAnsi="Aptos"/>
          <w:b/>
          <w:color w:val="000000"/>
          <w:sz w:val="26"/>
        </w:rPr>
        <w:t>Working rules and records</w:t>
      </w:r>
    </w:p>
    <w:p>
      <w:pPr>
        <w:keepNext w:val="0"/>
        <w:pageBreakBefore w:val="0"/>
        <w:widowControl/>
        <w:spacing w:after="80" w:line="259" w:lineRule="auto"/>
      </w:pPr>
      <w:r>
        <w:rPr>
          <w:rFonts w:ascii="Aptos" w:hAnsi="Aptos"/>
          <w:b w:val="0"/>
          <w:color w:val="000000"/>
          <w:sz w:val="21"/>
        </w:rPr>
        <w:t>Use a shared, dated folder and one agreed data snapshot. Record each discussion with its date, decisions, task owner and next deadline; keep substantive collaboration evidence in the Pair 02 forum. Each change to a calculation requires a rerun and review. Record actual completed contributions accurately in the decision log. Each member will submit the agreed proposal through their own Moodle account and publish the required full text and download link in their personal Module 05 forum.</w:t>
      </w:r>
    </w:p>
    <w:p>
      <w:pPr>
        <w:pStyle w:val="Heading1"/>
        <w:keepNext/>
        <w:pageBreakBefore w:val="0"/>
        <w:widowControl/>
        <w:spacing w:before="160" w:after="60"/>
      </w:pPr>
      <w:r>
        <w:rPr>
          <w:rFonts w:ascii="Aptos" w:hAnsi="Aptos"/>
          <w:b/>
          <w:color w:val="000000"/>
          <w:sz w:val="26"/>
        </w:rPr>
        <w:t>Schedule and deliverables</w:t>
      </w:r>
    </w:p>
    <w:p>
      <w:pPr>
        <w:keepNext w:val="0"/>
        <w:pageBreakBefore w:val="0"/>
        <w:widowControl/>
        <w:spacing w:after="80" w:line="259" w:lineRule="auto"/>
      </w:pPr>
      <w:r>
        <w:rPr>
          <w:rFonts w:ascii="Aptos" w:hAnsi="Aptos"/>
          <w:b w:val="0"/>
          <w:color w:val="000000"/>
          <w:sz w:val="21"/>
        </w:rPr>
        <w:t>22-24 October: review this proposal, agree on roles and refine wording. By 25 October: approve and submit the Assignment 02 proposal. If the topic is adopted for subsequent project work, the indicative four-week analysis plan is: week 1 data audit; week 2 targets, benchmark and holdout; week 3 figures and sensitivity checks; week 4 independent rerun, interpretation and report. Adapt that plan to the eventual project team and its agreed scope.</w:t>
      </w:r>
    </w:p>
    <w:p>
      <w:pPr>
        <w:keepNext w:val="0"/>
        <w:pageBreakBefore w:val="0"/>
        <w:widowControl/>
        <w:spacing w:after="80" w:line="259" w:lineRule="auto"/>
      </w:pPr>
      <w:r>
        <w:rPr>
          <w:rFonts w:ascii="Aptos" w:hAnsi="Aptos"/>
          <w:b w:val="0"/>
          <w:color w:val="000000"/>
          <w:sz w:val="21"/>
        </w:rPr>
        <w:t>Expected outputs are a reproducible notebook, data dictionary and acquisition notes, a validated analysis dataset where sharing is permitted, four principal figures, a benchmark table, and a concise visual report with limitations. The core workflow uses the project uv environment and plain Python with pandas, NumPy, Matplotlib and Seaborn. An interactive dashboard is optional.</w:t>
      </w:r>
    </w:p>
    <w:p>
      <w:pPr>
        <w:pStyle w:val="Heading1"/>
        <w:keepNext/>
        <w:pageBreakBefore w:val="0"/>
        <w:widowControl/>
        <w:spacing w:before="160" w:after="60"/>
      </w:pPr>
      <w:r>
        <w:rPr>
          <w:rFonts w:ascii="Aptos" w:hAnsi="Aptos"/>
          <w:b/>
          <w:color w:val="000000"/>
          <w:sz w:val="26"/>
        </w:rPr>
        <w:t>References</w:t>
      </w:r>
    </w:p>
    <w:p>
      <w:pPr>
        <w:keepNext w:val="0"/>
        <w:pageBreakBefore w:val="0"/>
        <w:widowControl/>
        <w:spacing w:after="60" w:line="259" w:lineRule="auto"/>
        <w:ind w:left="259" w:hanging="259"/>
      </w:pPr>
      <w:r>
        <w:rPr>
          <w:rFonts w:ascii="Aptos" w:hAnsi="Aptos"/>
          <w:b w:val="0"/>
          <w:color w:val="000000"/>
          <w:sz w:val="17"/>
          <w:sz w:val="17"/>
        </w:rPr>
        <w:t xml:space="preserve">Bekaert, G., &amp; Hoerova, M. (2014). The VIX, the variance premium and stock market volatility. Journal of Econometrics, 183(2), 181-192. </w:t>
      </w:r>
      <w:hyperlink r:id="rId12">
        <w:r>
          <w:rPr>
            <w:color w:val="0563C1"/>
            <w:u w:val="single"/>
            <w:sz w:val="17"/>
          </w:rPr>
          <w:t>https://doi.org/10.1016/j.jeconom.2014.05.008</w:t>
        </w:r>
      </w:hyperlink>
    </w:p>
    <w:p>
      <w:pPr>
        <w:keepNext w:val="0"/>
        <w:pageBreakBefore w:val="0"/>
        <w:widowControl/>
        <w:spacing w:after="60" w:line="259" w:lineRule="auto"/>
        <w:ind w:left="259" w:hanging="259"/>
      </w:pPr>
      <w:r>
        <w:rPr>
          <w:rFonts w:ascii="Aptos" w:hAnsi="Aptos"/>
          <w:b w:val="0"/>
          <w:color w:val="000000"/>
          <w:sz w:val="17"/>
          <w:sz w:val="17"/>
        </w:rPr>
        <w:t xml:space="preserve">Chicago Board Options Exchange. (n.d.). CBOE Volatility Index VIX [VIXCLS]. FRED, Federal Reserve Bank of St. Louis. Retrieved October 22, 2026, from </w:t>
      </w:r>
      <w:hyperlink r:id="rId10">
        <w:r>
          <w:rPr>
            <w:color w:val="0563C1"/>
            <w:u w:val="single"/>
            <w:sz w:val="17"/>
          </w:rPr>
          <w:t>https://fred.stlouisfed.org/series/VIXCLS</w:t>
        </w:r>
      </w:hyperlink>
    </w:p>
    <w:p>
      <w:pPr>
        <w:keepNext w:val="0"/>
        <w:pageBreakBefore w:val="0"/>
        <w:widowControl/>
        <w:spacing w:after="60" w:line="259" w:lineRule="auto"/>
        <w:ind w:left="259" w:hanging="259"/>
      </w:pPr>
      <w:r>
        <w:rPr>
          <w:rFonts w:ascii="Aptos" w:hAnsi="Aptos"/>
          <w:b w:val="0"/>
          <w:color w:val="000000"/>
          <w:sz w:val="17"/>
          <w:sz w:val="17"/>
        </w:rPr>
        <w:t xml:space="preserve">Doar, S. (2023, April 24). What the VIX and VIX1D indices attempt to measure and how they differ. Cboe. </w:t>
      </w:r>
      <w:hyperlink r:id="rId13">
        <w:r>
          <w:rPr>
            <w:color w:val="0563C1"/>
            <w:u w:val="single"/>
            <w:sz w:val="17"/>
          </w:rPr>
          <w:t>https://www.cboe.com/insights/posts/what-the-vix-and-vix-1-d-indices-attempt-to-measure-and-how-they-differ</w:t>
        </w:r>
      </w:hyperlink>
    </w:p>
    <w:p>
      <w:pPr>
        <w:keepNext w:val="0"/>
        <w:pageBreakBefore w:val="0"/>
        <w:widowControl/>
        <w:spacing w:after="60" w:line="259" w:lineRule="auto"/>
        <w:ind w:left="259" w:hanging="259"/>
      </w:pPr>
      <w:r>
        <w:rPr>
          <w:rFonts w:ascii="Aptos" w:hAnsi="Aptos"/>
          <w:b w:val="0"/>
          <w:color w:val="000000"/>
          <w:sz w:val="17"/>
          <w:sz w:val="17"/>
        </w:rPr>
        <w:t xml:space="preserve">S&amp;P Dow Jones Indices LLC. (n.d.). S&amp;P 500 [SP500]. FRED, Federal Reserve Bank of St. Louis. Retrieved October 22, 2026, from </w:t>
      </w:r>
      <w:hyperlink r:id="rId9">
        <w:r>
          <w:rPr>
            <w:color w:val="0563C1"/>
            <w:u w:val="single"/>
            <w:sz w:val="17"/>
          </w:rPr>
          <w:t>https://fred.stlouisfed.org/series/SP500</w:t>
        </w:r>
      </w:hyperlink>
    </w:p>
    <w:p>
      <w:pPr>
        <w:keepNext w:val="0"/>
        <w:pageBreakBefore w:val="0"/>
        <w:widowControl/>
        <w:spacing w:after="0" w:line="259" w:lineRule="auto"/>
      </w:pPr>
      <w:r>
        <w:rPr>
          <w:rFonts w:ascii="Aptos" w:hAnsi="Aptos"/>
          <w:b w:val="0"/>
          <w:color w:val="000000"/>
          <w:sz w:val="18"/>
        </w:rPr>
        <w:t>AI assistance: ChatGPT was used to help revise and organize the proposal. Both members will review the content before submission.</w:t>
      </w:r>
    </w:p>
    <w:sectPr w:rsidR="00FC693F" w:rsidRPr="0006063C" w:rsidSect="00034616">
      <w:footerReference w:type="default" r:id="rId11"/>
      <w:pgSz w:w="11906" w:h="16838"/>
      <w:pgMar w:top="964" w:right="1304" w:bottom="850"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7"/>
      </w:rPr>
      <w:t xml:space="preserve">CISC7204 Assignment 02   |   Class K Pair 02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red.stlouisfed.org/series/SP500" TargetMode="External"/><Relationship Id="rId10" Type="http://schemas.openxmlformats.org/officeDocument/2006/relationships/hyperlink" Target="https://fred.stlouisfed.org/series/VIXCLS" TargetMode="External"/><Relationship Id="rId11" Type="http://schemas.openxmlformats.org/officeDocument/2006/relationships/footer" Target="footer1.xml"/><Relationship Id="rId12" Type="http://schemas.openxmlformats.org/officeDocument/2006/relationships/hyperlink" Target="https://doi.org/10.1016/j.jeconom.2014.05.008" TargetMode="External"/><Relationship Id="rId13" Type="http://schemas.openxmlformats.org/officeDocument/2006/relationships/hyperlink" Target="https://www.cboe.com/insights/posts/what-the-vix-and-vix-1-d-indices-attempt-to-measure-and-how-they-dif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VIX and Future SP500 Volatility</dc:title>
  <dc:subject>CISC7204 Assignment 02 revised pair project proposal</dc:subject>
  <dc:creator>Oscar Carranza Jimenez and Huang Rencong</dc:creator>
  <cp:keywords>data visualization, volatility, VIX, S&amp;P 500, proposal</cp:keywords>
  <dc:description/>
  <cp:lastModifiedBy/>
  <cp:revision>1</cp:revision>
  <dcterms:created xsi:type="dcterms:W3CDTF">2013-12-23T23:15:00Z</dcterms:created>
  <dcterms:modified xsi:type="dcterms:W3CDTF">2013-12-23T23:15:00Z</dcterms:modified>
  <cp:category/>
</cp:coreProperties>
</file>