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pStyle w:val="Compact"/>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pStyle w:val="FirstParagraph"/>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pStyle w:val="BodyText"/>
      </w:pPr>
      <w:r>
        <w:t xml:space="preserve">Relative contributions:</w:t>
      </w:r>
      <w:r>
        <w:br/>
      </w:r>
      <w:r>
        <w:t xml:space="preserve">- conceptualization - 25%</w:t>
      </w:r>
      <w:r>
        <w:br/>
      </w:r>
      <w:r>
        <w:t xml:space="preserve">- design - 25%</w:t>
      </w:r>
      <w:r>
        <w:br/>
      </w:r>
      <w:r>
        <w:t xml:space="preserve">- analysis - 50%; Collaborated with John Curtin to develop generic functions and supporting code for creating features, running main and baseline models on CHTC, and running parameterized scripts to get model performance metrics.</w:t>
      </w:r>
      <w:r>
        <w:br/>
      </w:r>
      <w:r>
        <w:t xml:space="preserve">- writing - 30%; Contributed to original draft, edits, and revisions per reviewer suggestions.</w:t>
      </w:r>
    </w:p>
    <w:p>
      <w:pPr>
        <w:pStyle w:val="Compact"/>
        <w:numPr>
          <w:ilvl w:val="0"/>
          <w:numId w:val="1003"/>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pStyle w:val="FirstParagraph"/>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pStyle w:val="BodyText"/>
      </w:pPr>
      <w:r>
        <w:t xml:space="preserve">Relative contributions:</w:t>
      </w:r>
      <w:r>
        <w:br/>
      </w:r>
      <w:r>
        <w:t xml:space="preserve">- conceptualization - 50%</w:t>
      </w:r>
      <w:r>
        <w:br/>
      </w:r>
      <w:r>
        <w:t xml:space="preserve">- design - 50%</w:t>
      </w:r>
      <w:r>
        <w:br/>
      </w:r>
      <w:r>
        <w:t xml:space="preserve">- analysis - 80%; Performed all analyses under supervision of John Curtin.</w:t>
      </w:r>
      <w:r>
        <w:br/>
      </w:r>
      <w:r>
        <w:t xml:space="preserve">- 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BodyText"/>
      </w:pPr>
      <w:r>
        <w:t xml:space="preserve">Relative contributions</w:t>
      </w:r>
      <w:r>
        <w:br/>
      </w:r>
      <w:r>
        <w:t xml:space="preserve">- conceptualization - 10%</w:t>
      </w:r>
      <w:r>
        <w:br/>
      </w:r>
      <w:r>
        <w:t xml:space="preserve">- design - 10%</w:t>
      </w:r>
      <w:r>
        <w:br/>
      </w:r>
      <w:r>
        <w:t xml:space="preserve">- analysis - NA</w:t>
      </w:r>
      <w:r>
        <w:br/>
      </w:r>
      <w:r>
        <w:t xml:space="preserve">- writing - 10%</w:t>
      </w:r>
    </w:p>
    <w:bookmarkEnd w:id="30"/>
    <w:bookmarkStart w:id="38" w:name="presentations"/>
    <w:p>
      <w:pPr>
        <w:pStyle w:val="Heading3"/>
      </w:pPr>
      <w:r>
        <w:t xml:space="preserve">2.4 Presentations</w:t>
      </w:r>
    </w:p>
    <w:p>
      <w:pPr>
        <w:pStyle w:val="Compact"/>
        <w:numPr>
          <w:ilvl w:val="0"/>
          <w:numId w:val="1004"/>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pStyle w:val="FirstParagraph"/>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pStyle w:val="BodyText"/>
      </w:pPr>
      <w:r>
        <w:t xml:space="preserve">Slides available</w:t>
      </w:r>
      <w:r>
        <w:t xml:space="preserve"> </w:t>
      </w:r>
      <w:hyperlink r:id="rId31">
        <w:r>
          <w:rPr>
            <w:rStyle w:val="Hyperlink"/>
          </w:rPr>
          <w:t xml:space="preserve">here</w:t>
        </w:r>
      </w:hyperlink>
    </w:p>
    <w:p>
      <w:pPr>
        <w:pStyle w:val="Compact"/>
        <w:numPr>
          <w:ilvl w:val="0"/>
          <w:numId w:val="1005"/>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pStyle w:val="FirstParagraph"/>
      </w:pPr>
      <w:r>
        <w:t xml:space="preserve">Abstract:</w:t>
      </w:r>
    </w:p>
    <w:p>
      <w:pPr>
        <w:pStyle w:val="BodyText"/>
      </w:pPr>
      <w:r>
        <w:t xml:space="preserve">Slides available</w:t>
      </w:r>
      <w:r>
        <w:t xml:space="preserve"> </w:t>
      </w:r>
      <w:hyperlink r:id="rId32">
        <w:r>
          <w:rPr>
            <w:rStyle w:val="Hyperlink"/>
          </w:rPr>
          <w:t xml:space="preserve">here</w:t>
        </w:r>
      </w:hyperlink>
    </w:p>
    <w:p>
      <w:pPr>
        <w:pStyle w:val="Compact"/>
        <w:numPr>
          <w:ilvl w:val="0"/>
          <w:numId w:val="1006"/>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pStyle w:val="FirstParagraph"/>
      </w:pPr>
      <w:r>
        <w:t xml:space="preserve">Abstract:</w:t>
      </w:r>
    </w:p>
    <w:p>
      <w:pPr>
        <w:pStyle w:val="BodyText"/>
      </w:pPr>
      <w:r>
        <w:t xml:space="preserve">Slides available</w:t>
      </w:r>
      <w:r>
        <w:t xml:space="preserve"> </w:t>
      </w:r>
      <w:hyperlink r:id="rId33">
        <w:r>
          <w:rPr>
            <w:rStyle w:val="Hyperlink"/>
          </w:rPr>
          <w:t xml:space="preserve">here</w:t>
        </w:r>
      </w:hyperlink>
    </w:p>
    <w:p>
      <w:pPr>
        <w:pStyle w:val="Compact"/>
        <w:numPr>
          <w:ilvl w:val="0"/>
          <w:numId w:val="1007"/>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pStyle w:val="FirstParagraph"/>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pStyle w:val="BodyText"/>
      </w:pPr>
      <w:r>
        <w:t xml:space="preserve">Poster available</w:t>
      </w:r>
      <w:r>
        <w:t xml:space="preserve"> </w:t>
      </w:r>
      <w:hyperlink r:id="rId34">
        <w:r>
          <w:rPr>
            <w:rStyle w:val="Hyperlink"/>
          </w:rPr>
          <w:t xml:space="preserve">here</w:t>
        </w:r>
      </w:hyperlink>
    </w:p>
    <w:p>
      <w:pPr>
        <w:pStyle w:val="Compact"/>
        <w:numPr>
          <w:ilvl w:val="0"/>
          <w:numId w:val="1008"/>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pStyle w:val="FirstParagraph"/>
      </w:pPr>
      <w:r>
        <w:t xml:space="preserve">Abstract:</w:t>
      </w:r>
    </w:p>
    <w:p>
      <w:pPr>
        <w:pStyle w:val="BodyText"/>
      </w:pPr>
      <w:r>
        <w:t xml:space="preserve">Slides available</w:t>
      </w:r>
      <w:r>
        <w:t xml:space="preserve"> </w:t>
      </w:r>
      <w:hyperlink r:id="rId35">
        <w:r>
          <w:rPr>
            <w:rStyle w:val="Hyperlink"/>
          </w:rPr>
          <w:t xml:space="preserve">here</w:t>
        </w:r>
      </w:hyperlink>
    </w:p>
    <w:p>
      <w:pPr>
        <w:pStyle w:val="Compact"/>
        <w:numPr>
          <w:ilvl w:val="0"/>
          <w:numId w:val="1009"/>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pStyle w:val="FirstParagraph"/>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pStyle w:val="BodyText"/>
      </w:pPr>
      <w:r>
        <w:t xml:space="preserve">Slides available</w:t>
      </w:r>
      <w:r>
        <w:t xml:space="preserve"> </w:t>
      </w:r>
      <w:hyperlink r:id="rId36">
        <w:r>
          <w:rPr>
            <w:rStyle w:val="Hyperlink"/>
          </w:rPr>
          <w:t xml:space="preserve">here</w:t>
        </w:r>
      </w:hyperlink>
    </w:p>
    <w:p>
      <w:pPr>
        <w:pStyle w:val="Compact"/>
        <w:numPr>
          <w:ilvl w:val="0"/>
          <w:numId w:val="1010"/>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pStyle w:val="FirstParagraph"/>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pStyle w:val="BodyText"/>
      </w:pPr>
      <w:r>
        <w:t xml:space="preserve">Slides available</w:t>
      </w:r>
      <w:r>
        <w:t xml:space="preserve"> </w:t>
      </w:r>
      <w:hyperlink r:id="rId37">
        <w:r>
          <w:rPr>
            <w:rStyle w:val="Hyperlink"/>
          </w:rPr>
          <w:t xml:space="preserve">here</w:t>
        </w:r>
      </w:hyperlink>
    </w:p>
    <w:bookmarkEnd w:id="38"/>
    <w:bookmarkStart w:id="40" w:name="workshops-led"/>
    <w:p>
      <w:pPr>
        <w:pStyle w:val="Heading3"/>
      </w:pPr>
      <w:r>
        <w:t xml:space="preserve">2.5 Workshops Led</w:t>
      </w:r>
    </w:p>
    <w:p>
      <w:pPr>
        <w:pStyle w:val="Compact"/>
        <w:numPr>
          <w:ilvl w:val="0"/>
          <w:numId w:val="1011"/>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12"/>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12"/>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12"/>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48"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4" w:name="practicum-experiences"/>
    <w:p>
      <w:pPr>
        <w:pStyle w:val="Heading3"/>
      </w:pPr>
      <w:r>
        <w:t xml:space="preserve">3.2 Practicum Experiences</w:t>
      </w:r>
    </w:p>
    <w:p>
      <w:pPr>
        <w:pStyle w:val="FirstParagraph"/>
      </w:pPr>
      <w:r>
        <w:t xml:space="preserve">Descriptions of clinical practicum experiences: Brief description should include the name and dates for the practicum, brief description of the client population and other relevant details (e.g., interventions, modalities). This should include documentation of clinical hours (per internship categories) and available/completed supervisor evaluations.</w:t>
      </w:r>
    </w:p>
    <w:bookmarkEnd w:id="44"/>
    <w:bookmarkStart w:id="46"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5">
        <w:r>
          <w:rPr>
            <w:rStyle w:val="Hyperlink"/>
          </w:rPr>
          <w:t xml:space="preserve">here</w:t>
        </w:r>
      </w:hyperlink>
    </w:p>
    <w:bookmarkEnd w:id="46"/>
    <w:bookmarkStart w:id="47" w:name="assessment-report-samples"/>
    <w:p>
      <w:pPr>
        <w:pStyle w:val="Heading3"/>
      </w:pPr>
      <w:r>
        <w:t xml:space="preserve">3.4 Assessment Report Samples</w:t>
      </w:r>
    </w:p>
    <w:p>
      <w:pPr>
        <w:pStyle w:val="FirstParagraph"/>
      </w:pPr>
      <w:r>
        <w:t xml:space="preserve">Provide integrative or other assessment reports after appropriate de-identification. Do not include raw data from assessments.</w:t>
      </w:r>
    </w:p>
    <w:bookmarkEnd w:id="47"/>
    <w:bookmarkEnd w:id="48"/>
    <w:bookmarkStart w:id="53" w:name="diversity-experiences"/>
    <w:p>
      <w:pPr>
        <w:pStyle w:val="Heading2"/>
      </w:pPr>
      <w:r>
        <w:t xml:space="preserve">4 Diversity Experiences</w:t>
      </w:r>
    </w:p>
    <w:bookmarkStart w:id="49" w:name="diversity-statement"/>
    <w:p>
      <w:pPr>
        <w:pStyle w:val="Heading3"/>
      </w:pPr>
      <w:r>
        <w:t xml:space="preserve">4.1 Diversity Statement</w:t>
      </w:r>
    </w:p>
    <w:p>
      <w:pPr>
        <w:pStyle w:val="Compact"/>
        <w:numPr>
          <w:ilvl w:val="0"/>
          <w:numId w:val="1013"/>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49"/>
    <w:bookmarkStart w:id="50" w:name="workshops"/>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50"/>
    <w:bookmarkStart w:id="52" w:name="mentorship-and-service"/>
    <w:p>
      <w:pPr>
        <w:pStyle w:val="Heading3"/>
      </w:pPr>
      <w:r>
        <w:t xml:space="preserve">4.3 Mentorship and Service</w:t>
      </w:r>
    </w:p>
    <w:p>
      <w:pPr>
        <w:numPr>
          <w:ilvl w:val="0"/>
          <w:numId w:val="1014"/>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14"/>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14"/>
        </w:numPr>
      </w:pPr>
      <w:r>
        <w:t xml:space="preserve">Clinical Area Antiracism and Academic Training Committee Member</w:t>
      </w:r>
      <w:r>
        <w:t xml:space="preserve"> </w:t>
      </w:r>
      <w:r>
        <w:t xml:space="preserve">Date: Fall 2020 – Spring 2021</w:t>
      </w:r>
    </w:p>
    <w:p>
      <w:pPr>
        <w:numPr>
          <w:ilvl w:val="0"/>
          <w:numId w:val="1014"/>
        </w:numPr>
      </w:pPr>
      <w:r>
        <w:t xml:space="preserve">PREP Research Mentor, includes summer DELTA training - a copy of the syllabus can be found</w:t>
      </w:r>
      <w:r>
        <w:t xml:space="preserve"> </w:t>
      </w:r>
      <w:hyperlink r:id="rId51">
        <w:r>
          <w:rPr>
            <w:rStyle w:val="Hyperlink"/>
          </w:rPr>
          <w:t xml:space="preserve">here</w:t>
        </w:r>
      </w:hyperlink>
      <w:r>
        <w:t xml:space="preserve">.</w:t>
      </w:r>
    </w:p>
    <w:bookmarkEnd w:id="52"/>
    <w:bookmarkEnd w:id="53"/>
    <w:bookmarkStart w:id="55" w:name="teaching-experiences"/>
    <w:p>
      <w:pPr>
        <w:pStyle w:val="Heading2"/>
      </w:pPr>
      <w:r>
        <w:t xml:space="preserve">5 Teaching Experiences</w:t>
      </w:r>
    </w:p>
    <w:p>
      <w:pPr>
        <w:pStyle w:val="Compact"/>
        <w:numPr>
          <w:ilvl w:val="0"/>
          <w:numId w:val="1015"/>
        </w:numPr>
      </w:pPr>
      <w:r>
        <w:t xml:space="preserve">guest lecture</w:t>
      </w:r>
    </w:p>
    <w:p>
      <w:pPr>
        <w:pStyle w:val="Compact"/>
        <w:numPr>
          <w:ilvl w:val="0"/>
          <w:numId w:val="1015"/>
        </w:numPr>
      </w:pPr>
      <w:r>
        <w:t xml:space="preserve">led lecture discussion on explanatory methods in IAML, co-led weekly lab</w:t>
      </w:r>
    </w:p>
    <w:p>
      <w:pPr>
        <w:pStyle w:val="Compact"/>
        <w:numPr>
          <w:ilvl w:val="0"/>
          <w:numId w:val="1015"/>
        </w:numPr>
      </w:pPr>
      <w:r>
        <w:t xml:space="preserve">materials for GLM</w:t>
      </w:r>
    </w:p>
    <w:p>
      <w:pPr>
        <w:pStyle w:val="Compact"/>
        <w:numPr>
          <w:ilvl w:val="0"/>
          <w:numId w:val="1015"/>
        </w:numPr>
      </w:pPr>
      <w:r>
        <w:t xml:space="preserve">Grading papers and open ended exams and providing feedback on writing for 2 classes since 2021</w:t>
      </w:r>
    </w:p>
    <w:p>
      <w:pPr>
        <w:pStyle w:val="FirstParagraph"/>
      </w:pPr>
      <w:r>
        <w:t xml:space="preserve">Course evaluations for IAML can be found</w:t>
      </w:r>
      <w:r>
        <w:t xml:space="preserve"> </w:t>
      </w:r>
      <w:hyperlink r:id="rId54">
        <w:r>
          <w:rPr>
            <w:rStyle w:val="Hyperlink"/>
          </w:rPr>
          <w:t xml:space="preserve">here</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1" Target="https://github.com/KendraPaquette/portfolio/blob/main/documents/PREP_mentor_syllabus_2024.pdf" TargetMode="External" /><Relationship Type="http://schemas.openxmlformats.org/officeDocument/2006/relationships/hyperlink" Id="rId54"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1" Target="https://github.com/KendraPaquette/portfolio/blob/main/documents/PREP_mentor_syllabus_2024.pdf" TargetMode="External" /><Relationship Type="http://schemas.openxmlformats.org/officeDocument/2006/relationships/hyperlink" Id="rId54"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2024-07-09T15:56:41Z</dcterms:created>
  <dcterms:modified xsi:type="dcterms:W3CDTF">2024-07-09T15:56:41Z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