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2024-07-16</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in acute relapse. My research aims to improve substance use disorder treatment by focusing on continuity of adaptive care that extends beyond initial symptom reduction. Specifically, I focus on the application of machine learning to personally sensed data for the purpose of algorithm-guided clinical recommendations and risk monitoring.</w:t>
      </w:r>
    </w:p>
    <w:p>
      <w:pPr>
        <w:pStyle w:val="BodyText"/>
      </w:pPr>
      <w:r>
        <w:t xml:space="preserve">high-dimensionality (personalization and dynamic indicators)</w:t>
      </w:r>
    </w:p>
    <w:p>
      <w:pPr>
        <w:pStyle w:val="BodyText"/>
      </w:pPr>
      <w:r>
        <w:t xml:space="preserve">acceptability (participant perspectives and balancing active-passive methods)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p>
      <w:pPr>
        <w:pStyle w:val="Compact"/>
        <w:numPr>
          <w:ilvl w:val="0"/>
          <w:numId w:val="1010"/>
        </w:numPr>
      </w:pPr>
      <w:r>
        <w:t xml:space="preserve">Cognitive behavioral approaches</w:t>
      </w:r>
    </w:p>
    <w:p>
      <w:pPr>
        <w:pStyle w:val="Compact"/>
        <w:numPr>
          <w:ilvl w:val="0"/>
          <w:numId w:val="1010"/>
        </w:numPr>
      </w:pPr>
      <w:r>
        <w:t xml:space="preserve">Assessment outcome measures and feedback from clients to adapt the approach as needed.</w:t>
      </w:r>
    </w:p>
    <w:p>
      <w:pPr>
        <w:pStyle w:val="Compact"/>
        <w:numPr>
          <w:ilvl w:val="0"/>
          <w:numId w:val="1010"/>
        </w:numPr>
      </w:pPr>
      <w:r>
        <w:t xml:space="preserve">collaborative</w:t>
      </w:r>
    </w:p>
    <w:bookmarkEnd w:id="43"/>
    <w:bookmarkStart w:id="50" w:name="practicum-experiences"/>
    <w:p>
      <w:pPr>
        <w:pStyle w:val="Heading3"/>
      </w:pPr>
      <w:r>
        <w:t xml:space="preserve">3.2 Practicum Experiences</w:t>
      </w:r>
    </w:p>
    <w:p>
      <w:pPr>
        <w:numPr>
          <w:ilvl w:val="0"/>
          <w:numId w:val="1011"/>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2"/>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My research and clinical interest in addiction and substance use emphasize the importance of experiences with diverse populations. Substance use affects people from all backgrounds and the high comorbidity with severe mental health conditions puts people at risk of experiencing trauma, incarceration and housing insecurity. Through my clinical work with Dr. Patti Coffey I have worked with individuals involved in the justice system. I have also secured a position at the VA where I will gain experience working with veterans with co-occurring PTSD and substance use.</w:t>
      </w:r>
    </w:p>
    <w:p>
      <w:pPr>
        <w:pStyle w:val="BodyText"/>
      </w:pPr>
      <w:r>
        <w:t xml:space="preserve">One memorable experience I can recall was an interaction I had with an individual who I was screening for eligibility for a trauma-focused group for previously incarcerated individuals. He was telling me about his experiences with substance use, housing insecurity, and trauma. It was during this interaction I realized how by listening non-judgmentally and providing empathy and validation I was able to make a therapeutic connection in just our single two hour interaction.</w:t>
      </w:r>
    </w:p>
    <w:p>
      <w:pPr>
        <w:pStyle w:val="BodyText"/>
      </w:pPr>
      <w:r>
        <w:t xml:space="preserve">In addition to experiences working with individuals experiencing severe negative consequences from their substance use, I have also gained experience working with undergraduate students with first-time offences from the university for their alcohol or cannabis use. And at the PRTC I have worked with a client with an alcohol use disorder who did not wish to change their alcohol use.</w:t>
      </w:r>
    </w:p>
    <w:p>
      <w:pPr>
        <w:pStyle w:val="BodyText"/>
      </w:pPr>
      <w:r>
        <w:t xml:space="preserve">In my research, I have also begun to give careful consideration to how our prediction models and results are interpreted in regard to representation. I have helped develop fairness analyses with my lab that can be reported as transparent benchmarks for how our models perform by demographic characteristic.</w:t>
      </w:r>
    </w:p>
    <w:p>
      <w:pPr>
        <w:pStyle w:val="BodyText"/>
      </w:pPr>
      <w:r>
        <w:t xml:space="preserve">I have also incorporated participant feedback into my research. I am currently working on a project right now with a student I am mentoring as part of the Psychology Research Experience Program. We are using qualititative data from participants with opioid use disorder on their experiences with our data collection methods. We aim to use their own words to assess the feasibility of sensing-assisted treatment and intervention modalities. We are putting a special emphasis on the stability of acceptability and feasibility across demographic groups with known treatment disparities to ensure our conclusions are generalizeable.</w:t>
      </w:r>
    </w:p>
    <w:bookmarkEnd w:id="54"/>
    <w:bookmarkStart w:id="55" w:name="workshop-attended"/>
    <w:p>
      <w:pPr>
        <w:pStyle w:val="Heading3"/>
      </w:pPr>
      <w:r>
        <w:t xml:space="preserve">4.2 Workshop Attended</w:t>
      </w:r>
    </w:p>
    <w:p>
      <w:pPr>
        <w:pStyle w:val="Compact"/>
        <w:numPr>
          <w:ilvl w:val="0"/>
          <w:numId w:val="1013"/>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4"/>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4"/>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4"/>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5"/>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5"/>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5"/>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2024-07-16T16:30:06Z</dcterms:created>
  <dcterms:modified xsi:type="dcterms:W3CDTF">2024-07-16T16:30:06Z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2024-07-16</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