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9"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09"/>
        </w:numPr>
      </w:pPr>
      <w:r>
        <w:t xml:space="preserve">Psychology Research and Training Clinic,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numPr>
          <w:ilvl w:val="0"/>
          <w:numId w:val="1000"/>
        </w:numPr>
      </w:pPr>
      <w:r>
        <w:t xml:space="preserve">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r>
        <w:br/>
      </w:r>
      <w:r>
        <w:t xml:space="preserve">Client population: Assessment clients consist primarily of community members and are diverse in terms of race/ethnicity, sex, age, and mental health symptom severity.</w:t>
      </w:r>
    </w:p>
    <w:p>
      <w:pPr>
        <w:numPr>
          <w:ilvl w:val="0"/>
          <w:numId w:val="1000"/>
        </w:numPr>
      </w:pPr>
      <w:r>
        <w:t xml:space="preserve">A de-identified ADHD assessment is available</w:t>
      </w:r>
      <w:r>
        <w:t xml:space="preserve"> </w:t>
      </w:r>
      <w:hyperlink r:id="rId46">
        <w:r>
          <w:rPr>
            <w:rStyle w:val="Hyperlink"/>
          </w:rPr>
          <w:t xml:space="preserve">here</w:t>
        </w:r>
      </w:hyperlink>
      <w:r>
        <w:br/>
      </w:r>
      <w:r>
        <w:t xml:space="preserve">A de-identified integrated psychodiagnostic report is available</w:t>
      </w:r>
      <w:r>
        <w:t xml:space="preserve"> </w:t>
      </w:r>
      <w:hyperlink r:id="rId47">
        <w:r>
          <w:rPr>
            <w:rStyle w:val="Hyperlink"/>
          </w:rPr>
          <w:t xml:space="preserve">here</w:t>
        </w:r>
      </w:hyperlink>
    </w:p>
    <w:p>
      <w:pPr>
        <w:numPr>
          <w:ilvl w:val="0"/>
          <w:numId w:val="1000"/>
        </w:numPr>
      </w:pPr>
      <w:r>
        <w:t xml:space="preserve">Time2Track hours available</w:t>
      </w:r>
      <w:r>
        <w:t xml:space="preserve"> </w:t>
      </w:r>
      <w:hyperlink r:id="rId48">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49"/>
    <w:bookmarkStart w:id="50" w:name="total-clinical-hours"/>
    <w:p>
      <w:pPr>
        <w:pStyle w:val="Heading3"/>
      </w:pPr>
      <w:r>
        <w:t xml:space="preserve">3.3 Total Clinical Hours</w:t>
      </w:r>
    </w:p>
    <w:p>
      <w:pPr>
        <w:pStyle w:val="TableCaption"/>
      </w:pPr>
      <w:r>
        <w:t xml:space="preserve">*Additional hours accrued and documented from supervised research Structured Clinical Interviews for DSM-5 at Center for Healthy Minds</w:t>
      </w:r>
    </w:p>
    <w:tbl>
      <w:tblPr>
        <w:tblStyle w:val="Table"/>
        <w:tblW w:type="auto" w:w="0"/>
        <w:tblLook w:firstRow="1" w:lastRow="0" w:firstColumn="0" w:lastColumn="0" w:noHBand="0" w:noVBand="0" w:val="0020"/>
        <w:tblCaption w:val="*Additional hours accrued and documented from supervised research Structured Clinical Interviews for DSM-5 at Center for Healthy Minds"/>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certification-by-clinical-director"/>
    <w:p>
      <w:pPr>
        <w:pStyle w:val="Heading3"/>
      </w:pPr>
      <w:r>
        <w:t xml:space="preserve">3.4 Certification by Clinical Director</w:t>
      </w:r>
    </w:p>
    <w:p>
      <w:pPr>
        <w:pStyle w:val="FirstParagraph"/>
      </w:pPr>
      <w:r>
        <w:t xml:space="preserve">Certification of clinical competencies can be found</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0"/>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4"/>
    <w:bookmarkStart w:id="55" w:name="workshop-attended"/>
    <w:p>
      <w:pPr>
        <w:pStyle w:val="Heading3"/>
      </w:pPr>
      <w:r>
        <w:t xml:space="preserve">4.2 Workshop Attended</w:t>
      </w:r>
    </w:p>
    <w:p>
      <w:pPr>
        <w:pStyle w:val="Compact"/>
        <w:numPr>
          <w:ilvl w:val="0"/>
          <w:numId w:val="1011"/>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2"/>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6">
        <w:r>
          <w:rPr>
            <w:rStyle w:val="Hyperlink"/>
          </w:rPr>
          <w:t xml:space="preserve">here</w:t>
        </w:r>
      </w:hyperlink>
      <w:r>
        <w:t xml:space="preserve">.</w:t>
      </w:r>
    </w:p>
    <w:p>
      <w:pPr>
        <w:numPr>
          <w:ilvl w:val="0"/>
          <w:numId w:val="1012"/>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2"/>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3"/>
        </w:numPr>
      </w:pPr>
      <w:r>
        <w:t xml:space="preserve">Graduate Teaching Assistant</w:t>
      </w:r>
      <w:r>
        <w:br/>
      </w:r>
      <w:r>
        <w:t xml:space="preserve">Course: Introduction to Applied Machine Learning (IAML)</w:t>
      </w:r>
      <w:r>
        <w:t xml:space="preserve"> </w:t>
      </w:r>
      <w:r>
        <w:t xml:space="preserve">Dates: Spring 2024</w:t>
      </w:r>
      <w:r>
        <w:br/>
      </w:r>
      <w:r>
        <w:t xml:space="preserve">Description: Co-led weekly lab section. Led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3"/>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3"/>
        </w:numPr>
      </w:pPr>
      <w:r>
        <w:t xml:space="preserve">Reader/Grader</w:t>
      </w:r>
      <w:r>
        <w:br/>
      </w:r>
      <w:r>
        <w:t xml:space="preserve">Courses: The Criminal Mind; Introduction to Psychotherapy</w:t>
      </w:r>
      <w:r>
        <w:br/>
      </w:r>
      <w:r>
        <w:t xml:space="preserve">Dates: Fall 2021 - Spring 2024</w:t>
      </w:r>
      <w:r>
        <w:br/>
      </w:r>
      <w:r>
        <w:t xml:space="preserve">Description: Provided feedback on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8"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8"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2024-07-10T00:06:47Z</dcterms:created>
  <dcterms:modified xsi:type="dcterms:W3CDTF">2024-07-10T00:06:47Z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