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2024-07-17</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I remember the first computer program I wrote. It started with a menu of mathematical operations that a user could select from. Then, the user was prompted to enter two numbers, and the program returned the result of the calculation. Essentially, I created a complicated calculator! But I was so excited about it. I immediately started thinking of other possibilities - ways I could automate tasks or do more complex operations. Ways I could use code to problem-solve. At the time, coding was a hobby that eventually led to an undergraduate minor. Today, it is an essential part of my research, as I regularly use machine learning and high-throughput computing to answer my research questions.</w:t>
      </w:r>
    </w:p>
    <w:p>
      <w:pPr>
        <w:pStyle w:val="BodyText"/>
      </w:pPr>
      <w:r>
        <w:t xml:space="preserve">As I have progressed through my graduate career my clinical interests have increasingly focused on assessment. Similar to how I might piece together code to solve a problem, I enjoy fitting the puzzle pieces from clinical interviews, life circumstances, and cognitive and personality measures to describe a person’s needs and recommend solutions that create a holistic picture. I found these experiences to be especially rewarding after receiving positive feedback on a juvenile court evaluation from the youth attorney assigned to the case.</w:t>
      </w:r>
    </w:p>
    <w:p>
      <w:pPr>
        <w:pStyle w:val="BodyText"/>
      </w:pPr>
      <w:r>
        <w:t xml:space="preserve">I plan to pursue a career grounded in data science and clinical assessment. I can envision these paths as separate avenues - e.g., working as a clinical scientist with the NIDA Clinical Trials Network and conducting court-ordered assessments on the side. Or, as overlapping - e.g., working as research clinician at the VA and providing assessments at the hospital or for the Veterans Treatment Court Program.</w:t>
      </w:r>
    </w:p>
    <w:p>
      <w:pPr>
        <w:pStyle w:val="BodyText"/>
      </w:pPr>
      <w:r>
        <w:t xml:space="preserve">To move towards these goals, I plan to gain more relevant research and data science experiences through collaboration and leadership roles. I also intend to audit a course on Bayesian Statistics this Fall and TA for John Curtin’s General Linear Model course next year. Clinically, I plan to continue my forensic assessment work with Dr. Patti Coffey. Additionally, I will be gaining experience at the VA this fall, where I can learn what it is like to work in a hospital setting and assess whether this environment aligns with my interests.</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substance use with high temporal precision. In one study, we demonstrated that we could use ecological momentary assessment data to predict hour-by-hour probabilities of goal-inconsistent alcohol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p>
      <w:pPr>
        <w:pStyle w:val="BodyText"/>
      </w:pPr>
      <w:r>
        <w:t xml:space="preserve">Ultimately, I hope to make ongoing treatment and support for substance use disorders more accessible by automating the delivery of personalized treatment recommendations.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My training has primarily centered on cognitive-behavioral approaches, including cognitive behavioral therapy, exposure therapy, cognitive behavioral analysis system of psychotherapy, and acceptance and commitment therapy. While each of these therapies have unique components, they are not in opposition to one another. I find myself drawing from each of them as toolboxes to personalize therapy to the specific needs of my client. For instance, with one client I was treating for depression, a behavioral activation strategy (e.g., doing the smallest possible step towards a goal) still seemed too difficult for him. I then switched to an acceptance and commitment therapy technique of framing all of our actions as</w:t>
      </w:r>
      <w:r>
        <w:t xml:space="preserve"> </w:t>
      </w:r>
      <w:r>
        <w:rPr>
          <w:i/>
          <w:iCs/>
        </w:rPr>
        <w:t xml:space="preserve">towards</w:t>
      </w:r>
      <w:r>
        <w:t xml:space="preserve"> </w:t>
      </w:r>
      <w:r>
        <w:t xml:space="preserve">or</w:t>
      </w:r>
      <w:r>
        <w:t xml:space="preserve"> </w:t>
      </w:r>
      <w:r>
        <w:rPr>
          <w:i/>
          <w:iCs/>
        </w:rPr>
        <w:t xml:space="preserve">away</w:t>
      </w:r>
      <w:r>
        <w:t xml:space="preserve"> </w:t>
      </w:r>
      <w:r>
        <w:t xml:space="preserve">moves. This approach resonated with my client as it was easier for him to recognize his decision to stay on the couch or scrolling on his phone as moving him away from what he wanted. He was then able to make the choice to substitute these actions with ones that moved him towards his goal.</w:t>
      </w:r>
    </w:p>
    <w:p>
      <w:pPr>
        <w:pStyle w:val="BodyText"/>
      </w:pPr>
      <w:r>
        <w:t xml:space="preserve">Most of all, I prioritize a strong therapeutic relationship built on trust, empathy, and a genuine interest in helping my clients achieve their goals. I often draw on motivational interviewing and Socratic questioning skills to establish this relationship with my clients. A strong foundation has allowed me to appropriately challenge and question clients when needed. To illustrate, I recently had a client who believed they should be happy all the time. To move past this, I had to be firm and blunt that this was not a realistic expectation. Without our established rapport and trust, it is possible that this might have created a rupture in our relationship. Instead, it was a breakthrough.</w:t>
      </w:r>
    </w:p>
    <w:p>
      <w:pPr>
        <w:pStyle w:val="BodyText"/>
      </w:pPr>
      <w:r>
        <w:t xml:space="preserve">One way I foster these components of evidenced-based therapies and a strong working alliance with my clients is through collaboration and feedback. For example, I routinely use standard assessment outcome questionnaires. I was treating a client for death anxiety and we collaboratively came up with exposures for her to do between session. She reported lower subjective distress with each exposure. However, it was with a Death Anxiety Beliefs and Behaviors questionnaire that I administered pre-, mid-, and post-treatment where we were able to see a stark indicator of improvement.</w:t>
      </w:r>
    </w:p>
    <w:p>
      <w:pPr>
        <w:pStyle w:val="BodyText"/>
      </w:pPr>
      <w:r>
        <w:t xml:space="preserve">I also routinely ask clients how they like an activity or how they think therapy is going during our sessions. I have found that sometimes their feedback has resulted in us noticeably shifting our treatment plan (e.g., switching from cognition-focused interventions to emotion-regulation strategies). Obtaining regular feedback is also important to me, as I believe personalizing treatments to clients’ preferences, needs, and stage of readiness requires frequent re-evaluation since these states fluctuate and change over time.</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Thus, experiences with diverse populations are paramount to my research and clinical interest in addiction and substance use.</w:t>
      </w:r>
    </w:p>
    <w:p>
      <w:pPr>
        <w:pStyle w:val="BodyText"/>
      </w:pPr>
      <w:r>
        <w:t xml:space="preserve">One vulnerable population greatly afflicted with mental health and substance use disorders are justice-involved individuals. Recently, opioid overdoses have been reported as the leading cause of death among people returning to their communities from carceral settings. 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his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2"/>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3"/>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3"/>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3"/>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4"/>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4"/>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4"/>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2024-07-17T18:18:51Z</dcterms:created>
  <dcterms:modified xsi:type="dcterms:W3CDTF">2024-07-17T18:18:51Z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2024-07-17</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