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2024-08-20</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numPr>
          <w:ilvl w:val="0"/>
          <w:numId w:val="1001"/>
        </w:numPr>
      </w:pPr>
      <w:r>
        <w:t xml:space="preserve">Opioid use disorder is defined as the chronic use of opioids for non-medical reasons that causes clinically significant distress or impairment. In 2021, over 80,000 people in the United States died from an opioid overdose. This was the 8th leading cause of death that year, right behind diabetes.</w:t>
      </w:r>
    </w:p>
    <w:p>
      <w:pPr>
        <w:numPr>
          <w:ilvl w:val="0"/>
          <w:numId w:val="1001"/>
        </w:numPr>
      </w:pPr>
      <w:r>
        <w:t xml:space="preserve">Opioid use disorder is a chronic, relapsing disease, but there are very few long term supports for people in recovery.</w:t>
      </w:r>
    </w:p>
    <w:p>
      <w:pPr>
        <w:numPr>
          <w:ilvl w:val="0"/>
          <w:numId w:val="1001"/>
        </w:numPr>
      </w:pPr>
      <w:r>
        <w:t xml:space="preserve">Risk monitoring could be a potential avenue to provide long-term support for those in recovery. It use personal sensing, which is the collection of data using sensors in smartphones, and machine learning to predict and alert individuals that their risk of relapse is high. While its potential for reaching a largely underserved population is high, it requires individuals to find personal sensing acceptable.</w:t>
      </w:r>
    </w:p>
    <w:p>
      <w:pPr>
        <w:numPr>
          <w:ilvl w:val="0"/>
          <w:numId w:val="1001"/>
        </w:numPr>
      </w:pPr>
      <w:r>
        <w:t xml:space="preserve">The importance of stakeholder engagement from the beginning (i.e., before an intervention is developed).</w:t>
      </w:r>
    </w:p>
    <w:p>
      <w:pPr>
        <w:numPr>
          <w:ilvl w:val="0"/>
          <w:numId w:val="1001"/>
        </w:numPr>
      </w:pPr>
      <w:r>
        <w:t xml:space="preserve">We can expect individuals to have different preferences about which methods they choose to engage in. This becomes an even more important consideration when factors associated with specific groups present barriers to fulfilling of minimum data compliance thresholds (e.g., working 3rd shift, being a single working mom with little time to check her phone, living in an area with weak internet service). We are curious to explore how different demographic factors may impact behavioral and subjective indicators of acceptability and how these factors might be reflected in participant’s free response comments. What we learn from the behavioral and subjective indicators of acceptability stemming from different demographic factors will shape the creation of future interventions to ensure everyone is receiving effective treatment.</w:t>
      </w:r>
    </w:p>
    <w:p>
      <w:pPr>
        <w:numPr>
          <w:ilvl w:val="0"/>
          <w:numId w:val="1001"/>
        </w:numPr>
      </w:pPr>
      <w:r>
        <w:t xml:space="preserve">People can comply with active sensing methods (EMA), even when using substances. Previous research has shown that individuals with alcohol use disorder using sensing methods for three months found them to be acceptable.</w:t>
      </w:r>
    </w:p>
    <w:p>
      <w:pPr>
        <w:numPr>
          <w:ilvl w:val="0"/>
          <w:numId w:val="1001"/>
        </w:numPr>
      </w:pPr>
      <w:r>
        <w:t xml:space="preserve">However, there are reasons to suspect this could be different among those with other substance use disorders, particularly opioid use disorder. Opioids are an illegal class of drug, which could make individuals fear being arrested for relapsing back to use.</w:t>
      </w:r>
    </w:p>
    <w:p>
      <w:pPr>
        <w:numPr>
          <w:ilvl w:val="0"/>
          <w:numId w:val="1001"/>
        </w:numPr>
      </w:pPr>
      <w:r>
        <w:t xml:space="preserve">Like most health and mental health conditions, treatment disparities among race/ethnic minority groups are prevalent with Opioid use disorder.</w:t>
      </w:r>
    </w:p>
    <w:p>
      <w:pPr>
        <w:numPr>
          <w:ilvl w:val="0"/>
          <w:numId w:val="1001"/>
        </w:numPr>
      </w:pPr>
      <w:r>
        <w:t xml:space="preserve">The aims of this study are to assess if individuals with opioid use disorder from a national sample find personal sensing methods to be acceptable and to identify if there are any differences in acceptability between different race/ethnicities.</w:t>
      </w:r>
    </w:p>
    <w:p>
      <w:pPr>
        <w:numPr>
          <w:ilvl w:val="0"/>
          <w:numId w:val="1001"/>
        </w:numPr>
      </w:pPr>
      <w:r>
        <w:t xml:space="preserve">Our study was unique in that we let participants respond openly on the survey so that we could determine their perceptions of these personal sensing methods. We used their own words to determine the themes that will inform us of the strengths, challenges, and barriers associated with these methods.</w:t>
      </w:r>
    </w:p>
    <w:bookmarkEnd w:id="20"/>
    <w:bookmarkStart w:id="22" w:name="methods"/>
    <w:p>
      <w:pPr>
        <w:pStyle w:val="Heading2"/>
      </w:pPr>
      <w:r>
        <w:t xml:space="preserve">Methods</w:t>
      </w:r>
    </w:p>
    <w:p>
      <w:pPr>
        <w:numPr>
          <w:ilvl w:val="0"/>
          <w:numId w:val="1002"/>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2"/>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p>
      <w:pPr>
        <w:pStyle w:val="BodyText"/>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SourceCode"/>
      </w:pPr>
      <w:r>
        <w:rPr>
          <w:rStyle w:val="VerbatimChar"/>
        </w:rPr>
        <w:t xml:space="preserve">- 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 </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SourceCode"/>
      </w:pPr>
      <w:r>
        <w:rPr>
          <w:rStyle w:val="VerbatimChar"/>
        </w:rPr>
        <w:t xml:space="preserve">- We used Structural topic modeling. This acts differently from more traditional topic modeling approaches in that the document-level metadata can be added into the modeling process.</w:t>
      </w:r>
      <w:r>
        <w:br/>
      </w:r>
      <w:r>
        <w:br/>
      </w:r>
      <w:r>
        <w:rPr>
          <w:rStyle w:val="VerbatimChar"/>
        </w:rPr>
        <w:t xml:space="preserve">- We used race and data type as covariates and saw how the content of the topics might shift from one group to the next.</w:t>
      </w:r>
      <w:r>
        <w:br/>
      </w:r>
      <w:r>
        <w:br/>
      </w:r>
      <w:r>
        <w:rPr>
          <w:rStyle w:val="VerbatimChar"/>
        </w:rPr>
        <w:t xml:space="preserve">- We looked at the top words defined by FREX, a metric that evaluates word frequency and exclusivity to a topic.</w:t>
      </w:r>
    </w:p>
    <w:bookmarkEnd w:id="21"/>
    <w:bookmarkEnd w:id="22"/>
    <w:bookmarkStart w:id="25" w:name="results"/>
    <w:p>
      <w:pPr>
        <w:pStyle w:val="Heading2"/>
      </w:pPr>
      <w:r>
        <w:t xml:space="preserve">Results</w:t>
      </w:r>
    </w:p>
    <w:bookmarkStart w:id="23" w:name="thematic-analysis"/>
    <w:p>
      <w:pPr>
        <w:pStyle w:val="Heading3"/>
      </w:pPr>
      <w:r>
        <w:t xml:space="preserve">Thematic Analysis</w:t>
      </w:r>
    </w:p>
    <w:p>
      <w:pPr>
        <w:numPr>
          <w:ilvl w:val="0"/>
          <w:numId w:val="1003"/>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3"/>
        </w:numPr>
      </w:pPr>
      <w:r>
        <w:t xml:space="preserve">We found a significant difference in the proportion of positive and negative comments by Hispanic participants compared to White participants for the monthly update.</w:t>
      </w:r>
    </w:p>
    <w:p>
      <w:pPr>
        <w:numPr>
          <w:ilvl w:val="0"/>
          <w:numId w:val="1003"/>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3"/>
        </w:numPr>
      </w:pPr>
      <w:r>
        <w:t xml:space="preserve">Finally, Black participants were significantly less likely to report positive comments about geolocation compared to white participants.</w:t>
      </w:r>
    </w:p>
    <w:p>
      <w:pPr>
        <w:numPr>
          <w:ilvl w:val="0"/>
          <w:numId w:val="1003"/>
        </w:numPr>
      </w:pPr>
      <w:r>
        <w:t xml:space="preserve">Looking at patterns of benefits and trust may help explain these differences.</w:t>
      </w:r>
    </w:p>
    <w:p>
      <w:pPr>
        <w:numPr>
          <w:ilvl w:val="0"/>
          <w:numId w:val="1003"/>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3"/>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3"/>
    <w:bookmarkStart w:id="24" w:name="topic-modeling"/>
    <w:p>
      <w:pPr>
        <w:pStyle w:val="Heading3"/>
      </w:pPr>
      <w:r>
        <w:t xml:space="preserve">Topic Modeling</w:t>
      </w:r>
    </w:p>
    <w:p>
      <w:pPr>
        <w:numPr>
          <w:ilvl w:val="0"/>
          <w:numId w:val="1004"/>
        </w:numPr>
      </w:pPr>
      <w:r>
        <w:t xml:space="preserve">We found there were 15 unique topics and 6 significantly differed by race/ethnicity.</w:t>
      </w:r>
    </w:p>
    <w:p>
      <w:pPr>
        <w:numPr>
          <w:ilvl w:val="0"/>
          <w:numId w:val="1004"/>
        </w:numPr>
      </w:pPr>
      <w:r>
        <w:t xml:space="preserve">no sig differences by gender or income</w:t>
      </w:r>
    </w:p>
    <w:bookmarkEnd w:id="24"/>
    <w:bookmarkEnd w:id="25"/>
    <w:bookmarkStart w:id="26" w:name="discussion"/>
    <w:p>
      <w:pPr>
        <w:pStyle w:val="Heading2"/>
      </w:pPr>
      <w:r>
        <w:t xml:space="preserve">Discussion</w:t>
      </w:r>
    </w:p>
    <w:p>
      <w:pPr>
        <w:numPr>
          <w:ilvl w:val="0"/>
          <w:numId w:val="1005"/>
        </w:numPr>
      </w:pPr>
      <w:r>
        <w:t xml:space="preserve">On average, participants found these methods to be acceptable and saw benefits from using them.</w:t>
      </w:r>
    </w:p>
    <w:p>
      <w:pPr>
        <w:numPr>
          <w:ilvl w:val="0"/>
          <w:numId w:val="1005"/>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5"/>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6"/>
    <w:bookmarkStart w:id="28" w:name="references"/>
    <w:p>
      <w:pPr>
        <w:pStyle w:val="Heading2"/>
      </w:pPr>
      <w:r>
        <w:t xml:space="preserve">References</w:t>
      </w:r>
    </w:p>
    <w:bookmarkStart w:id="27" w:name="refs"/>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sample of people with opioid use disorder</dc:title>
  <dc:creator>Kendra Wyant; Claire Punturieri; Olivia Cox; John J. Curtin</dc:creator>
  <cp:keywords>Substance use disorders, Precision mental health</cp:keywords>
  <dcterms:created xsi:type="dcterms:W3CDTF">2024-08-21T01:55:50Z</dcterms:created>
  <dcterms:modified xsi:type="dcterms:W3CDTF">2024-08-21T01:55:50Z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2024-08-20</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