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Olivia</w:t>
      </w:r>
      <w:r>
        <w:t xml:space="preserve"> </w:t>
      </w:r>
      <w:r>
        <w:t xml:space="preserve">Cox</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2024-08-20</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pStyle w:val="Compact"/>
        <w:numPr>
          <w:ilvl w:val="0"/>
          <w:numId w:val="1001"/>
        </w:numPr>
      </w:pPr>
      <w:r>
        <w:t xml:space="preserve">The importance of stakeholder engagement from the beginning (i.e., before an intervention is developed).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discussion"/>
    <w:p>
      <w:pPr>
        <w:pStyle w:val="Heading2"/>
      </w:pPr>
      <w:r>
        <w:t xml:space="preserve">Discussion</w:t>
      </w:r>
    </w:p>
    <w:p>
      <w:pPr>
        <w:pStyle w:val="Compact"/>
        <w:numPr>
          <w:ilvl w:val="0"/>
          <w:numId w:val="1002"/>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3"/>
    <w:bookmarkStart w:id="25" w:name="references"/>
    <w:p>
      <w:pPr>
        <w:pStyle w:val="Heading2"/>
      </w:pPr>
      <w:r>
        <w:t xml:space="preserve">References</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sample of people with opioid use disorder</dc:title>
  <dc:creator>Kendra Wyant; Olivia Cox; Claire Punturieri; John J. Curtin</dc:creator>
  <cp:keywords>Substance use disorders, Precision mental health</cp:keywords>
  <dcterms:created xsi:type="dcterms:W3CDTF">2024-08-21T01:37:49Z</dcterms:created>
  <dcterms:modified xsi:type="dcterms:W3CDTF">2024-08-21T01:37:49Z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2024-08-20</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