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jpg" ContentType="image/jpeg"/>
  <Override PartName="/word/media/rId51.jpg" ContentType="image/jpeg"/>
  <Override PartName="/word/media/rId58.jpg" ContentType="image/jpeg"/>
  <Override PartName="/word/media/rId84.png" ContentType="image/png"/>
  <Override PartName="/word/media/rId166.png" ContentType="image/png"/>
  <Override PartName="/word/media/rId103.png" ContentType="image/png"/>
  <Override PartName="/word/media/rId173.png" ContentType="image/png"/>
  <Override PartName="/word/media/rId179.png" ContentType="image/png"/>
  <Override PartName="/word/media/rId121.png" ContentType="image/png"/>
  <Override PartName="/word/media/rId185.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Date"/>
      </w:pPr>
      <w:r>
        <w:t xml:space="preserve">2026-03-30</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treatment—a stark contrast to treatment initiation for other chronic diseases</w:t>
      </w:r>
      <w:r>
        <w:t xml:space="preserve"> </w:t>
      </w:r>
      <w:r>
        <w:t xml:space="preserve">(Substance Abuse and Mental Health Services Administration, n.d.)</w:t>
      </w:r>
      <w:r>
        <w:t xml:space="preserve">.</w:t>
      </w:r>
    </w:p>
    <w:p>
      <w:pPr>
        <w:pStyle w:val="BodyText"/>
      </w:pPr>
      <w:r>
        <w:t xml:space="preserve">While low rates of treatment initiation represent a critical gap in the SUD care continuum,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reflects the challenges of managing any chronic condition without adequate continuing care.</w:t>
      </w:r>
    </w:p>
    <w:p>
      <w:pPr>
        <w:pStyle w:val="BodyText"/>
      </w:pPr>
      <w:r>
        <w:t xml:space="preserve">Moreover, SUDs do not have a single set of putative precursors to relapse. Relapse risk factors differ across individuals and within an individual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w:t>
      </w:r>
      <w:r>
        <w:t xml:space="preserve">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These patterns highlight the important role of continuing care, including ongoing monitoring and support and timely re‑intervention with more intensive treatment when necessary, following an initial treatment episode (e.g., 12 weeks of intensive outpatient treatment, early stabilization on medications for opioid use disorder). However, structural limitations within the current treatment system undermine the delivery of such care. Stigma surrounding SUD and historical views of substance use as a social or behavioral problem have contributed to the siloing of SUD treatment in specialized, community‑based settings disconnected from primary care. Additional factors including cost, lack of collaborative provider teams, passive referral processes, geographic barriers, patient dropout, and changing clinical needs further erode continuity of care</w:t>
      </w:r>
      <w:r>
        <w:t xml:space="preserve"> </w:t>
      </w:r>
      <w:r>
        <w:t xml:space="preserve">(Dennis &amp; Scott, 2007; McKay, 2021; Stanojlović &amp; Davidson, 2021; Tai &amp; Volkow, 2013)</w:t>
      </w:r>
      <w:r>
        <w:t xml:space="preserve">. This results in a fragmented infrastructure with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 [</w:t>
      </w:r>
      <w:r>
        <w:t xml:space="preserve">Kuerbis et al. (2014)</w:t>
      </w:r>
      <w:r>
        <w:t xml:space="preserve">; Salive].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covery-monitoring-and-support-system"/>
    <w:p>
      <w:pPr>
        <w:pStyle w:val="Heading2"/>
      </w:pPr>
      <w:r>
        <w:t xml:space="preserve">1.3 Recovery Monitoring and Support System</w:t>
      </w:r>
    </w:p>
    <w:p>
      <w:pPr>
        <w:pStyle w:val="FirstParagraph"/>
      </w:pPr>
      <w:r>
        <w:t xml:space="preserve">An algorithm‑guided recovery monitoring and support system could strengthen continuing care following initial SUD treatment by helping individuals monitor their current and near‑term risk of lapse and proactively adjust their activities and supports to meet recovery goals. Rather than focusing on treatment initiation, this approach is designed to extend the impact of evidence‑based treatment after stabilization, when individuals remain vulnerable to relapse but treatment intensity often decreases. The system could deliver personalized, adaptive feedback aligned with evidence‑based recovery support and prompt engagement with additional supports during periods of heightened risk. For example, individuals might receive daily messages on changes in their lapse risk along with tailored recommendations informed by the most important features contributing to that risk. In doing so, the system would offer a scalable mechanism for long‑term monitoring and support, directly addressing the substantial unmet need for continuing care among individuals who do initiate SUD treatment.</w:t>
      </w:r>
    </w:p>
    <w:p>
      <w:pPr>
        <w:pStyle w:val="BodyText"/>
      </w:pPr>
      <w:r>
        <w:t xml:space="preserve">This recovery monitoring and support system is well positioned to address several pervasive barriers to continuity of care following completion of an initial treatment episode. Because the system is automated, it could provide a low‑cost, scalable form of supplemental recovery support accessible from a smartphone. Stigma‑related barriers may be reduced by delivery through a smartphone app that individuals can choose to use privately. Similarly, individuals living in geographically underserved areas or facing mobility constraints could monitor their recovery risk remotely. Importantly, the system could model individual risk trajectories over time, identifying features associated with different periods of increased risk and updating personalized recommendations as clinical needs evolve.</w:t>
      </w:r>
    </w:p>
    <w:p>
      <w:pPr>
        <w:pStyle w:val="BodyText"/>
      </w:pPr>
      <w:r>
        <w:t xml:space="preserve">And in a not so distant future, many barriers that currently undermine SUD continuing care, including passive handoffs, patient dropout, limited care coordination, and delayed responses to clinical deterioration, could be further addressed by embedding predictive models within an AI‑enabled, agentic support system capable of planning and action. For instance, if an individual receives repeated feedback indicating elevated lapse risk over several days and subsequently disengages from the monitoring system, an AI agent could proactively initiate outreach and facilitate connection to higher‑intensity services, such as scheduling an appointment with an in‑network provider for further evaluation.</w:t>
      </w:r>
    </w:p>
    <w:p>
      <w:pPr>
        <w:pStyle w:val="BodyText"/>
      </w:pPr>
      <w:r>
        <w:t xml:space="preserve">For these types of systems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2"/>
    <w:bookmarkStart w:id="13" w:name="specific-aims"/>
    <w:p>
      <w:pPr>
        <w:pStyle w:val="Heading2"/>
      </w:pPr>
      <w:r>
        <w:t xml:space="preserve">1.4 Specific Aims</w:t>
      </w:r>
    </w:p>
    <w:p>
      <w:pPr>
        <w:pStyle w:val="FirstParagraph"/>
      </w:pPr>
      <w:r>
        <w:t xml:space="preserve">This dissertation presents a series of studies aimed at improving continuing care following treatment initiation by demonstrating the feasibility of building an automated recovery monitoring and support system. Across three studies, we address key prerequisites for such a system, including the sensing method(s) selected, predictive performance and interpretability, and fairness.</w:t>
      </w:r>
    </w:p>
    <w:p>
      <w:pPr>
        <w:pStyle w:val="BodyText"/>
      </w:pPr>
      <w:r>
        <w:t xml:space="preserve">To achieve this goal, we used two clinical samples of individuals in early recovery from alcohol (Studies 1–2) and opioid use (Study 3) disorders with stated goals of abstinence. In Study 1 (Chapter 2), we focused on developing temporally precise prediction models by building three models that estimate hour‑by‑hour probabilities of a lapse back to alcohol use, predicting lapses in the next week, next day, and next hour. Model features were engineered from raw scores and longitudinal changes in responses to 4X daily EMA surveys. To support translation into recovery recommendations, we used Shapley values to interpret how specific EMA features influenced lapse probability both at the population level and for individual predictions.</w:t>
      </w:r>
    </w:p>
    <w:p>
      <w:pPr>
        <w:pStyle w:val="BodyText"/>
      </w:pPr>
      <w:r>
        <w:t xml:space="preserve">In Study 2 (Chapter 3), we extended this work by demonstrating how the same EMA data could be used to predict alcohol lapses within a 24‑hour window occurring up to two weeks into the future. By varying the lag between the prediction time point and the start of the prediction window (1 day, 3 days, 1 week, and 2 weeks), this study evaluated whether lapse risk could be detected with sufficient advance warning to support proactive, preventive interventions. Study 2 also addressed a critical prerequisite for deployment by evaluating model fairness by comparing predictive performance across subgroups with known disparities in treatment access and outcomes.</w:t>
      </w:r>
    </w:p>
    <w:p>
      <w:pPr>
        <w:pStyle w:val="BodyText"/>
      </w:pPr>
      <w:r>
        <w:t xml:space="preserve">In Study 3 (Chapter 4), we extended lapse prediction to opioid use disorder using a national sample, allowing us to examine whether lapse prediction models generalize beyond alcohol to substances where use is illegal and lapses may be under reported. This dataset included greater diversity in race/ethnicity, income, and geographic location, enabling evaluation of model fairness across a broader set of demographic groups. Model features were derived from both 1X daily surveys and geolocation sensing, capturing self‑reported risk factors alongside behavioral indicators such as time spent in high‑risk locations and disruptions in routine. We also explored alternative approaches to identifying important predictors of lapse risk to more explicitly demonstrate how recovery recommendations can be tailored to a specific person at a specific moment in time.</w:t>
      </w:r>
    </w:p>
    <w:bookmarkEnd w:id="13"/>
    <w:bookmarkEnd w:id="14"/>
    <w:bookmarkStart w:id="72" w:name="X19d88964df8049fca0e1b90b33796fd673ad16c"/>
    <w:p>
      <w:pPr>
        <w:pStyle w:val="Heading1"/>
      </w:pPr>
      <w:r>
        <w:t xml:space="preserve">2. Machine learning models for temporally precise lapse prediction in alcohol use disorder</w:t>
      </w:r>
    </w:p>
    <w:bookmarkStart w:id="18"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5"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5"/>
    <w:bookmarkStart w:id="16"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6"/>
    <w:bookmarkStart w:id="17"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7"/>
    <w:bookmarkEnd w:id="18"/>
    <w:bookmarkStart w:id="35" w:name="method"/>
    <w:p>
      <w:pPr>
        <w:pStyle w:val="Heading2"/>
      </w:pPr>
      <w:r>
        <w:t xml:space="preserve">2.2 Method</w:t>
      </w:r>
    </w:p>
    <w:bookmarkStart w:id="20"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19">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0"/>
    <w:bookmarkStart w:id="21"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1"/>
    <w:bookmarkStart w:id="22"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2"/>
    <w:bookmarkStart w:id="25" w:name="measures"/>
    <w:p>
      <w:pPr>
        <w:pStyle w:val="Heading3"/>
      </w:pPr>
      <w:r>
        <w:t xml:space="preserve">2.2.4 Measures</w:t>
      </w:r>
    </w:p>
    <w:bookmarkStart w:id="23"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3"/>
    <w:bookmarkStart w:id="24"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4"/>
    <w:bookmarkEnd w:id="25"/>
    <w:bookmarkStart w:id="34"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6"/>
    <w:bookmarkStart w:id="27"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7"/>
    <w:bookmarkStart w:id="31" w:name="model-training-and-evaluation"/>
    <w:p>
      <w:pPr>
        <w:pStyle w:val="Heading4"/>
      </w:pPr>
      <w:r>
        <w:t xml:space="preserve">2.2.5.3 Model Training and Evaluation</w:t>
      </w:r>
    </w:p>
    <w:bookmarkStart w:id="28"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8"/>
    <w:bookmarkStart w:id="29"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29"/>
    <w:bookmarkStart w:id="30"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0"/>
    <w:bookmarkEnd w:id="31"/>
    <w:bookmarkStart w:id="32"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2"/>
    <w:bookmarkStart w:id="33"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3"/>
    <w:bookmarkEnd w:id="34"/>
    <w:bookmarkEnd w:id="35"/>
    <w:bookmarkStart w:id="64" w:name="results"/>
    <w:p>
      <w:pPr>
        <w:pStyle w:val="Heading2"/>
      </w:pPr>
      <w:r>
        <w:t xml:space="preserve">2.3 Results</w:t>
      </w:r>
    </w:p>
    <w:bookmarkStart w:id="38"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6" w:name="tbl-dem"/>
          <w:p>
            <w:pPr>
              <w:jc w:val="center"/>
            </w:pPr>
            <w:pPr>
              <w:jc w:val="lef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38"/>
    <w:bookmarkStart w:id="39"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39"/>
    <w:bookmarkStart w:id="57" w:name="model-performance"/>
    <w:p>
      <w:pPr>
        <w:pStyle w:val="Heading3"/>
      </w:pPr>
      <w:r>
        <w:t xml:space="preserve">2.3.3 Model Performance</w:t>
      </w:r>
    </w:p>
    <w:bookmarkStart w:id="40"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0"/>
    <w:bookmarkStart w:id="46"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5" w:name="cell-fig-1-ema"/>
    <w:tbl>
      <w:tblPr>
        <w:tblStyle w:val="Table"/>
        <w:tblW w:type="pct" w:w="5000"/>
        <w:tblLayout w:type="fixed"/>
        <w:tblLook w:firstRow="0" w:lastRow="0" w:firstColumn="0" w:lastColumn="0" w:noHBand="0" w:noVBand="0" w:val="0000"/>
      </w:tblPr>
      <w:tblGrid>
        <w:gridCol w:w="7920"/>
      </w:tblGrid>
      <w:tr>
        <w:tc>
          <w:tcPr/>
          <w:bookmarkStart w:id="44" w:name="fig-1-ema"/>
          <w:p>
            <w:pPr>
              <w:pStyle w:val="Compact"/>
              <w:jc w:val="center"/>
            </w:pPr>
            <w:r>
              <w:drawing>
                <wp:inline>
                  <wp:extent cx="5334000" cy="3413760"/>
                  <wp:effectExtent b="0" l="0" r="0" t="0"/>
                  <wp:docPr descr="" title="" id="42" name="Picture"/>
                  <a:graphic>
                    <a:graphicData uri="http://schemas.openxmlformats.org/drawingml/2006/picture">
                      <pic:pic>
                        <pic:nvPicPr>
                          <pic:cNvPr descr="figures/ema_1.jpeg" id="43" name="Picture"/>
                          <pic:cNvPicPr>
                            <a:picLocks noChangeArrowheads="1" noChangeAspect="1"/>
                          </pic:cNvPicPr>
                        </pic:nvPicPr>
                        <pic:blipFill>
                          <a:blip r:embed="rId4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End w:id="46"/>
    <w:bookmarkStart w:id="47"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7"/>
    <w:bookmarkStart w:id="48"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8"/>
    <w:bookmarkStart w:id="56"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49"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0.8906310</w:t>
                  </w:r>
                </w:p>
              </w:tc>
              <w:tc>
                <w:tcPr/>
                <w:p>
                  <w:pPr>
                    <w:pStyle w:val="Compact"/>
                    <w:jc w:val="right"/>
                    <w:jc w:val="center"/>
                  </w:pPr>
                  <w:r>
                    <w:t xml:space="preserve">0.8989930</w:t>
                  </w:r>
                </w:p>
              </w:tc>
              <w:tc>
                <w:tcPr/>
                <w:p>
                  <w:pPr>
                    <w:pStyle w:val="Compact"/>
                    <w:jc w:val="right"/>
                    <w:jc w:val="center"/>
                  </w:pPr>
                  <w:r>
                    <w:t xml:space="preserve">0.9293432</w:t>
                  </w:r>
                </w:p>
              </w:tc>
            </w:tr>
            <w:tr>
              <w:tc>
                <w:tcPr/>
                <w:p>
                  <w:pPr>
                    <w:pStyle w:val="Compact"/>
                    <w:jc w:val="left"/>
                    <w:jc w:val="center"/>
                  </w:pPr>
                  <w:r>
                    <w:t xml:space="preserve">sensitivity</w:t>
                  </w:r>
                </w:p>
              </w:tc>
              <w:tc>
                <w:tcPr/>
                <w:p>
                  <w:pPr>
                    <w:pStyle w:val="Compact"/>
                    <w:jc w:val="right"/>
                    <w:jc w:val="center"/>
                  </w:pPr>
                  <w:r>
                    <w:t xml:space="preserve">0.8232301</w:t>
                  </w:r>
                </w:p>
              </w:tc>
              <w:tc>
                <w:tcPr/>
                <w:p>
                  <w:pPr>
                    <w:pStyle w:val="Compact"/>
                    <w:jc w:val="right"/>
                    <w:jc w:val="center"/>
                  </w:pPr>
                  <w:r>
                    <w:t xml:space="preserve">0.8275224</w:t>
                  </w:r>
                </w:p>
              </w:tc>
              <w:tc>
                <w:tcPr/>
                <w:p>
                  <w:pPr>
                    <w:pStyle w:val="Compact"/>
                    <w:jc w:val="right"/>
                    <w:jc w:val="center"/>
                  </w:pPr>
                  <w:r>
                    <w:t xml:space="preserve">0.8636420</w:t>
                  </w:r>
                </w:p>
              </w:tc>
            </w:tr>
            <w:tr>
              <w:tc>
                <w:tcPr/>
                <w:p>
                  <w:pPr>
                    <w:pStyle w:val="Compact"/>
                    <w:jc w:val="left"/>
                    <w:jc w:val="center"/>
                  </w:pPr>
                  <w:r>
                    <w:t xml:space="preserve">specificity</w:t>
                  </w:r>
                </w:p>
              </w:tc>
              <w:tc>
                <w:tcPr/>
                <w:p>
                  <w:pPr>
                    <w:pStyle w:val="Compact"/>
                    <w:jc w:val="right"/>
                    <w:jc w:val="center"/>
                  </w:pPr>
                  <w:r>
                    <w:t xml:space="preserve">0.8192581</w:t>
                  </w:r>
                </w:p>
              </w:tc>
              <w:tc>
                <w:tcPr/>
                <w:p>
                  <w:pPr>
                    <w:pStyle w:val="Compact"/>
                    <w:jc w:val="right"/>
                    <w:jc w:val="center"/>
                  </w:pPr>
                  <w:r>
                    <w:t xml:space="preserve">0.8454889</w:t>
                  </w:r>
                </w:p>
              </w:tc>
              <w:tc>
                <w:tcPr/>
                <w:p>
                  <w:pPr>
                    <w:pStyle w:val="Compact"/>
                    <w:jc w:val="right"/>
                    <w:jc w:val="center"/>
                  </w:pPr>
                  <w:r>
                    <w:t xml:space="preserve">0.8813554</w:t>
                  </w:r>
                </w:p>
              </w:tc>
            </w:tr>
            <w:tr>
              <w:tc>
                <w:tcPr/>
                <w:p>
                  <w:pPr>
                    <w:pStyle w:val="Compact"/>
                    <w:jc w:val="left"/>
                    <w:jc w:val="center"/>
                  </w:pPr>
                  <w:r>
                    <w:t xml:space="preserve">balanced accuracy</w:t>
                  </w:r>
                </w:p>
              </w:tc>
              <w:tc>
                <w:tcPr/>
                <w:p>
                  <w:pPr>
                    <w:pStyle w:val="Compact"/>
                    <w:jc w:val="right"/>
                    <w:jc w:val="center"/>
                  </w:pPr>
                  <w:r>
                    <w:t xml:space="preserve">0.8275871</w:t>
                  </w:r>
                </w:p>
              </w:tc>
              <w:tc>
                <w:tcPr/>
                <w:p>
                  <w:pPr>
                    <w:pStyle w:val="Compact"/>
                    <w:jc w:val="right"/>
                    <w:jc w:val="center"/>
                  </w:pPr>
                  <w:r>
                    <w:t xml:space="preserve">0.8345976</w:t>
                  </w:r>
                </w:p>
              </w:tc>
              <w:tc>
                <w:tcPr/>
                <w:p>
                  <w:pPr>
                    <w:pStyle w:val="Compact"/>
                    <w:jc w:val="right"/>
                    <w:jc w:val="center"/>
                  </w:pPr>
                  <w:r>
                    <w:t xml:space="preserve">0.8536644</w:t>
                  </w:r>
                </w:p>
              </w:tc>
            </w:tr>
            <w:tr>
              <w:tc>
                <w:tcPr/>
                <w:p>
                  <w:pPr>
                    <w:pStyle w:val="Compact"/>
                    <w:jc w:val="left"/>
                    <w:jc w:val="center"/>
                  </w:pPr>
                  <w:r>
                    <w:t xml:space="preserve">positive predictive value</w:t>
                  </w:r>
                </w:p>
              </w:tc>
              <w:tc>
                <w:tcPr/>
                <w:p>
                  <w:pPr>
                    <w:pStyle w:val="Compact"/>
                    <w:jc w:val="right"/>
                    <w:jc w:val="center"/>
                  </w:pPr>
                  <w:r>
                    <w:t xml:space="preserve">0.6301088</w:t>
                  </w:r>
                </w:p>
              </w:tc>
              <w:tc>
                <w:tcPr/>
                <w:p>
                  <w:pPr>
                    <w:pStyle w:val="Compact"/>
                    <w:jc w:val="right"/>
                    <w:jc w:val="center"/>
                  </w:pPr>
                  <w:r>
                    <w:t xml:space="preserve">0.2997223</w:t>
                  </w:r>
                </w:p>
              </w:tc>
              <w:tc>
                <w:tcPr/>
                <w:p>
                  <w:pPr>
                    <w:pStyle w:val="Compact"/>
                    <w:jc w:val="right"/>
                    <w:jc w:val="center"/>
                  </w:pPr>
                  <w:r>
                    <w:t xml:space="preserve">0.0254053</w:t>
                  </w:r>
                </w:p>
              </w:tc>
            </w:tr>
            <w:tr>
              <w:tc>
                <w:tcPr/>
                <w:p>
                  <w:pPr>
                    <w:pStyle w:val="Compact"/>
                    <w:jc w:val="left"/>
                    <w:jc w:val="center"/>
                  </w:pPr>
                  <w:r>
                    <w:t xml:space="preserve">negative predictive value</w:t>
                  </w:r>
                </w:p>
              </w:tc>
              <w:tc>
                <w:tcPr/>
                <w:p>
                  <w:pPr>
                    <w:pStyle w:val="Compact"/>
                    <w:jc w:val="right"/>
                    <w:jc w:val="center"/>
                  </w:pPr>
                  <w:r>
                    <w:t xml:space="preserve">0.9435759</w:t>
                  </w:r>
                </w:p>
              </w:tc>
              <w:tc>
                <w:tcPr/>
                <w:p>
                  <w:pPr>
                    <w:pStyle w:val="Compact"/>
                    <w:jc w:val="right"/>
                    <w:jc w:val="center"/>
                  </w:pPr>
                  <w:r>
                    <w:t xml:space="preserve">0.9877148</w:t>
                  </w:r>
                </w:p>
              </w:tc>
              <w:tc>
                <w:tcPr/>
                <w:p>
                  <w:pPr>
                    <w:pStyle w:val="Compact"/>
                    <w:jc w:val="right"/>
                    <w:jc w:val="center"/>
                  </w:pPr>
                  <w:r>
                    <w:t xml:space="preserve">0.9994361</w:t>
                  </w: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5" w:name="cell-fig-2-ema"/>
    <w:tbl>
      <w:tblPr>
        <w:tblStyle w:val="Table"/>
        <w:tblW w:type="pct" w:w="5000"/>
        <w:tblLayout w:type="fixed"/>
        <w:tblLook w:firstRow="0" w:lastRow="0" w:firstColumn="0" w:lastColumn="0" w:noHBand="0" w:noVBand="0" w:val="0000"/>
      </w:tblPr>
      <w:tblGrid>
        <w:gridCol w:w="7920"/>
      </w:tblGrid>
      <w:tr>
        <w:tc>
          <w:tcPr/>
          <w:bookmarkStart w:id="54" w:name="fig-2-ema"/>
          <w:p>
            <w:pPr>
              <w:pStyle w:val="Compact"/>
              <w:jc w:val="center"/>
            </w:pPr>
            <w:r>
              <w:drawing>
                <wp:inline>
                  <wp:extent cx="5334000" cy="4445000"/>
                  <wp:effectExtent b="0" l="0" r="0" t="0"/>
                  <wp:docPr descr="" title="" id="52" name="Picture"/>
                  <a:graphic>
                    <a:graphicData uri="http://schemas.openxmlformats.org/drawingml/2006/picture">
                      <pic:pic>
                        <pic:nvPicPr>
                          <pic:cNvPr descr="figures/ema_2.jpe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End w:id="56"/>
    <w:bookmarkEnd w:id="57"/>
    <w:bookmarkStart w:id="63"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2" w:name="cell-fig-3-ema"/>
    <w:tbl>
      <w:tblPr>
        <w:tblStyle w:val="Table"/>
        <w:tblW w:type="pct" w:w="5000"/>
        <w:tblLayout w:type="fixed"/>
        <w:tblLook w:firstRow="0" w:lastRow="0" w:firstColumn="0" w:lastColumn="0" w:noHBand="0" w:noVBand="0" w:val="0000"/>
      </w:tblPr>
      <w:tblGrid>
        <w:gridCol w:w="7920"/>
      </w:tblGrid>
      <w:tr>
        <w:tc>
          <w:tcPr/>
          <w:bookmarkStart w:id="61" w:name="fig-3-ema"/>
          <w:p>
            <w:pPr>
              <w:pStyle w:val="Compact"/>
              <w:jc w:val="center"/>
            </w:pPr>
            <w:r>
              <w:drawing>
                <wp:inline>
                  <wp:extent cx="5334000" cy="4267200"/>
                  <wp:effectExtent b="0" l="0" r="0" t="0"/>
                  <wp:docPr descr="" title="" id="59" name="Picture"/>
                  <a:graphic>
                    <a:graphicData uri="http://schemas.openxmlformats.org/drawingml/2006/picture">
                      <pic:pic>
                        <pic:nvPicPr>
                          <pic:cNvPr descr="figures/ema_3.jpe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End w:id="63"/>
    <w:bookmarkEnd w:id="64"/>
    <w:bookmarkStart w:id="71" w:name="discussion"/>
    <w:p>
      <w:pPr>
        <w:pStyle w:val="Heading2"/>
      </w:pPr>
      <w:r>
        <w:t xml:space="preserve">2.4 Discussion</w:t>
      </w:r>
    </w:p>
    <w:bookmarkStart w:id="65"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5"/>
    <w:bookmarkStart w:id="66"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6"/>
    <w:bookmarkStart w:id="69" w:name="Xf6ca54159972f4f7729ee08f27d71911bd3ae56"/>
    <w:p>
      <w:pPr>
        <w:pStyle w:val="Heading3"/>
      </w:pPr>
      <w:r>
        <w:t xml:space="preserve">2.4.3 Considerations for Clinical Implementation</w:t>
      </w:r>
    </w:p>
    <w:bookmarkStart w:id="67"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7"/>
    <w:bookmarkStart w:id="68"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8"/>
    <w:bookmarkEnd w:id="69"/>
    <w:bookmarkStart w:id="70"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70"/>
    <w:bookmarkEnd w:id="71"/>
    <w:bookmarkEnd w:id="72"/>
    <w:bookmarkStart w:id="73" w:name="Xa9dab75cb028dec3684db25ff70acaea84b1b87"/>
    <w:p>
      <w:pPr>
        <w:pStyle w:val="Heading1"/>
      </w:pPr>
      <w:r>
        <w:t xml:space="preserve">3. Lagged predictions of next day alcohol lapse risk for personalized and adaptive continuing care support</w:t>
      </w:r>
    </w:p>
    <w:bookmarkEnd w:id="73"/>
    <w:bookmarkStart w:id="74"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4"/>
    <w:bookmarkStart w:id="100" w:name="methods"/>
    <w:p>
      <w:pPr>
        <w:pStyle w:val="Heading1"/>
      </w:pPr>
      <w:r>
        <w:t xml:space="preserve">5. Methods</w:t>
      </w:r>
    </w:p>
    <w:bookmarkStart w:id="77"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5">
        <w:r>
          <w:rPr>
            <w:rStyle w:val="Hyperlink"/>
          </w:rPr>
          <w:t xml:space="preserve">https://osf.io/xta67/</w:t>
        </w:r>
      </w:hyperlink>
      <w:r>
        <w:t xml:space="preserve">). Our annotated analysis scripts and results are publicly available on our study website (</w:t>
      </w:r>
      <w:hyperlink r:id="rId76">
        <w:r>
          <w:rPr>
            <w:rStyle w:val="Hyperlink"/>
          </w:rPr>
          <w:t xml:space="preserve">https://jjcurtin.github.io/study_lag/</w:t>
        </w:r>
      </w:hyperlink>
      <w:r>
        <w:t xml:space="preserve">).</w:t>
      </w:r>
    </w:p>
    <w:bookmarkEnd w:id="77"/>
    <w:bookmarkStart w:id="78"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8"/>
    <w:bookmarkStart w:id="79"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79"/>
    <w:bookmarkStart w:id="80"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0"/>
    <w:bookmarkStart w:id="83" w:name="measures-1"/>
    <w:p>
      <w:pPr>
        <w:pStyle w:val="Heading2"/>
      </w:pPr>
      <w:r>
        <w:t xml:space="preserve">5.5 Measures</w:t>
      </w:r>
    </w:p>
    <w:bookmarkStart w:id="81"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1"/>
    <w:bookmarkStart w:id="82"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5">
        <w:r>
          <w:rPr>
            <w:rStyle w:val="Hyperlink"/>
          </w:rPr>
          <w:t xml:space="preserve">https://osf.io/xta67/</w:t>
        </w:r>
      </w:hyperlink>
      <w:r>
        <w:t xml:space="preserve">).</w:t>
      </w:r>
    </w:p>
    <w:bookmarkEnd w:id="82"/>
    <w:bookmarkEnd w:id="83"/>
    <w:bookmarkStart w:id="99"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89"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8" w:name="cell-fig-method"/>
    <w:tbl>
      <w:tblPr>
        <w:tblStyle w:val="Table"/>
        <w:tblW w:type="pct" w:w="5000"/>
        <w:tblLayout w:type="fixed"/>
        <w:tblLook w:firstRow="0" w:lastRow="0" w:firstColumn="0" w:lastColumn="0" w:noHBand="0" w:noVBand="0" w:val="0000"/>
      </w:tblPr>
      <w:tblGrid>
        <w:gridCol w:w="7920"/>
      </w:tblGrid>
      <w:tr>
        <w:tc>
          <w:tcPr/>
          <w:bookmarkStart w:id="87" w:name="fig-method"/>
          <w:p>
            <w:pPr>
              <w:pStyle w:val="Compact"/>
              <w:jc w:val="center"/>
            </w:pPr>
            <w:r>
              <w:drawing>
                <wp:inline>
                  <wp:extent cx="5334000" cy="4240840"/>
                  <wp:effectExtent b="0" l="0" r="0" t="0"/>
                  <wp:docPr descr="" title="" id="85" name="Picture"/>
                  <a:graphic>
                    <a:graphicData uri="http://schemas.openxmlformats.org/drawingml/2006/picture">
                      <pic:pic>
                        <pic:nvPicPr>
                          <pic:cNvPr descr="figures/methods.png" id="86" name="Picture"/>
                          <pic:cNvPicPr>
                            <a:picLocks noChangeArrowheads="1" noChangeAspect="1"/>
                          </pic:cNvPicPr>
                        </pic:nvPicPr>
                        <pic:blipFill>
                          <a:blip r:embed="rId8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8"/>
    <w:bookmarkEnd w:id="89"/>
    <w:bookmarkStart w:id="90"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0"/>
    <w:bookmarkStart w:id="91"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1"/>
    <w:bookmarkStart w:id="92"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2"/>
    <w:bookmarkStart w:id="93"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3"/>
    <w:bookmarkStart w:id="94"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4"/>
    <w:bookmarkStart w:id="95"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5"/>
    <w:bookmarkStart w:id="96"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6"/>
    <w:bookmarkStart w:id="97"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7"/>
    <w:bookmarkStart w:id="98"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8"/>
    <w:bookmarkEnd w:id="99"/>
    <w:bookmarkEnd w:id="100"/>
    <w:bookmarkStart w:id="135" w:name="results-1"/>
    <w:p>
      <w:pPr>
        <w:pStyle w:val="Heading1"/>
      </w:pPr>
      <w:r>
        <w:t xml:space="preserve">6. Results</w:t>
      </w:r>
    </w:p>
    <w:bookmarkStart w:id="102"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1" w:name="tbl-dem"/>
          <w:p>
            <w:pPr>
              <w:jc w:val="center"/>
            </w:pPr>
            <w:pPr>
              <w:jc w:val="left"/>
              <w:spacing w:before="200"/>
              <w:pStyle w:val="ImageCaption"/>
            </w:pPr>
            <w:r>
              <w:t xml:space="preserve">Table 3: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1"/>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102"/>
    <w:bookmarkStart w:id="108"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6" w:name="fig-2-lag"/>
          <w:p>
            <w:pPr>
              <w:pStyle w:val="Compact"/>
              <w:jc w:val="center"/>
            </w:pPr>
            <w:r>
              <w:drawing>
                <wp:inline>
                  <wp:extent cx="5334000" cy="5334000"/>
                  <wp:effectExtent b="0" l="0" r="0" t="0"/>
                  <wp:docPr descr="" title="" id="104" name="Picture"/>
                  <a:graphic>
                    <a:graphicData uri="http://schemas.openxmlformats.org/drawingml/2006/picture">
                      <pic:pic>
                        <pic:nvPicPr>
                          <pic:cNvPr descr="index_files/figure-docx/notebooks-figures-fig-2-lag-output-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Make All Figures for Dissertation</w:t>
        </w:r>
      </w:hyperlink>
    </w:p>
    <w:bookmarkEnd w:id="108"/>
    <w:bookmarkStart w:id="111"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09"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pP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pP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pP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pP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09"/>
          <w:p/>
        </w:tc>
      </w:tr>
    </w:tbl>
    <w:p>
      <w:pPr>
        <w:pStyle w:val="BodyText"/>
      </w:pPr>
      <w:r>
        <w:rPr>
          <w:vertAlign w:val="subscript"/>
        </w:rPr>
        <w:t xml:space="preserve">Source:</w:t>
      </w:r>
      <w:r>
        <w:rPr>
          <w:vertAlign w:val="subscript"/>
        </w:rPr>
        <w:t xml:space="preserve"> </w:t>
      </w:r>
      <w:hyperlink r:id="rId110">
        <w:r>
          <w:rPr>
            <w:rStyle w:val="Hyperlink"/>
            <w:vertAlign w:val="subscript"/>
          </w:rPr>
          <w:t xml:space="preserve">Make All Tables for Dissertation</w:t>
        </w:r>
      </w:hyperlink>
    </w:p>
    <w:bookmarkEnd w:id="111"/>
    <w:bookmarkStart w:id="114"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2"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pP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pP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pP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2"/>
          <w:p/>
        </w:tc>
      </w:tr>
    </w:tbl>
    <w:p>
      <w:pPr>
        <w:pStyle w:val="BodyText"/>
      </w:pPr>
      <w:r>
        <w:rPr>
          <w:vertAlign w:val="subscript"/>
        </w:rPr>
        <w:t xml:space="preserve">Source:</w:t>
      </w:r>
      <w:r>
        <w:rPr>
          <w:vertAlign w:val="subscript"/>
        </w:rPr>
        <w:t xml:space="preserve"> </w:t>
      </w:r>
      <w:hyperlink r:id="rId113">
        <w:r>
          <w:rPr>
            <w:rStyle w:val="Hyperlink"/>
            <w:vertAlign w:val="subscript"/>
          </w:rPr>
          <w:t xml:space="preserve">Make All Tables for Dissertation</w:t>
        </w:r>
      </w:hyperlink>
    </w:p>
    <w:bookmarkEnd w:id="114"/>
    <w:bookmarkStart w:id="120"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8" w:name="fig-cal"/>
          <w:p>
            <w:pPr>
              <w:pStyle w:val="Compact"/>
              <w:jc w:val="center"/>
            </w:pPr>
            <w:r>
              <w:drawing>
                <wp:inline>
                  <wp:extent cx="5334000" cy="5334000"/>
                  <wp:effectExtent b="0" l="0" r="0" t="0"/>
                  <wp:docPr descr="" title="" id="116" name="Picture"/>
                  <a:graphic>
                    <a:graphicData uri="http://schemas.openxmlformats.org/drawingml/2006/picture">
                      <pic:pic>
                        <pic:nvPicPr>
                          <pic:cNvPr descr="index_files/figure-docx/notebooks-figures-fig-cal-output-1.png" id="117" name="Picture"/>
                          <pic:cNvPicPr>
                            <a:picLocks noChangeArrowheads="1" noChangeAspect="1"/>
                          </pic:cNvPicPr>
                        </pic:nvPicPr>
                        <pic:blipFill>
                          <a:blip r:embed="rId11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8"/>
        </w:tc>
      </w:tr>
    </w:tbl>
    <w:p>
      <w:pPr>
        <w:pStyle w:val="BodyText"/>
      </w:pPr>
      <w:r>
        <w:rPr>
          <w:vertAlign w:val="subscript"/>
        </w:rPr>
        <w:t xml:space="preserve">Source:</w:t>
      </w:r>
      <w:r>
        <w:rPr>
          <w:vertAlign w:val="subscript"/>
        </w:rPr>
        <w:t xml:space="preserve"> </w:t>
      </w:r>
      <w:hyperlink r:id="rId119">
        <w:r>
          <w:rPr>
            <w:rStyle w:val="Hyperlink"/>
            <w:vertAlign w:val="subscript"/>
          </w:rPr>
          <w:t xml:space="preserve">Make All Figures for Dissertation</w:t>
        </w:r>
      </w:hyperlink>
    </w:p>
    <w:bookmarkEnd w:id="120"/>
    <w:bookmarkStart w:id="126"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4" w:name="fig-4-lag"/>
          <w:p>
            <w:pPr>
              <w:pStyle w:val="Compact"/>
              <w:jc w:val="center"/>
            </w:pPr>
            <w:r>
              <w:drawing>
                <wp:inline>
                  <wp:extent cx="5334000" cy="3333749"/>
                  <wp:effectExtent b="0" l="0" r="0" t="0"/>
                  <wp:docPr descr="" title="" id="122" name="Picture"/>
                  <a:graphic>
                    <a:graphicData uri="http://schemas.openxmlformats.org/drawingml/2006/picture">
                      <pic:pic>
                        <pic:nvPicPr>
                          <pic:cNvPr descr="index_files/figure-docx/notebooks-figures-fig-4-lag-output-1.png" id="123" name="Picture"/>
                          <pic:cNvPicPr>
                            <a:picLocks noChangeArrowheads="1" noChangeAspect="1"/>
                          </pic:cNvPicPr>
                        </pic:nvPicPr>
                        <pic:blipFill>
                          <a:blip r:embed="rId1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4"/>
        </w:tc>
      </w:tr>
    </w:tbl>
    <w:p>
      <w:pPr>
        <w:pStyle w:val="BodyText"/>
      </w:pPr>
      <w:r>
        <w:rPr>
          <w:vertAlign w:val="subscript"/>
        </w:rPr>
        <w:t xml:space="preserve">Source:</w:t>
      </w:r>
      <w:r>
        <w:rPr>
          <w:vertAlign w:val="subscript"/>
        </w:rPr>
        <w:t xml:space="preserve"> </w:t>
      </w:r>
      <w:hyperlink r:id="rId125">
        <w:r>
          <w:rPr>
            <w:rStyle w:val="Hyperlink"/>
            <w:vertAlign w:val="subscript"/>
          </w:rPr>
          <w:t xml:space="preserve">Make All Figures for Dissertation</w:t>
        </w:r>
      </w:hyperlink>
    </w:p>
    <w:bookmarkEnd w:id="126"/>
    <w:bookmarkStart w:id="134" w:name="discussion-1"/>
    <w:p>
      <w:pPr>
        <w:pStyle w:val="Heading2"/>
      </w:pPr>
      <w:r>
        <w:t xml:space="preserve">6.7 Discussion</w:t>
      </w:r>
    </w:p>
    <w:bookmarkStart w:id="127"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7"/>
    <w:bookmarkStart w:id="128"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8"/>
    <w:bookmarkStart w:id="131" w:name="model-characterization-1"/>
    <w:p>
      <w:pPr>
        <w:pStyle w:val="Heading3"/>
      </w:pPr>
      <w:r>
        <w:t xml:space="preserve">6.7.3 Model Characterization</w:t>
      </w:r>
    </w:p>
    <w:bookmarkStart w:id="129"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29"/>
    <w:bookmarkStart w:id="130"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0"/>
    <w:bookmarkEnd w:id="131"/>
    <w:bookmarkStart w:id="132"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2"/>
    <w:bookmarkStart w:id="133"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133"/>
    <w:bookmarkEnd w:id="134"/>
    <w:bookmarkEnd w:id="135"/>
    <w:bookmarkStart w:id="193"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6"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6"/>
    <w:bookmarkStart w:id="157" w:name="methods-1"/>
    <w:p>
      <w:pPr>
        <w:pStyle w:val="Heading2"/>
      </w:pPr>
      <w:r>
        <w:t xml:space="preserve">7.2 Methods</w:t>
      </w:r>
    </w:p>
    <w:bookmarkStart w:id="139"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7">
        <w:r>
          <w:rPr>
            <w:rStyle w:val="Hyperlink"/>
          </w:rPr>
          <w:t xml:space="preserve">https://osf.io/zvm7s/overview</w:t>
        </w:r>
      </w:hyperlink>
      <w:r>
        <w:t xml:space="preserve">) and our annotated analysis scripts and results are publicly available on our study website (</w:t>
      </w:r>
      <w:hyperlink r:id="rId138">
        <w:r>
          <w:rPr>
            <w:rStyle w:val="Hyperlink"/>
          </w:rPr>
          <w:t xml:space="preserve">https://jjcurtin.github.io/study_risk2/</w:t>
        </w:r>
      </w:hyperlink>
      <w:r>
        <w:t xml:space="preserve">).</w:t>
      </w:r>
      <w:r>
        <w:t xml:space="preserve"> </w:t>
      </w:r>
    </w:p>
    <w:bookmarkEnd w:id="139"/>
    <w:bookmarkStart w:id="140" w:name="participants-2"/>
    <w:p>
      <w:pPr>
        <w:pStyle w:val="Heading3"/>
      </w:pPr>
      <w:r>
        <w:t xml:space="preserve">7.2.2 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0"/>
    <w:bookmarkStart w:id="143"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1"/>
      </w:r>
      <w:r>
        <w:t xml:space="preserve">, and $5 per month for sharing geolocation data.</w:t>
      </w:r>
      <w:r>
        <w:rPr>
          <w:rStyle w:val="FootnoteReference"/>
        </w:rPr>
        <w:footnoteReference w:id="142"/>
      </w:r>
      <w:r>
        <w:t xml:space="preserve"> </w:t>
      </w:r>
      <w:r>
        <w:t xml:space="preserve">Participants were also paid $50 per month to offset the cost of maintaining a cellphone data plan.</w:t>
      </w:r>
    </w:p>
    <w:bookmarkEnd w:id="143"/>
    <w:bookmarkStart w:id="147" w:name="measures-2"/>
    <w:p>
      <w:pPr>
        <w:pStyle w:val="Heading3"/>
      </w:pPr>
      <w:r>
        <w:t xml:space="preserve">7.2.4 Measures</w:t>
      </w:r>
    </w:p>
    <w:bookmarkStart w:id="144"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4"/>
    <w:bookmarkStart w:id="145"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5"/>
    <w:bookmarkStart w:id="146"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6"/>
    <w:bookmarkEnd w:id="147"/>
    <w:bookmarkStart w:id="156"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8"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risk2dem">
        <w:r>
          <w:rPr>
            <w:rStyle w:val="Hyperlink"/>
          </w:rPr>
          <w:t xml:space="preserve">Table 6</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8"/>
    <w:bookmarkStart w:id="149"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49"/>
    <w:bookmarkStart w:id="150"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0"/>
    <w:bookmarkStart w:id="151"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1"/>
    <w:bookmarkStart w:id="154"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2"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2"/>
    <w:bookmarkStart w:id="153"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3"/>
    <w:bookmarkEnd w:id="154"/>
    <w:bookmarkStart w:id="155"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5"/>
    <w:bookmarkEnd w:id="156"/>
    <w:bookmarkEnd w:id="157"/>
    <w:bookmarkStart w:id="191" w:name="results-2"/>
    <w:p>
      <w:pPr>
        <w:pStyle w:val="Heading2"/>
      </w:pPr>
      <w:r>
        <w:t xml:space="preserve">7.3 Results</w:t>
      </w:r>
    </w:p>
    <w:bookmarkStart w:id="162"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8"/>
      </w:r>
      <w:r>
        <w:t xml:space="preserve"> </w:t>
      </w:r>
      <w:r>
        <w:t xml:space="preserve">Of these 330, 14 were excluded for not providing at least 28 days of EMA data with acceptable adherence</w:t>
      </w:r>
      <w:r>
        <w:rPr>
          <w:rStyle w:val="FootnoteReference"/>
        </w:rPr>
        <w:footnoteReference w:id="159"/>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0"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0"/>
          <w:p/>
        </w:tc>
      </w:tr>
    </w:tbl>
    <w:p>
      <w:pPr>
        <w:pStyle w:val="BodyText"/>
      </w:pPr>
      <w:r>
        <w:rPr>
          <w:vertAlign w:val="subscript"/>
        </w:rPr>
        <w:t xml:space="preserve">Source:</w:t>
      </w:r>
      <w:r>
        <w:rPr>
          <w:vertAlign w:val="subscript"/>
        </w:rPr>
        <w:t xml:space="preserve"> </w:t>
      </w:r>
      <w:hyperlink r:id="rId161">
        <w:r>
          <w:rPr>
            <w:rStyle w:val="Hyperlink"/>
            <w:vertAlign w:val="subscript"/>
          </w:rPr>
          <w:t xml:space="preserve">Make All Tables for Dissertation</w:t>
        </w:r>
      </w:hyperlink>
    </w:p>
    <w:bookmarkEnd w:id="162"/>
    <w:bookmarkStart w:id="163"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3"/>
    <w:bookmarkStart w:id="171"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4"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4"/>
          <w:p/>
        </w:tc>
      </w:tr>
    </w:tbl>
    <w:p>
      <w:pPr>
        <w:pStyle w:val="BodyText"/>
      </w:pPr>
      <w:r>
        <w:rPr>
          <w:vertAlign w:val="subscript"/>
        </w:rPr>
        <w:t xml:space="preserve">Source:</w:t>
      </w:r>
      <w:r>
        <w:rPr>
          <w:vertAlign w:val="subscript"/>
        </w:rPr>
        <w:t xml:space="preserve"> </w:t>
      </w:r>
      <w:hyperlink r:id="rId165">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1"/>
          <w:p>
            <w:pPr>
              <w:pStyle w:val="Compact"/>
              <w:jc w:val="center"/>
            </w:pPr>
            <w:r>
              <w:drawing>
                <wp:inline>
                  <wp:extent cx="5334000" cy="3810000"/>
                  <wp:effectExtent b="0" l="0" r="0" t="0"/>
                  <wp:docPr descr="" title="" id="167" name="Picture"/>
                  <a:graphic>
                    <a:graphicData uri="http://schemas.openxmlformats.org/drawingml/2006/picture">
                      <pic:pic>
                        <pic:nvPicPr>
                          <pic:cNvPr descr="index_files/figure-docx/notebooks-figures-fig-1-output-2.png" id="168" name="Picture"/>
                          <pic:cNvPicPr>
                            <a:picLocks noChangeArrowheads="1" noChangeAspect="1"/>
                          </pic:cNvPicPr>
                        </pic:nvPicPr>
                        <pic:blipFill>
                          <a:blip r:embed="rId16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69"/>
        </w:tc>
      </w:tr>
    </w:tbl>
    <w:p>
      <w:pPr>
        <w:pStyle w:val="BodyText"/>
      </w:pPr>
      <w:r>
        <w:rPr>
          <w:vertAlign w:val="subscript"/>
        </w:rPr>
        <w:t xml:space="preserve">Source:</w:t>
      </w:r>
      <w:r>
        <w:rPr>
          <w:vertAlign w:val="subscript"/>
        </w:rPr>
        <w:t xml:space="preserve"> </w:t>
      </w:r>
      <w:hyperlink r:id="rId170">
        <w:r>
          <w:rPr>
            <w:rStyle w:val="Hyperlink"/>
            <w:vertAlign w:val="subscript"/>
          </w:rPr>
          <w:t xml:space="preserve">Make All Figures for Dissertation</w:t>
        </w:r>
      </w:hyperlink>
    </w:p>
    <w:bookmarkEnd w:id="171"/>
    <w:bookmarkStart w:id="178"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2"/>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2"/>
          <w:p>
            <w:pPr>
              <w:pStyle w:val="Compact"/>
              <w:jc w:val="center"/>
            </w:pPr>
            <w:r>
              <w:drawing>
                <wp:inline>
                  <wp:extent cx="5334000" cy="3333749"/>
                  <wp:effectExtent b="0" l="0" r="0" t="0"/>
                  <wp:docPr descr="" title="" id="174" name="Picture"/>
                  <a:graphic>
                    <a:graphicData uri="http://schemas.openxmlformats.org/drawingml/2006/picture">
                      <pic:pic>
                        <pic:nvPicPr>
                          <pic:cNvPr descr="index_files/figure-docx/notebooks-figures-fig-2-output-1.png" id="175" name="Picture"/>
                          <pic:cNvPicPr>
                            <a:picLocks noChangeArrowheads="1" noChangeAspect="1"/>
                          </pic:cNvPicPr>
                        </pic:nvPicPr>
                        <pic:blipFill>
                          <a:blip r:embed="rId173"/>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176"/>
        </w:tc>
      </w:tr>
    </w:tbl>
    <w:p>
      <w:pPr>
        <w:pStyle w:val="BodyText"/>
      </w:pPr>
      <w:r>
        <w:rPr>
          <w:vertAlign w:val="subscript"/>
        </w:rPr>
        <w:t xml:space="preserve">Source:</w:t>
      </w:r>
      <w:r>
        <w:rPr>
          <w:vertAlign w:val="subscript"/>
        </w:rPr>
        <w:t xml:space="preserve"> </w:t>
      </w:r>
      <w:hyperlink r:id="rId177">
        <w:r>
          <w:rPr>
            <w:rStyle w:val="Hyperlink"/>
            <w:vertAlign w:val="subscript"/>
          </w:rPr>
          <w:t xml:space="preserve">Make All Figures for Dissertation</w:t>
        </w:r>
      </w:hyperlink>
    </w:p>
    <w:bookmarkEnd w:id="178"/>
    <w:bookmarkStart w:id="190"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3" w:name="fig-3"/>
          <w:p>
            <w:pPr>
              <w:pStyle w:val="Compact"/>
              <w:jc w:val="center"/>
            </w:pPr>
            <w:bookmarkStart w:id="182" w:name="fig-3"/>
            <w:r>
              <w:drawing>
                <wp:inline>
                  <wp:extent cx="5334000" cy="3333749"/>
                  <wp:effectExtent b="0" l="0" r="0" t="0"/>
                  <wp:docPr descr="" title="" id="180" name="Picture"/>
                  <a:graphic>
                    <a:graphicData uri="http://schemas.openxmlformats.org/drawingml/2006/picture">
                      <pic:pic>
                        <pic:nvPicPr>
                          <pic:cNvPr descr="index_files/figure-docx/notebooks-figures-fig-3-output-1.png" id="181" name="Picture"/>
                          <pic:cNvPicPr>
                            <a:picLocks noChangeArrowheads="1" noChangeAspect="1"/>
                          </pic:cNvPicPr>
                        </pic:nvPicPr>
                        <pic:blipFill>
                          <a:blip r:embed="rId179"/>
                          <a:stretch>
                            <a:fillRect/>
                          </a:stretch>
                        </pic:blipFill>
                        <pic:spPr bwMode="auto">
                          <a:xfrm>
                            <a:off x="0" y="0"/>
                            <a:ext cx="5334000" cy="3333749"/>
                          </a:xfrm>
                          <a:prstGeom prst="rect">
                            <a:avLst/>
                          </a:prstGeom>
                          <a:noFill/>
                          <a:ln w="9525">
                            <a:noFill/>
                            <a:headEnd/>
                            <a:tailEnd/>
                          </a:ln>
                        </pic:spPr>
                      </pic:pic>
                    </a:graphicData>
                  </a:graphic>
                </wp:inline>
              </w:drawing>
            </w:r>
            <w:bookmarkEnd w:id="182"/>
          </w:p>
          <w:p>
            <w:pPr>
              <w:jc w:val="center"/>
            </w:pPr>
            <w:pPr>
              <w:jc w:val="left"/>
              <w:spacing w:before="200"/>
              <w:pStyle w:val="ImageCaption"/>
            </w:pPr>
            <w:r>
              <w:t xml:space="preserve">Figure 10</w:t>
            </w:r>
          </w:p>
          <w:bookmarkEnd w:id="183"/>
        </w:tc>
      </w:tr>
    </w:tbl>
    <w:p>
      <w:pPr>
        <w:pStyle w:val="BodyText"/>
      </w:pPr>
      <w:r>
        <w:rPr>
          <w:vertAlign w:val="subscript"/>
        </w:rPr>
        <w:t xml:space="preserve">Source:</w:t>
      </w:r>
      <w:r>
        <w:rPr>
          <w:vertAlign w:val="subscript"/>
        </w:rPr>
        <w:t xml:space="preserve"> </w:t>
      </w:r>
      <w:hyperlink r:id="rId184">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8" w:name="fig-4"/>
          <w:p>
            <w:pPr>
              <w:pStyle w:val="Compact"/>
              <w:jc w:val="center"/>
            </w:pPr>
            <w:r>
              <w:drawing>
                <wp:inline>
                  <wp:extent cx="5334000" cy="7467600"/>
                  <wp:effectExtent b="0" l="0" r="0" t="0"/>
                  <wp:docPr descr="" title="" id="186" name="Picture"/>
                  <a:graphic>
                    <a:graphicData uri="http://schemas.openxmlformats.org/drawingml/2006/picture">
                      <pic:pic>
                        <pic:nvPicPr>
                          <pic:cNvPr descr="index_files/figure-docx/notebooks-figures-fig-4-output-1.png" id="187" name="Picture"/>
                          <pic:cNvPicPr>
                            <a:picLocks noChangeArrowheads="1" noChangeAspect="1"/>
                          </pic:cNvPicPr>
                        </pic:nvPicPr>
                        <pic:blipFill>
                          <a:blip r:embed="rId18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8"/>
        </w:tc>
      </w:tr>
    </w:tbl>
    <w:p>
      <w:pPr>
        <w:pStyle w:val="BodyText"/>
      </w:pPr>
      <w:r>
        <w:rPr>
          <w:vertAlign w:val="subscript"/>
        </w:rPr>
        <w:t xml:space="preserve">Source:</w:t>
      </w:r>
      <w:r>
        <w:rPr>
          <w:vertAlign w:val="subscript"/>
        </w:rPr>
        <w:t xml:space="preserve"> </w:t>
      </w:r>
      <w:hyperlink r:id="rId189">
        <w:r>
          <w:rPr>
            <w:rStyle w:val="Hyperlink"/>
            <w:vertAlign w:val="subscript"/>
          </w:rPr>
          <w:t xml:space="preserve">Make All Figures for Dissertation</w:t>
        </w:r>
      </w:hyperlink>
    </w:p>
    <w:bookmarkEnd w:id="190"/>
    <w:bookmarkEnd w:id="191"/>
    <w:bookmarkStart w:id="192"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and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posibbly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opioid use disorder suggests it represents a promising step toward future real‑world implementation and evaluation.</w:t>
      </w:r>
    </w:p>
    <w:bookmarkEnd w:id="192"/>
    <w:bookmarkEnd w:id="193"/>
    <w:bookmarkStart w:id="203" w:name="discussion-3"/>
    <w:p>
      <w:pPr>
        <w:pStyle w:val="Heading1"/>
      </w:pPr>
      <w:r>
        <w:t xml:space="preserve">8. Discussion</w:t>
      </w:r>
    </w:p>
    <w:bookmarkStart w:id="196"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Start w:id="194" w:name="model-performance-2"/>
    <w:p>
      <w:pPr>
        <w:pStyle w:val="Heading3"/>
      </w:pPr>
      <w:r>
        <w:t xml:space="preserve">8.1.1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Several factors may explain this pattern. First, the AUD sample was geographically constrained (i.e., to the Madison, WI area), raising the possibility that local contextual factors uniquely influence lapse risk among women in this setting. Second, differences between substances may play a role. Opioid use is illegal and highly stigmatized, which may result in more equally elevated stigma across men and women. In contrast, alcohol use is broadly socially accepted, but there may be sex-specific circumstances where it is less accepted. Women may face distinct social pressures (e.g., childcare responsibilities) that intersect with AUD to increase internal and external experiences of stigma. These dynamics could affect measurement of both the outcome (e.g., women underreporting alcohol lapses compared to men) and the risk factors (e.g., failure to measure sex-specific risk-relevant experiences).</w:t>
      </w:r>
    </w:p>
    <w:bookmarkEnd w:id="194"/>
    <w:bookmarkStart w:id="195" w:name="important-features"/>
    <w:p>
      <w:pPr>
        <w:pStyle w:val="Heading3"/>
      </w:pPr>
      <w:r>
        <w:t xml:space="preserve">8.1.2 Important Features</w:t>
      </w:r>
    </w:p>
    <w:p>
      <w:pPr>
        <w:pStyle w:val="FirstParagraph"/>
      </w:pPr>
      <w:r>
        <w:t xml:space="preserve">When examining global feature importance (i.e., the average contribution of feature categories across all participants and observations),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 Craving/urges and abstinence self-efficacy/confidence also emerged as top features across all studies, suggesting they are important targets for intervention to support early recovery efforts.</w:t>
      </w:r>
    </w:p>
    <w:p>
      <w:pPr>
        <w:pStyle w:val="BodyText"/>
      </w:pPr>
      <w:r>
        <w:t xml:space="preserve">There were some noticeable differences across substances. Day of the prediction window influences lapse predictions for alcohol but not opioid lapses, potentially reflecting differences in normative patterns of use (e.g., weekend drinking vs. less patterned opioid use). Additionally, past pleasant events was the fourth most important EMA feature for opioid lapse risk, compared to the eighth most important EMA feature for alcohol lapse risk. Our partial dependence plot revealed a protective effect on opioid lapse risk. This is likely due to environmental contingencies around celebrations, recreational, social, and otherwise</w:t>
      </w:r>
      <w:r>
        <w:t xml:space="preserve"> </w:t>
      </w:r>
      <w:r>
        <w:t xml:space="preserve">“positive”</w:t>
      </w:r>
      <w:r>
        <w:t xml:space="preserve"> </w:t>
      </w:r>
      <w:r>
        <w:t xml:space="preserve">events. Alcohol is often integrated into these functions making these events higher risk for alcohol lapses compared to opioid lapses.</w:t>
      </w:r>
    </w:p>
    <w:p>
      <w:pPr>
        <w:pStyle w:val="BodyText"/>
      </w:pPr>
      <w:r>
        <w:t xml:space="preserve">We observed a diminished effect of the top EMA features when there was longer lag times between the prediction time 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w:t>
      </w:r>
    </w:p>
    <w:p>
      <w:pPr>
        <w:pStyle w:val="BodyText"/>
      </w:pPr>
      <w:r>
        <w:t xml:space="preserve">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dominant on a subset of days. Across studies, the proportion of day-level observations positive for lapse ranged from 1.8% to 7.7%. Therefore, when considering this model in the context of a recovery monitoring and support system that provides daily insight into lapse risk, features other than past use may, in most cases, represent more clinically meaningful targets for intervention.</w:t>
      </w:r>
    </w:p>
    <w:bookmarkEnd w:id="195"/>
    <w:bookmarkEnd w:id="196"/>
    <w:bookmarkStart w:id="197" w:name="limitations"/>
    <w:p>
      <w:pPr>
        <w:pStyle w:val="Heading2"/>
      </w:pPr>
      <w:r>
        <w:t xml:space="preserve">8.2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required to have a goal of abstinence. Although we see no inherent reason these models would not also perform well for individuals with a goal of moderation, this remains an empirical question. Future research should evaluate model performance in samples with moderation goals and increase representation of individuals with diverse recovery goals in training data.</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Given the heterogeneity in lapse risk and the complex interplay between environmental and individual factors, time series models that rely more heavily on an individual’s own data may outperform models trained solely at the group level.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7"/>
    <w:bookmarkStart w:id="201" w:name="recovery-monitoring-and-support-system-1"/>
    <w:p>
      <w:pPr>
        <w:pStyle w:val="Heading2"/>
      </w:pPr>
      <w:r>
        <w:t xml:space="preserve">8.3 Recovery Monitoring and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empirical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leveraged to inform personalized recovery support strategies.</w:t>
      </w:r>
    </w:p>
    <w:bookmarkStart w:id="198" w:name="X7426dc6c09fde6e15128813eef54ac8f46dd66f"/>
    <w:p>
      <w:pPr>
        <w:pStyle w:val="Heading3"/>
      </w:pPr>
      <w:r>
        <w:t xml:space="preserve">8.3.1 Immediate and Lagged Models as Complementary Support Tools</w:t>
      </w:r>
    </w:p>
    <w:p>
      <w:pPr>
        <w:pStyle w:val="FirstParagraph"/>
      </w:pPr>
      <w:r>
        <w:t xml:space="preserve">Immediate lapse prediction models are well suited to guiding individuals toward actionable, in-the-moment strategies to maintain recovery goals. These models can support individuals in both selecting and implementing coping responses by directing them to targeted interventions, such as specific app-based modules or brief skills exercises. For example, when an individual’s immediate risk is driven by elevated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bookmarkEnd w:id="198"/>
    <w:bookmarkStart w:id="199" w:name="communicating-model-output-to-patients"/>
    <w:p>
      <w:pPr>
        <w:pStyle w:val="Heading3"/>
      </w:pPr>
      <w:r>
        <w:t xml:space="preserve">8.3.2 Communicating Model Output to Patients</w:t>
      </w:r>
    </w:p>
    <w:p>
      <w:pPr>
        <w:pStyle w:val="FirstParagraph"/>
      </w:pPr>
      <w:r>
        <w:t xml:space="preserve">A central challenge for translating lapse prediction models into clinical impact is determining how to effectively communicate model outputs to individuals. Our models generate quantitative predictions of lapse probability, which can also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may be difficult for patients to interpret intuitively (e.g., distinguishing the practical meaning of a 79% versus a 64% lapse probability).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“black box” machine learning systems, such as by revealing contributing factors, can improve perceived credibility and user acceptance. In the context of recovery monitoring, selective transparency may also promote self-awareness and learning, potentially yielding additional clinical benefits. At the same time, overly detailed or complex explanations may undermine confidence by exposing model uncertainty, revealing occasional errors, or burdening users with unnecessary information. Thus, determining the optimal balance between transparency and simplicity remains an open empirical question.</w:t>
      </w:r>
    </w:p>
    <w:p>
      <w:pPr>
        <w:pStyle w:val="BodyText"/>
      </w:pPr>
      <w:r>
        <w:t xml:space="preserve">To address this gap, we have recently launched an NIAAA-funded study focused on optimizing daily support messages delivered by a recovery monitoring system. This work experimentally examines how key message components, including lapse probability, locally important features, risk-relevant recovery activity recommendations, and linguistic style and tone, affect engagement, trust, and clinical outcomes. The goal of this research is to generate clear, data-driven guidance for designing feedback that is both acceptable and effective.</w:t>
      </w:r>
    </w:p>
    <w:bookmarkEnd w:id="199"/>
    <w:bookmarkStart w:id="200" w:name="final-future-considerations"/>
    <w:p>
      <w:pPr>
        <w:pStyle w:val="Heading3"/>
      </w:pPr>
      <w:r>
        <w:t xml:space="preserve">8.3.3 Final Future Considerations</w:t>
      </w:r>
    </w:p>
    <w:p>
      <w:pPr>
        <w:pStyle w:val="FirstParagraph"/>
      </w:pPr>
      <w:r>
        <w:t xml:space="preserve">From an implementation perspective,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In our next immediate steps, we have begun to feed our model outputs as inputs to a large language model (LLM) to generate personalized messages. However, in the near future, we might use these model outputs into a more fully agentic AI system capable of dynamically delivering personalized recommendations, engaging individuals in interactive problem-solving, facilitating connections to therapists or peer supports, and initiating triage processes when risk reaches clinically concerning levels.</w:t>
      </w:r>
    </w:p>
    <w:p>
      <w:pPr>
        <w:pStyle w:val="BodyText"/>
      </w:pPr>
      <w:r>
        <w:t xml:space="preserve">Finally, these technological advances must be situated within the broader continuum of care and the structural realities of treatment access. Many individuals face significant barriers to accessing timely, consistent substance use treatment and recovery supports. While AI-based systems are not a solution to these structural challenges, they may play a complementary role by helping individuals navigate available resources, optimize limited clinical contacts, and extend the reach of human-delivered care. Viewed in this way, predictive modeling and AI-driven support systems offer a promising avenue for enhancing comprehensive precision care.</w:t>
      </w:r>
    </w:p>
    <w:bookmarkEnd w:id="200"/>
    <w:bookmarkEnd w:id="201"/>
    <w:bookmarkStart w:id="202" w:name="conclusions-1"/>
    <w:p>
      <w:pPr>
        <w:pStyle w:val="Heading2"/>
      </w:pPr>
      <w:r>
        <w:t xml:space="preserve">8.4 Conclusions</w:t>
      </w:r>
    </w:p>
    <w:p>
      <w:pPr>
        <w:pStyle w:val="FirstParagraph"/>
      </w:pPr>
      <w:r>
        <w:t xml:space="preserve">Collectively, these studies demonstrated that it is feasible to (1) collect temporally dense, recovery‑relevant data, (2) predict lapse risk at clinically meaningful time scales with interpretable models, and (3) do so in a way that supports equitable performance across diverse populations. Thus, these studied lay the groundwork for an automated recovery monitoring and support system to enhance continuing care following SUD treatment initiation.</w:t>
      </w:r>
    </w:p>
    <w:bookmarkEnd w:id="202"/>
    <w:bookmarkEnd w:id="203"/>
    <w:bookmarkStart w:id="452" w:name="references"/>
    <w:p>
      <w:pPr>
        <w:pStyle w:val="Heading1"/>
      </w:pPr>
      <w:r>
        <w:t xml:space="preserve">9. References</w:t>
      </w:r>
    </w:p>
    <w:bookmarkStart w:id="451" w:name="refs"/>
    <w:bookmarkStart w:id="205"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4">
        <w:r>
          <w:rPr>
            <w:rStyle w:val="Hyperlink"/>
          </w:rPr>
          <w:t xml:space="preserve">https://doi.org/10.1007/s40429-023-00492-5</w:t>
        </w:r>
      </w:hyperlink>
    </w:p>
    <w:bookmarkEnd w:id="205"/>
    <w:bookmarkStart w:id="206"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6"/>
    <w:bookmarkStart w:id="207"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7"/>
    <w:bookmarkStart w:id="209"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8">
        <w:r>
          <w:rPr>
            <w:rStyle w:val="Hyperlink"/>
          </w:rPr>
          <w:t xml:space="preserve">https://doi.org/10.2196/39862</w:t>
        </w:r>
      </w:hyperlink>
    </w:p>
    <w:bookmarkEnd w:id="209"/>
    <w:bookmarkStart w:id="211"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10">
        <w:r>
          <w:rPr>
            <w:rStyle w:val="Hyperlink"/>
          </w:rPr>
          <w:t xml:space="preserve">https://doi.org/10.1016/j.addbeh.2017.11.039</w:t>
        </w:r>
      </w:hyperlink>
    </w:p>
    <w:bookmarkEnd w:id="211"/>
    <w:bookmarkStart w:id="213"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12">
        <w:r>
          <w:rPr>
            <w:rStyle w:val="Hyperlink"/>
          </w:rPr>
          <w:t xml:space="preserve">https://doi.org/10.1007/s10488-016-0718-5</w:t>
        </w:r>
      </w:hyperlink>
    </w:p>
    <w:bookmarkEnd w:id="213"/>
    <w:bookmarkStart w:id="214"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4"/>
    <w:bookmarkStart w:id="215"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5"/>
    <w:bookmarkStart w:id="217"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6">
        <w:r>
          <w:rPr>
            <w:rStyle w:val="Hyperlink"/>
          </w:rPr>
          <w:t xml:space="preserve">https://doi.org/10.1001/jamapsychiatry.2013.4546</w:t>
        </w:r>
      </w:hyperlink>
    </w:p>
    <w:bookmarkEnd w:id="217"/>
    <w:bookmarkStart w:id="219"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8">
        <w:r>
          <w:rPr>
            <w:rStyle w:val="Hyperlink"/>
          </w:rPr>
          <w:t xml:space="preserve">https://doi.org/10.1146/annurev.clinpsy.3.022806.091455</w:t>
        </w:r>
      </w:hyperlink>
    </w:p>
    <w:bookmarkEnd w:id="219"/>
    <w:bookmarkStart w:id="221"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20">
        <w:r>
          <w:rPr>
            <w:rStyle w:val="Hyperlink"/>
          </w:rPr>
          <w:t xml:space="preserve">https://doi.org/10.1016/j.drugalcdep.2022.109362</w:t>
        </w:r>
      </w:hyperlink>
    </w:p>
    <w:bookmarkEnd w:id="221"/>
    <w:bookmarkStart w:id="223"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22">
        <w:r>
          <w:rPr>
            <w:rStyle w:val="Hyperlink"/>
          </w:rPr>
          <w:t xml:space="preserve">https://doi.org/10.1111/ajad.12784</w:t>
        </w:r>
      </w:hyperlink>
    </w:p>
    <w:bookmarkEnd w:id="223"/>
    <w:bookmarkStart w:id="225"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4">
        <w:r>
          <w:rPr>
            <w:rStyle w:val="Hyperlink"/>
          </w:rPr>
          <w:t xml:space="preserve">https://doi.org/10.1176/appi.ajp.2014.13081055</w:t>
        </w:r>
      </w:hyperlink>
    </w:p>
    <w:bookmarkEnd w:id="225"/>
    <w:bookmarkStart w:id="227"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6">
        <w:r>
          <w:rPr>
            <w:rStyle w:val="Hyperlink"/>
          </w:rPr>
          <w:t xml:space="preserve">https://doi.org/10.21231/GNT1-HW21</w:t>
        </w:r>
      </w:hyperlink>
    </w:p>
    <w:bookmarkEnd w:id="227"/>
    <w:bookmarkStart w:id="228"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8"/>
    <w:bookmarkStart w:id="229"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29"/>
    <w:bookmarkStart w:id="231"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30">
        <w:r>
          <w:rPr>
            <w:rStyle w:val="Hyperlink"/>
          </w:rPr>
          <w:t xml:space="preserve">https://doi.org/10.1016/j.jsat.2013.08.004</w:t>
        </w:r>
      </w:hyperlink>
    </w:p>
    <w:bookmarkEnd w:id="231"/>
    <w:bookmarkStart w:id="233"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32">
        <w:r>
          <w:rPr>
            <w:rStyle w:val="Hyperlink"/>
          </w:rPr>
          <w:t xml:space="preserve">https://doi.org/10.1016/j.drugalcdep.2014.10.004</w:t>
        </w:r>
      </w:hyperlink>
    </w:p>
    <w:bookmarkEnd w:id="233"/>
    <w:bookmarkStart w:id="235"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4">
        <w:r>
          <w:rPr>
            <w:rStyle w:val="Hyperlink"/>
          </w:rPr>
          <w:t xml:space="preserve">https://doi.org/10.1136/bmj-2023-078378</w:t>
        </w:r>
      </w:hyperlink>
    </w:p>
    <w:bookmarkEnd w:id="235"/>
    <w:bookmarkStart w:id="237"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6">
        <w:r>
          <w:rPr>
            <w:rStyle w:val="Hyperlink"/>
          </w:rPr>
          <w:t xml:space="preserve">https://doi.org/10.1007/978-3-319-72206-1</w:t>
        </w:r>
      </w:hyperlink>
    </w:p>
    <w:bookmarkEnd w:id="237"/>
    <w:bookmarkStart w:id="239"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8">
        <w:r>
          <w:rPr>
            <w:rStyle w:val="Hyperlink"/>
          </w:rPr>
          <w:t xml:space="preserve">https://doi.org/10.1176/ps.62.11.pss6211_1273</w:t>
        </w:r>
      </w:hyperlink>
    </w:p>
    <w:bookmarkEnd w:id="239"/>
    <w:bookmarkStart w:id="241"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40">
        <w:r>
          <w:rPr>
            <w:rStyle w:val="Hyperlink"/>
          </w:rPr>
          <w:t xml:space="preserve">https://doi.org/10.1093/oxfordhb/9780190067991.013.9</w:t>
        </w:r>
      </w:hyperlink>
    </w:p>
    <w:bookmarkEnd w:id="241"/>
    <w:bookmarkStart w:id="243"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42">
        <w:r>
          <w:rPr>
            <w:rStyle w:val="Hyperlink"/>
          </w:rPr>
          <w:t xml:space="preserve">https://doi.org/10.1007/s10862-017-9632-8</w:t>
        </w:r>
      </w:hyperlink>
    </w:p>
    <w:bookmarkEnd w:id="243"/>
    <w:bookmarkStart w:id="245" w:name="ref-dennisManagingAddictionChronic2007"/>
    <w:p>
      <w:pPr>
        <w:pStyle w:val="Bibliography"/>
      </w:pPr>
      <w:r>
        <w:t xml:space="preserve">Dennis, M., &amp; Scott, C. K. (2007).</w:t>
      </w:r>
      <w:r>
        <w:t xml:space="preserve"> </w:t>
      </w:r>
      <w:hyperlink r:id="rId24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5"/>
    <w:bookmarkStart w:id="246"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6"/>
    <w:bookmarkStart w:id="248"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47">
        <w:r>
          <w:rPr>
            <w:rStyle w:val="Hyperlink"/>
          </w:rPr>
          <w:t xml:space="preserve">https://doi.org/10.1016/j.brat.2019.103506</w:t>
        </w:r>
      </w:hyperlink>
    </w:p>
    <w:bookmarkEnd w:id="248"/>
    <w:bookmarkStart w:id="250"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49">
        <w:r>
          <w:rPr>
            <w:rStyle w:val="Hyperlink"/>
          </w:rPr>
          <w:t xml:space="preserve">https://doi.org/10.48550/arXiv.1810.04805</w:t>
        </w:r>
      </w:hyperlink>
    </w:p>
    <w:bookmarkEnd w:id="250"/>
    <w:bookmarkStart w:id="252"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51">
        <w:r>
          <w:rPr>
            <w:rStyle w:val="Hyperlink"/>
          </w:rPr>
          <w:t xml:space="preserve">https://doi.org/10.1037/adb0000292</w:t>
        </w:r>
      </w:hyperlink>
    </w:p>
    <w:bookmarkEnd w:id="252"/>
    <w:bookmarkStart w:id="254"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3">
        <w:r>
          <w:rPr>
            <w:rStyle w:val="Hyperlink"/>
          </w:rPr>
          <w:t xml:space="preserve">https://doi.org/10.1016/j.cmpb.2016.09.016</w:t>
        </w:r>
      </w:hyperlink>
    </w:p>
    <w:bookmarkEnd w:id="254"/>
    <w:bookmarkStart w:id="256"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5">
        <w:r>
          <w:rPr>
            <w:rStyle w:val="Hyperlink"/>
          </w:rPr>
          <w:t xml:space="preserve">https://doi.org/10.1037/a0037157</w:t>
        </w:r>
      </w:hyperlink>
    </w:p>
    <w:bookmarkEnd w:id="256"/>
    <w:bookmarkStart w:id="258"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57">
        <w:r>
          <w:rPr>
            <w:rStyle w:val="Hyperlink"/>
          </w:rPr>
          <w:t xml:space="preserve">https://doi.org/10.1037/pha0000210</w:t>
        </w:r>
      </w:hyperlink>
    </w:p>
    <w:bookmarkEnd w:id="258"/>
    <w:bookmarkStart w:id="260"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59">
        <w:r>
          <w:rPr>
            <w:rStyle w:val="Hyperlink"/>
          </w:rPr>
          <w:t xml:space="preserve">https://doi.org/10.1037/abn0000819</w:t>
        </w:r>
      </w:hyperlink>
    </w:p>
    <w:bookmarkEnd w:id="260"/>
    <w:bookmarkStart w:id="261"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61"/>
    <w:bookmarkStart w:id="263"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62">
        <w:r>
          <w:rPr>
            <w:rStyle w:val="Hyperlink"/>
          </w:rPr>
          <w:t xml:space="preserve">https://doi.org/10/ghqvcw</w:t>
        </w:r>
      </w:hyperlink>
    </w:p>
    <w:bookmarkEnd w:id="263"/>
    <w:bookmarkStart w:id="265"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4">
        <w:r>
          <w:rPr>
            <w:rStyle w:val="Hyperlink"/>
          </w:rPr>
          <w:t xml:space="preserve">https://doi.org/10.5555/ajhb.2007.31.supp.S47</w:t>
        </w:r>
      </w:hyperlink>
    </w:p>
    <w:bookmarkEnd w:id="265"/>
    <w:bookmarkStart w:id="267"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6">
        <w:r>
          <w:rPr>
            <w:rStyle w:val="Hyperlink"/>
          </w:rPr>
          <w:t xml:space="preserve">https://doi.org/10.1037/ccp0000026</w:t>
        </w:r>
      </w:hyperlink>
    </w:p>
    <w:bookmarkEnd w:id="267"/>
    <w:bookmarkStart w:id="269"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68">
        <w:r>
          <w:rPr>
            <w:rStyle w:val="Hyperlink"/>
          </w:rPr>
          <w:t xml:space="preserve">https://doi.org/10.1016/j.brat.2019.01.010</w:t>
        </w:r>
      </w:hyperlink>
    </w:p>
    <w:bookmarkEnd w:id="269"/>
    <w:bookmarkStart w:id="271"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70">
        <w:r>
          <w:rPr>
            <w:rStyle w:val="Hyperlink"/>
          </w:rPr>
          <w:t xml:space="preserve">https://doi.org/10.1016/j.drugalcdep.2020.108350</w:t>
        </w:r>
      </w:hyperlink>
    </w:p>
    <w:bookmarkEnd w:id="271"/>
    <w:bookmarkStart w:id="273"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72">
        <w:r>
          <w:rPr>
            <w:rStyle w:val="Hyperlink"/>
          </w:rPr>
          <w:t xml:space="preserve">https://doi.org/10.1080/10826084.2021.1899225</w:t>
        </w:r>
      </w:hyperlink>
    </w:p>
    <w:bookmarkEnd w:id="273"/>
    <w:bookmarkStart w:id="275"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4">
        <w:r>
          <w:rPr>
            <w:rStyle w:val="Hyperlink"/>
          </w:rPr>
          <w:t xml:space="preserve">https://doi.org/10.1001/jama.2022.2847</w:t>
        </w:r>
      </w:hyperlink>
    </w:p>
    <w:bookmarkEnd w:id="275"/>
    <w:bookmarkStart w:id="277"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6">
        <w:r>
          <w:rPr>
            <w:rStyle w:val="Hyperlink"/>
          </w:rPr>
          <w:t xml:space="preserve">https://doi.org/10.1146/annurev-clinpsy-102419-125016</w:t>
        </w:r>
      </w:hyperlink>
    </w:p>
    <w:bookmarkEnd w:id="277"/>
    <w:bookmarkStart w:id="278"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78"/>
    <w:bookmarkStart w:id="279"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79"/>
    <w:bookmarkStart w:id="281"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80">
        <w:r>
          <w:rPr>
            <w:rStyle w:val="Hyperlink"/>
          </w:rPr>
          <w:t xml:space="preserve">https://doi.org/10.1001/jamapsychiatry.2015.0584</w:t>
        </w:r>
      </w:hyperlink>
    </w:p>
    <w:bookmarkEnd w:id="281"/>
    <w:bookmarkStart w:id="283"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82">
        <w:r>
          <w:rPr>
            <w:rStyle w:val="Hyperlink"/>
          </w:rPr>
          <w:t xml:space="preserve">https://doi.org/10.1016/j.drugalcdep.2006.05.012</w:t>
        </w:r>
      </w:hyperlink>
    </w:p>
    <w:bookmarkEnd w:id="283"/>
    <w:bookmarkStart w:id="285"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84">
        <w:r>
          <w:rPr>
            <w:rStyle w:val="Hyperlink"/>
          </w:rPr>
          <w:t xml:space="preserve">https://doi.org/10.1016/j.drugalcdep.2013.07.027</w:t>
        </w:r>
      </w:hyperlink>
    </w:p>
    <w:bookmarkEnd w:id="285"/>
    <w:bookmarkStart w:id="287"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86">
        <w:r>
          <w:rPr>
            <w:rStyle w:val="Hyperlink"/>
          </w:rPr>
          <w:t xml:space="preserve">https://doi.org/10.1001/jamapsychiatry.2013.4642</w:t>
        </w:r>
      </w:hyperlink>
    </w:p>
    <w:bookmarkEnd w:id="287"/>
    <w:bookmarkStart w:id="289"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88">
        <w:r>
          <w:rPr>
            <w:rStyle w:val="Hyperlink"/>
          </w:rPr>
          <w:t xml:space="preserve">https://doi.org/10.1176/appi.ajp.21090963</w:t>
        </w:r>
      </w:hyperlink>
    </w:p>
    <w:bookmarkEnd w:id="289"/>
    <w:bookmarkStart w:id="290"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90"/>
    <w:bookmarkStart w:id="292"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91">
        <w:r>
          <w:rPr>
            <w:rStyle w:val="Hyperlink"/>
          </w:rPr>
          <w:t xml:space="preserve">https://doi.org/10.2196/mental.9777</w:t>
        </w:r>
      </w:hyperlink>
    </w:p>
    <w:bookmarkEnd w:id="292"/>
    <w:bookmarkStart w:id="293"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3"/>
    <w:bookmarkStart w:id="294"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294"/>
    <w:bookmarkStart w:id="296"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295">
        <w:r>
          <w:rPr>
            <w:rStyle w:val="Hyperlink"/>
          </w:rPr>
          <w:t xml:space="preserve">https://doi.org/10.1016/j.josat.2025.209685</w:t>
        </w:r>
      </w:hyperlink>
    </w:p>
    <w:bookmarkEnd w:id="296"/>
    <w:bookmarkStart w:id="298"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297">
        <w:r>
          <w:rPr>
            <w:rStyle w:val="Hyperlink"/>
          </w:rPr>
          <w:t xml:space="preserve">https://doi.org/10.1097/ADM.0000000000000312</w:t>
        </w:r>
      </w:hyperlink>
    </w:p>
    <w:bookmarkEnd w:id="298"/>
    <w:bookmarkStart w:id="299"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299"/>
    <w:bookmarkStart w:id="301"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300">
        <w:r>
          <w:rPr>
            <w:rStyle w:val="Hyperlink"/>
          </w:rPr>
          <w:t xml:space="preserve">https://doi.org/10.1145/1867699.1867704</w:t>
        </w:r>
      </w:hyperlink>
    </w:p>
    <w:bookmarkEnd w:id="301"/>
    <w:bookmarkStart w:id="302"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302"/>
    <w:bookmarkStart w:id="303"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3"/>
    <w:bookmarkStart w:id="305"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04">
        <w:r>
          <w:rPr>
            <w:rStyle w:val="Hyperlink"/>
          </w:rPr>
          <w:t xml:space="preserve">https://doi.org/10.1023/A:1008987426876</w:t>
        </w:r>
      </w:hyperlink>
    </w:p>
    <w:bookmarkEnd w:id="305"/>
    <w:bookmarkStart w:id="307"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06">
        <w:r>
          <w:rPr>
            <w:rStyle w:val="Hyperlink"/>
          </w:rPr>
          <w:t xml:space="preserve">https://doi.org/10/gfsjzg</w:t>
        </w:r>
      </w:hyperlink>
    </w:p>
    <w:bookmarkEnd w:id="307"/>
    <w:bookmarkStart w:id="308"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08"/>
    <w:bookmarkStart w:id="310"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09">
        <w:r>
          <w:rPr>
            <w:rStyle w:val="Hyperlink"/>
          </w:rPr>
          <w:t xml:space="preserve">https://doi.org/10.1016/j.drugalcdep.2016.10.038</w:t>
        </w:r>
      </w:hyperlink>
    </w:p>
    <w:bookmarkEnd w:id="310"/>
    <w:bookmarkStart w:id="312"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11">
        <w:r>
          <w:rPr>
            <w:rStyle w:val="Hyperlink"/>
          </w:rPr>
          <w:t xml:space="preserve">https://doi.org/10.1001/jamanetworkopen.2020.5852</w:t>
        </w:r>
      </w:hyperlink>
    </w:p>
    <w:bookmarkEnd w:id="312"/>
    <w:bookmarkStart w:id="314"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13">
        <w:r>
          <w:rPr>
            <w:rStyle w:val="Hyperlink"/>
          </w:rPr>
          <w:t xml:space="preserve">https://doi.org/10.1007/s11920-012-0296-5</w:t>
        </w:r>
      </w:hyperlink>
    </w:p>
    <w:bookmarkEnd w:id="314"/>
    <w:bookmarkStart w:id="316"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15">
        <w:r>
          <w:rPr>
            <w:rStyle w:val="Hyperlink"/>
          </w:rPr>
          <w:t xml:space="preserve">https://doi.org/10.1016/j.amepre.2019.08.034</w:t>
        </w:r>
      </w:hyperlink>
    </w:p>
    <w:bookmarkEnd w:id="316"/>
    <w:bookmarkStart w:id="318"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17">
        <w:r>
          <w:rPr>
            <w:rStyle w:val="Hyperlink"/>
          </w:rPr>
          <w:t xml:space="preserve">https://doi.org/10.1016/j.cger.2014.04.008</w:t>
        </w:r>
      </w:hyperlink>
    </w:p>
    <w:bookmarkEnd w:id="318"/>
    <w:bookmarkStart w:id="319"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19"/>
    <w:bookmarkStart w:id="321"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20">
        <w:r>
          <w:rPr>
            <w:rStyle w:val="Hyperlink"/>
          </w:rPr>
          <w:t xml:space="preserve">https://doi.org/10.1007/978-1-4614-6849-3</w:t>
        </w:r>
      </w:hyperlink>
    </w:p>
    <w:bookmarkEnd w:id="321"/>
    <w:bookmarkStart w:id="322"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22"/>
    <w:bookmarkStart w:id="324"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23">
        <w:r>
          <w:rPr>
            <w:rStyle w:val="Hyperlink"/>
          </w:rPr>
          <w:t xml:space="preserve">https://doi.org/10.1214/17-EJS1338SI</w:t>
        </w:r>
      </w:hyperlink>
    </w:p>
    <w:bookmarkEnd w:id="324"/>
    <w:bookmarkStart w:id="326"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25">
        <w:r>
          <w:rPr>
            <w:rStyle w:val="Hyperlink"/>
          </w:rPr>
          <w:t xml:space="preserve">https://doi.org/10.1016/j.amepre.2022.08.022</w:t>
        </w:r>
      </w:hyperlink>
    </w:p>
    <w:bookmarkEnd w:id="326"/>
    <w:bookmarkStart w:id="327"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27"/>
    <w:bookmarkStart w:id="329"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28">
        <w:r>
          <w:rPr>
            <w:rStyle w:val="Hyperlink"/>
          </w:rPr>
          <w:t xml:space="preserve">https://doi.org/10.1080/00952990.2019.1694536</w:t>
        </w:r>
      </w:hyperlink>
    </w:p>
    <w:bookmarkEnd w:id="329"/>
    <w:bookmarkStart w:id="331"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30">
        <w:r>
          <w:rPr>
            <w:rStyle w:val="Hyperlink"/>
          </w:rPr>
          <w:t xml:space="preserve">https://doi.org/10.1111/jrh.70076</w:t>
        </w:r>
      </w:hyperlink>
    </w:p>
    <w:bookmarkEnd w:id="331"/>
    <w:bookmarkStart w:id="332"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32"/>
    <w:bookmarkStart w:id="334"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33">
        <w:r>
          <w:rPr>
            <w:rStyle w:val="Hyperlink"/>
          </w:rPr>
          <w:t xml:space="preserve">https://doi.org/10.1038/s41380-018-0094-5</w:t>
        </w:r>
      </w:hyperlink>
    </w:p>
    <w:bookmarkEnd w:id="334"/>
    <w:bookmarkStart w:id="336"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35">
        <w:r>
          <w:rPr>
            <w:rStyle w:val="Hyperlink"/>
          </w:rPr>
          <w:t xml:space="preserve">https://doi.org/10.1097/JTO.0b013e3181ec173d</w:t>
        </w:r>
      </w:hyperlink>
    </w:p>
    <w:bookmarkEnd w:id="336"/>
    <w:bookmarkStart w:id="337"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37"/>
    <w:bookmarkStart w:id="338"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38"/>
    <w:bookmarkStart w:id="340"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39">
        <w:r>
          <w:rPr>
            <w:rStyle w:val="Hyperlink"/>
          </w:rPr>
          <w:t xml:space="preserve">https://doi.org/10.1177/00333549211041554</w:t>
        </w:r>
      </w:hyperlink>
    </w:p>
    <w:bookmarkEnd w:id="340"/>
    <w:bookmarkStart w:id="341"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41"/>
    <w:bookmarkStart w:id="343"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42">
        <w:r>
          <w:rPr>
            <w:rStyle w:val="Hyperlink"/>
          </w:rPr>
          <w:t xml:space="preserve">https://doi.org/10.1016/j.psc.2010.04.012</w:t>
        </w:r>
      </w:hyperlink>
    </w:p>
    <w:bookmarkEnd w:id="343"/>
    <w:bookmarkStart w:id="345"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44">
        <w:r>
          <w:rPr>
            <w:rStyle w:val="Hyperlink"/>
          </w:rPr>
          <w:t xml:space="preserve">https://doi.org/10.1016/j.cpr.2017.10.012</w:t>
        </w:r>
      </w:hyperlink>
    </w:p>
    <w:bookmarkEnd w:id="345"/>
    <w:bookmarkStart w:id="347"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46">
        <w:r>
          <w:rPr>
            <w:rStyle w:val="Hyperlink"/>
          </w:rPr>
          <w:t xml:space="preserve">https://doi.org/10.35946/arcr.v41.1.01</w:t>
        </w:r>
      </w:hyperlink>
    </w:p>
    <w:bookmarkEnd w:id="347"/>
    <w:bookmarkStart w:id="349"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48">
        <w:r>
          <w:rPr>
            <w:rStyle w:val="Hyperlink"/>
          </w:rPr>
          <w:t xml:space="preserve">https://doi.org/10.1001/jama.284.13.1689</w:t>
        </w:r>
      </w:hyperlink>
    </w:p>
    <w:bookmarkEnd w:id="349"/>
    <w:bookmarkStart w:id="351"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50">
        <w:r>
          <w:rPr>
            <w:rStyle w:val="Hyperlink"/>
          </w:rPr>
          <w:t xml:space="preserve">https://doi.org/10.1016/j.drugalcdep.2021.108706</w:t>
        </w:r>
      </w:hyperlink>
    </w:p>
    <w:bookmarkEnd w:id="351"/>
    <w:bookmarkStart w:id="353"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52">
        <w:r>
          <w:rPr>
            <w:rStyle w:val="Hyperlink"/>
          </w:rPr>
          <w:t xml:space="preserve">https://doi.org/10.1146/annurev-clinpsy-032816-044949</w:t>
        </w:r>
      </w:hyperlink>
    </w:p>
    <w:bookmarkEnd w:id="353"/>
    <w:bookmarkStart w:id="354"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54"/>
    <w:bookmarkStart w:id="356"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55">
        <w:r>
          <w:rPr>
            <w:rStyle w:val="Hyperlink"/>
          </w:rPr>
          <w:t xml:space="preserve">https://doi.org/10.2196/29563</w:t>
        </w:r>
      </w:hyperlink>
    </w:p>
    <w:bookmarkEnd w:id="356"/>
    <w:bookmarkStart w:id="358" w:name="X8bb79cdd23e0a8d99e4f9b0c203aaa22c56a953"/>
    <w:p>
      <w:pPr>
        <w:pStyle w:val="Bibliography"/>
      </w:pPr>
      <w:r>
        <w:t xml:space="preserve">Office of the Surgeon General (US), Center for Mental Health Services (US), &amp; National Institute of Mental Health (US). (2001).</w:t>
      </w:r>
      <w:r>
        <w:t xml:space="preserve"> </w:t>
      </w:r>
      <w:hyperlink r:id="rId357">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58"/>
    <w:bookmarkStart w:id="360"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59">
        <w:r>
          <w:rPr>
            <w:rStyle w:val="Hyperlink"/>
          </w:rPr>
          <w:t xml:space="preserve">https://doi.org/10.1016/j.jsat.2021.108710</w:t>
        </w:r>
      </w:hyperlink>
    </w:p>
    <w:bookmarkEnd w:id="360"/>
    <w:bookmarkStart w:id="362"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61">
        <w:r>
          <w:rPr>
            <w:rStyle w:val="Hyperlink"/>
          </w:rPr>
          <w:t xml:space="preserve">https://doi.org/10.1037/tps0000250</w:t>
        </w:r>
      </w:hyperlink>
    </w:p>
    <w:bookmarkEnd w:id="362"/>
    <w:bookmarkStart w:id="363"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63"/>
    <w:bookmarkStart w:id="365"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64">
        <w:r>
          <w:rPr>
            <w:rStyle w:val="Hyperlink"/>
          </w:rPr>
          <w:t xml:space="preserve">https://doi.org/10.1016/j.drugalcdep.2019.05.017</w:t>
        </w:r>
      </w:hyperlink>
    </w:p>
    <w:bookmarkEnd w:id="365"/>
    <w:bookmarkStart w:id="366"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66"/>
    <w:bookmarkStart w:id="368"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67">
        <w:r>
          <w:rPr>
            <w:rStyle w:val="Hyperlink"/>
          </w:rPr>
          <w:t xml:space="preserve">https://doi.org/10.1037/0003-066X.47.9.1102</w:t>
        </w:r>
      </w:hyperlink>
    </w:p>
    <w:bookmarkEnd w:id="368"/>
    <w:bookmarkStart w:id="370"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69">
        <w:r>
          <w:rPr>
            <w:rStyle w:val="Hyperlink"/>
          </w:rPr>
          <w:t xml:space="preserve">https://doi.org/10.2196/73265</w:t>
        </w:r>
      </w:hyperlink>
    </w:p>
    <w:bookmarkEnd w:id="370"/>
    <w:bookmarkStart w:id="372"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71">
        <w:r>
          <w:rPr>
            <w:rStyle w:val="Hyperlink"/>
          </w:rPr>
          <w:t xml:space="preserve">https://doi.org/10.1016/0740-5472(94)00080-b</w:t>
        </w:r>
      </w:hyperlink>
    </w:p>
    <w:bookmarkEnd w:id="372"/>
    <w:bookmarkStart w:id="374"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73">
        <w:r>
          <w:rPr>
            <w:rStyle w:val="Hyperlink"/>
          </w:rPr>
          <w:t xml:space="preserve">https://doi.org/10.1177/1073191114540320</w:t>
        </w:r>
      </w:hyperlink>
    </w:p>
    <w:bookmarkEnd w:id="374"/>
    <w:bookmarkStart w:id="375"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75"/>
    <w:bookmarkStart w:id="377"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76">
        <w:r>
          <w:rPr>
            <w:rStyle w:val="Hyperlink"/>
          </w:rPr>
          <w:t xml:space="preserve">https://doi.org/10.1037/adb0000550</w:t>
        </w:r>
      </w:hyperlink>
    </w:p>
    <w:bookmarkEnd w:id="377"/>
    <w:bookmarkStart w:id="379"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78">
        <w:r>
          <w:rPr>
            <w:rStyle w:val="Hyperlink"/>
          </w:rPr>
          <w:t xml:space="preserve">https://doi.org/10.1377/hlthaff.2011.0983</w:t>
        </w:r>
      </w:hyperlink>
    </w:p>
    <w:bookmarkEnd w:id="379"/>
    <w:bookmarkStart w:id="380"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80"/>
    <w:bookmarkStart w:id="382"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381">
        <w:r>
          <w:rPr>
            <w:rStyle w:val="Hyperlink"/>
          </w:rPr>
          <w:t xml:space="preserve">https://doi.org/10.1146/annurev-clinpsy-021815-093351</w:t>
        </w:r>
      </w:hyperlink>
    </w:p>
    <w:bookmarkEnd w:id="382"/>
    <w:bookmarkStart w:id="384"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383">
        <w:r>
          <w:rPr>
            <w:rStyle w:val="Hyperlink"/>
          </w:rPr>
          <w:t xml:space="preserve">https://doi.org/10.1111/j.1530-0277.2006.00263.x</w:t>
        </w:r>
      </w:hyperlink>
    </w:p>
    <w:bookmarkEnd w:id="384"/>
    <w:bookmarkStart w:id="386"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385">
        <w:r>
          <w:rPr>
            <w:rStyle w:val="Hyperlink"/>
          </w:rPr>
          <w:t xml:space="preserve">https://doi.org/10.1001/jamapsychiatry.2013.4450</w:t>
        </w:r>
      </w:hyperlink>
    </w:p>
    <w:bookmarkEnd w:id="386"/>
    <w:bookmarkStart w:id="388"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387">
        <w:r>
          <w:rPr>
            <w:rStyle w:val="Hyperlink"/>
          </w:rPr>
          <w:t xml:space="preserve">https://doi.org/10.1111/add.13479</w:t>
        </w:r>
      </w:hyperlink>
    </w:p>
    <w:bookmarkEnd w:id="388"/>
    <w:bookmarkStart w:id="390"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389">
        <w:r>
          <w:rPr>
            <w:rStyle w:val="Hyperlink"/>
          </w:rPr>
          <w:t xml:space="preserve">https://doi.org/10.1037/adb0000666</w:t>
        </w:r>
      </w:hyperlink>
    </w:p>
    <w:bookmarkEnd w:id="390"/>
    <w:bookmarkStart w:id="392"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391">
        <w:r>
          <w:rPr>
            <w:rStyle w:val="Hyperlink"/>
          </w:rPr>
          <w:t xml:space="preserve">https://doi.org/10.1177/1178221820976988</w:t>
        </w:r>
      </w:hyperlink>
    </w:p>
    <w:bookmarkEnd w:id="392"/>
    <w:bookmarkStart w:id="394"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393">
        <w:r>
          <w:rPr>
            <w:rStyle w:val="Hyperlink"/>
          </w:rPr>
          <w:t xml:space="preserve">https://doi.org/10.1037/0003-066X.60.4.340</w:t>
        </w:r>
      </w:hyperlink>
    </w:p>
    <w:bookmarkEnd w:id="394"/>
    <w:bookmarkStart w:id="395"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395"/>
    <w:bookmarkStart w:id="396"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396"/>
    <w:bookmarkStart w:id="398" w:name="Xb4363def9a086869984bb1996514c38c4a5108e"/>
    <w:p>
      <w:pPr>
        <w:pStyle w:val="Bibliography"/>
      </w:pPr>
      <w:r>
        <w:t xml:space="preserve">Substance Abuse and Mental Health Services Administration (US), &amp; Office of the Surgeon General (US). (2016).</w:t>
      </w:r>
      <w:r>
        <w:t xml:space="preserve"> </w:t>
      </w:r>
      <w:hyperlink r:id="rId397">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398"/>
    <w:bookmarkStart w:id="400"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399">
        <w:r>
          <w:rPr>
            <w:rStyle w:val="Hyperlink"/>
          </w:rPr>
          <w:t xml:space="preserve">https://doi.org/10.1080/19371918.2013.758975</w:t>
        </w:r>
      </w:hyperlink>
    </w:p>
    <w:bookmarkEnd w:id="400"/>
    <w:bookmarkStart w:id="402"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401">
        <w:r>
          <w:rPr>
            <w:rStyle w:val="Hyperlink"/>
          </w:rPr>
          <w:t xml:space="preserve">https://doi.org/10.1177/0261927X09351676</w:t>
        </w:r>
      </w:hyperlink>
    </w:p>
    <w:bookmarkEnd w:id="402"/>
    <w:bookmarkStart w:id="404"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03">
        <w:r>
          <w:rPr>
            <w:rStyle w:val="Hyperlink"/>
          </w:rPr>
          <w:t xml:space="preserve">https://doi.org/10.1177/17456916221134490</w:t>
        </w:r>
      </w:hyperlink>
    </w:p>
    <w:bookmarkEnd w:id="404"/>
    <w:bookmarkStart w:id="405"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05"/>
    <w:bookmarkStart w:id="40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06">
        <w:r>
          <w:rPr>
            <w:rStyle w:val="Hyperlink"/>
          </w:rPr>
          <w:t xml:space="preserve">https://doi.org/10.1016/j.landig.2025.100916</w:t>
        </w:r>
      </w:hyperlink>
    </w:p>
    <w:bookmarkEnd w:id="407"/>
    <w:bookmarkStart w:id="409"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08">
        <w:r>
          <w:rPr>
            <w:rStyle w:val="Hyperlink"/>
          </w:rPr>
          <w:t xml:space="preserve">https://doi.org/10.1016/j.artmed.2020.101987</w:t>
        </w:r>
      </w:hyperlink>
    </w:p>
    <w:bookmarkEnd w:id="409"/>
    <w:bookmarkStart w:id="411"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10">
        <w:r>
          <w:rPr>
            <w:rStyle w:val="Hyperlink"/>
          </w:rPr>
          <w:t xml:space="preserve">https://doi.org/10.1111/j.1530-0277.1984.tb05523.x</w:t>
        </w:r>
      </w:hyperlink>
    </w:p>
    <w:bookmarkEnd w:id="411"/>
    <w:bookmarkStart w:id="413"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12">
        <w:r>
          <w:rPr>
            <w:rStyle w:val="Hyperlink"/>
          </w:rPr>
          <w:t xml:space="preserve">https://doi.org/10.1093/jamia/ocy052</w:t>
        </w:r>
      </w:hyperlink>
    </w:p>
    <w:bookmarkEnd w:id="413"/>
    <w:bookmarkStart w:id="415"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14">
        <w:r>
          <w:rPr>
            <w:rStyle w:val="Hyperlink"/>
          </w:rPr>
          <w:t xml:space="preserve">https://doi.org/10.1377/hlthaff.20.6.64</w:t>
        </w:r>
      </w:hyperlink>
    </w:p>
    <w:bookmarkEnd w:id="415"/>
    <w:bookmarkStart w:id="417"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16">
        <w:r>
          <w:rPr>
            <w:rStyle w:val="Hyperlink"/>
          </w:rPr>
          <w:t xml:space="preserve">https://doi.org/10.1016/j.cpr.2005.11.003</w:t>
        </w:r>
      </w:hyperlink>
    </w:p>
    <w:bookmarkEnd w:id="417"/>
    <w:bookmarkStart w:id="419"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18">
        <w:r>
          <w:rPr>
            <w:rStyle w:val="Hyperlink"/>
          </w:rPr>
          <w:t xml:space="preserve">https://doi.org/10.1016/j.jsat.2021.108417</w:t>
        </w:r>
      </w:hyperlink>
    </w:p>
    <w:bookmarkEnd w:id="419"/>
    <w:bookmarkStart w:id="421"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20">
        <w:r>
          <w:rPr>
            <w:rStyle w:val="Hyperlink"/>
          </w:rPr>
          <w:t xml:space="preserve">https://doi.org/10.1016/j.jsat.2016.12.010</w:t>
        </w:r>
      </w:hyperlink>
    </w:p>
    <w:bookmarkEnd w:id="421"/>
    <w:bookmarkStart w:id="423" w:name="X2d30c84041d97351f676569bf3de3da0c8a9d6d"/>
    <w:p>
      <w:pPr>
        <w:pStyle w:val="Bibliography"/>
      </w:pPr>
      <w:r>
        <w:t xml:space="preserve">WHO ASSIST Working Group. (2002).</w:t>
      </w:r>
      <w:r>
        <w:t xml:space="preserve"> </w:t>
      </w:r>
      <w:hyperlink r:id="rId422">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23"/>
    <w:bookmarkStart w:id="424"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24"/>
    <w:bookmarkStart w:id="426"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25">
        <w:r>
          <w:rPr>
            <w:rStyle w:val="Hyperlink"/>
          </w:rPr>
          <w:t xml:space="preserve">https://doi.org/10.1037/0003-066X.59.4.224</w:t>
        </w:r>
      </w:hyperlink>
    </w:p>
    <w:bookmarkEnd w:id="426"/>
    <w:bookmarkStart w:id="428"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27">
        <w:r>
          <w:rPr>
            <w:rStyle w:val="Hyperlink"/>
          </w:rPr>
          <w:t xml:space="preserve">https://doi.org/10.1016/j.cpr.2007.01.002</w:t>
        </w:r>
      </w:hyperlink>
    </w:p>
    <w:bookmarkEnd w:id="428"/>
    <w:bookmarkStart w:id="430"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29">
        <w:r>
          <w:rPr>
            <w:rStyle w:val="Hyperlink"/>
          </w:rPr>
          <w:t xml:space="preserve">https://doi.org/10.1080/14659891.2018.1523968</w:t>
        </w:r>
      </w:hyperlink>
    </w:p>
    <w:bookmarkEnd w:id="430"/>
    <w:bookmarkStart w:id="432"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31">
        <w:r>
          <w:rPr>
            <w:rStyle w:val="Hyperlink"/>
          </w:rPr>
          <w:t xml:space="preserve">https://doi.org/10.1177/1073191116653829</w:t>
        </w:r>
      </w:hyperlink>
    </w:p>
    <w:bookmarkEnd w:id="432"/>
    <w:bookmarkStart w:id="434"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33">
        <w:r>
          <w:rPr>
            <w:rStyle w:val="Hyperlink"/>
          </w:rPr>
          <w:t xml:space="preserve">https://doi.org/10.1037/pas0000685</w:t>
        </w:r>
      </w:hyperlink>
    </w:p>
    <w:bookmarkEnd w:id="434"/>
    <w:bookmarkStart w:id="436"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35">
        <w:r>
          <w:rPr>
            <w:rStyle w:val="Hyperlink"/>
          </w:rPr>
          <w:t xml:space="preserve">https://doi.org/10.2196/41833</w:t>
        </w:r>
      </w:hyperlink>
    </w:p>
    <w:bookmarkEnd w:id="436"/>
    <w:bookmarkStart w:id="438"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37">
        <w:r>
          <w:rPr>
            <w:rStyle w:val="Hyperlink"/>
          </w:rPr>
          <w:t xml:space="preserve">https://doi.org/10.2196/81697</w:t>
        </w:r>
      </w:hyperlink>
    </w:p>
    <w:bookmarkEnd w:id="438"/>
    <w:bookmarkStart w:id="440"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39">
        <w:r>
          <w:rPr>
            <w:rStyle w:val="Hyperlink"/>
          </w:rPr>
          <w:t xml:space="preserve">https://doi.org/10.31234/osf.io/cgsf7</w:t>
        </w:r>
      </w:hyperlink>
    </w:p>
    <w:bookmarkEnd w:id="440"/>
    <w:bookmarkStart w:id="442"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41">
        <w:r>
          <w:rPr>
            <w:rStyle w:val="Hyperlink"/>
          </w:rPr>
          <w:t xml:space="preserve">https://doi.org/10.1145/1629890.1629897</w:t>
        </w:r>
      </w:hyperlink>
    </w:p>
    <w:bookmarkEnd w:id="442"/>
    <w:bookmarkStart w:id="444"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43">
        <w:r>
          <w:rPr>
            <w:rStyle w:val="Hyperlink"/>
          </w:rPr>
          <w:t xml:space="preserve">https://doi.org/10.1080/17441692.2023.2277854</w:t>
        </w:r>
      </w:hyperlink>
    </w:p>
    <w:bookmarkEnd w:id="444"/>
    <w:bookmarkStart w:id="446"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45">
        <w:r>
          <w:rPr>
            <w:rStyle w:val="Hyperlink"/>
          </w:rPr>
          <w:t xml:space="preserve">https://doi.org/10.2196/mhealth.9117</w:t>
        </w:r>
      </w:hyperlink>
    </w:p>
    <w:bookmarkEnd w:id="446"/>
    <w:bookmarkStart w:id="448"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47">
        <w:r>
          <w:rPr>
            <w:rStyle w:val="Hyperlink"/>
          </w:rPr>
          <w:t xml:space="preserve">https://doi.org/10.1177/1077558712458541</w:t>
        </w:r>
      </w:hyperlink>
    </w:p>
    <w:bookmarkEnd w:id="448"/>
    <w:bookmarkStart w:id="450"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49">
        <w:r>
          <w:rPr>
            <w:rStyle w:val="Hyperlink"/>
          </w:rPr>
          <w:t xml:space="preserve">https://doi.org/10.7326/M14-0295</w:t>
        </w:r>
      </w:hyperlink>
    </w:p>
    <w:bookmarkEnd w:id="450"/>
    <w:bookmarkEnd w:id="451"/>
    <w:bookmarkEnd w:id="4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1">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2">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8">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59">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2">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jpg" /><Relationship Type="http://schemas.openxmlformats.org/officeDocument/2006/relationships/image" Id="rId51" Target="media/rId51.jpg" /><Relationship Type="http://schemas.openxmlformats.org/officeDocument/2006/relationships/image" Id="rId58" Target="media/rId58.jpg" /><Relationship Type="http://schemas.openxmlformats.org/officeDocument/2006/relationships/image" Id="rId84" Target="media/rId84.png" /><Relationship Type="http://schemas.openxmlformats.org/officeDocument/2006/relationships/image" Id="rId166" Target="media/rId166.png" /><Relationship Type="http://schemas.openxmlformats.org/officeDocument/2006/relationships/image" Id="rId103" Target="media/rId103.png" /><Relationship Type="http://schemas.openxmlformats.org/officeDocument/2006/relationships/image" Id="rId173" Target="media/rId173.png" /><Relationship Type="http://schemas.openxmlformats.org/officeDocument/2006/relationships/image" Id="rId179" Target="media/rId179.png" /><Relationship Type="http://schemas.openxmlformats.org/officeDocument/2006/relationships/image" Id="rId121" Target="media/rId121.png" /><Relationship Type="http://schemas.openxmlformats.org/officeDocument/2006/relationships/image" Id="rId185" Target="media/rId185.png" /><Relationship Type="http://schemas.openxmlformats.org/officeDocument/2006/relationships/image" Id="rId115" Target="media/rId115.png" /><Relationship Type="http://schemas.openxmlformats.org/officeDocument/2006/relationships/hyperlink" Id="rId274" Target="https://doi.org/10.1001/jama.2022.2847" TargetMode="External" /><Relationship Type="http://schemas.openxmlformats.org/officeDocument/2006/relationships/hyperlink" Id="rId348" Target="https://doi.org/10.1001/jama.284.13.1689" TargetMode="External" /><Relationship Type="http://schemas.openxmlformats.org/officeDocument/2006/relationships/hyperlink" Id="rId311" Target="https://doi.org/10.1001/jamanetworkopen.2020.5852" TargetMode="External" /><Relationship Type="http://schemas.openxmlformats.org/officeDocument/2006/relationships/hyperlink" Id="rId385" Target="https://doi.org/10.1001/jamapsychiatry.2013.4450" TargetMode="External" /><Relationship Type="http://schemas.openxmlformats.org/officeDocument/2006/relationships/hyperlink" Id="rId216" Target="https://doi.org/10.1001/jamapsychiatry.2013.4546" TargetMode="External" /><Relationship Type="http://schemas.openxmlformats.org/officeDocument/2006/relationships/hyperlink" Id="rId286" Target="https://doi.org/10.1001/jamapsychiatry.2013.4642" TargetMode="External" /><Relationship Type="http://schemas.openxmlformats.org/officeDocument/2006/relationships/hyperlink" Id="rId280" Target="https://doi.org/10.1001/jamapsychiatry.2015.0584" TargetMode="External" /><Relationship Type="http://schemas.openxmlformats.org/officeDocument/2006/relationships/hyperlink" Id="rId320" Target="https://doi.org/10.1007/978-1-4614-6849-3" TargetMode="External" /><Relationship Type="http://schemas.openxmlformats.org/officeDocument/2006/relationships/hyperlink" Id="rId236" Target="https://doi.org/10.1007/978-3-319-72206-1" TargetMode="External" /><Relationship Type="http://schemas.openxmlformats.org/officeDocument/2006/relationships/hyperlink" Id="rId212" Target="https://doi.org/10.1007/s10488-016-0718-5" TargetMode="External" /><Relationship Type="http://schemas.openxmlformats.org/officeDocument/2006/relationships/hyperlink" Id="rId242" Target="https://doi.org/10.1007/s10862-017-9632-8" TargetMode="External" /><Relationship Type="http://schemas.openxmlformats.org/officeDocument/2006/relationships/hyperlink" Id="rId313" Target="https://doi.org/10.1007/s11920-012-0296-5" TargetMode="External" /><Relationship Type="http://schemas.openxmlformats.org/officeDocument/2006/relationships/hyperlink" Id="rId204" Target="https://doi.org/10.1007/s40429-023-00492-5" TargetMode="External" /><Relationship Type="http://schemas.openxmlformats.org/officeDocument/2006/relationships/hyperlink" Id="rId371" Target="https://doi.org/10.1016/0740-5472(94)00080-b" TargetMode="External" /><Relationship Type="http://schemas.openxmlformats.org/officeDocument/2006/relationships/hyperlink" Id="rId210" Target="https://doi.org/10.1016/j.addbeh.2017.11.039" TargetMode="External" /><Relationship Type="http://schemas.openxmlformats.org/officeDocument/2006/relationships/hyperlink" Id="rId315" Target="https://doi.org/10.1016/j.amepre.2019.08.034" TargetMode="External" /><Relationship Type="http://schemas.openxmlformats.org/officeDocument/2006/relationships/hyperlink" Id="rId325" Target="https://doi.org/10.1016/j.amepre.2022.08.022" TargetMode="External" /><Relationship Type="http://schemas.openxmlformats.org/officeDocument/2006/relationships/hyperlink" Id="rId408" Target="https://doi.org/10.1016/j.artmed.2020.101987" TargetMode="External" /><Relationship Type="http://schemas.openxmlformats.org/officeDocument/2006/relationships/hyperlink" Id="rId268" Target="https://doi.org/10.1016/j.brat.2019.01.010" TargetMode="External" /><Relationship Type="http://schemas.openxmlformats.org/officeDocument/2006/relationships/hyperlink" Id="rId247" Target="https://doi.org/10.1016/j.brat.2019.103506" TargetMode="External" /><Relationship Type="http://schemas.openxmlformats.org/officeDocument/2006/relationships/hyperlink" Id="rId317" Target="https://doi.org/10.1016/j.cger.2014.04.008" TargetMode="External" /><Relationship Type="http://schemas.openxmlformats.org/officeDocument/2006/relationships/hyperlink" Id="rId253" Target="https://doi.org/10.1016/j.cmpb.2016.09.016" TargetMode="External" /><Relationship Type="http://schemas.openxmlformats.org/officeDocument/2006/relationships/hyperlink" Id="rId416" Target="https://doi.org/10.1016/j.cpr.2005.11.003" TargetMode="External" /><Relationship Type="http://schemas.openxmlformats.org/officeDocument/2006/relationships/hyperlink" Id="rId427" Target="https://doi.org/10.1016/j.cpr.2007.01.002" TargetMode="External" /><Relationship Type="http://schemas.openxmlformats.org/officeDocument/2006/relationships/hyperlink" Id="rId344" Target="https://doi.org/10.1016/j.cpr.2017.10.012" TargetMode="External" /><Relationship Type="http://schemas.openxmlformats.org/officeDocument/2006/relationships/hyperlink" Id="rId282" Target="https://doi.org/10.1016/j.drugalcdep.2006.05.012" TargetMode="External" /><Relationship Type="http://schemas.openxmlformats.org/officeDocument/2006/relationships/hyperlink" Id="rId284" Target="https://doi.org/10.1016/j.drugalcdep.2013.07.027" TargetMode="External" /><Relationship Type="http://schemas.openxmlformats.org/officeDocument/2006/relationships/hyperlink" Id="rId232" Target="https://doi.org/10.1016/j.drugalcdep.2014.10.004" TargetMode="External" /><Relationship Type="http://schemas.openxmlformats.org/officeDocument/2006/relationships/hyperlink" Id="rId309" Target="https://doi.org/10.1016/j.drugalcdep.2016.10.038" TargetMode="External" /><Relationship Type="http://schemas.openxmlformats.org/officeDocument/2006/relationships/hyperlink" Id="rId364" Target="https://doi.org/10.1016/j.drugalcdep.2019.05.017" TargetMode="External" /><Relationship Type="http://schemas.openxmlformats.org/officeDocument/2006/relationships/hyperlink" Id="rId270" Target="https://doi.org/10.1016/j.drugalcdep.2020.108350" TargetMode="External" /><Relationship Type="http://schemas.openxmlformats.org/officeDocument/2006/relationships/hyperlink" Id="rId350" Target="https://doi.org/10.1016/j.drugalcdep.2021.108706" TargetMode="External" /><Relationship Type="http://schemas.openxmlformats.org/officeDocument/2006/relationships/hyperlink" Id="rId220" Target="https://doi.org/10.1016/j.drugalcdep.2022.109362" TargetMode="External" /><Relationship Type="http://schemas.openxmlformats.org/officeDocument/2006/relationships/hyperlink" Id="rId295" Target="https://doi.org/10.1016/j.josat.2025.209685" TargetMode="External" /><Relationship Type="http://schemas.openxmlformats.org/officeDocument/2006/relationships/hyperlink" Id="rId230" Target="https://doi.org/10.1016/j.jsat.2013.08.004" TargetMode="External" /><Relationship Type="http://schemas.openxmlformats.org/officeDocument/2006/relationships/hyperlink" Id="rId420" Target="https://doi.org/10.1016/j.jsat.2016.12.010" TargetMode="External" /><Relationship Type="http://schemas.openxmlformats.org/officeDocument/2006/relationships/hyperlink" Id="rId418" Target="https://doi.org/10.1016/j.jsat.2021.108417" TargetMode="External" /><Relationship Type="http://schemas.openxmlformats.org/officeDocument/2006/relationships/hyperlink" Id="rId359" Target="https://doi.org/10.1016/j.jsat.2021.108710" TargetMode="External" /><Relationship Type="http://schemas.openxmlformats.org/officeDocument/2006/relationships/hyperlink" Id="rId406" Target="https://doi.org/10.1016/j.landig.2025.100916" TargetMode="External" /><Relationship Type="http://schemas.openxmlformats.org/officeDocument/2006/relationships/hyperlink" Id="rId342" Target="https://doi.org/10.1016/j.psc.2010.04.012" TargetMode="External" /><Relationship Type="http://schemas.openxmlformats.org/officeDocument/2006/relationships/hyperlink" Id="rId304" Target="https://doi.org/10.1023/A:1008987426876" TargetMode="External" /><Relationship Type="http://schemas.openxmlformats.org/officeDocument/2006/relationships/hyperlink" Id="rId367" Target="https://doi.org/10.1037/0003-066X.47.9.1102" TargetMode="External" /><Relationship Type="http://schemas.openxmlformats.org/officeDocument/2006/relationships/hyperlink" Id="rId425" Target="https://doi.org/10.1037/0003-066X.59.4.224" TargetMode="External" /><Relationship Type="http://schemas.openxmlformats.org/officeDocument/2006/relationships/hyperlink" Id="rId393" Target="https://doi.org/10.1037/0003-066X.60.4.340" TargetMode="External" /><Relationship Type="http://schemas.openxmlformats.org/officeDocument/2006/relationships/hyperlink" Id="rId255" Target="https://doi.org/10.1037/a0037157" TargetMode="External" /><Relationship Type="http://schemas.openxmlformats.org/officeDocument/2006/relationships/hyperlink" Id="rId259" Target="https://doi.org/10.1037/abn0000819" TargetMode="External" /><Relationship Type="http://schemas.openxmlformats.org/officeDocument/2006/relationships/hyperlink" Id="rId251" Target="https://doi.org/10.1037/adb0000292" TargetMode="External" /><Relationship Type="http://schemas.openxmlformats.org/officeDocument/2006/relationships/hyperlink" Id="rId376" Target="https://doi.org/10.1037/adb0000550" TargetMode="External" /><Relationship Type="http://schemas.openxmlformats.org/officeDocument/2006/relationships/hyperlink" Id="rId389" Target="https://doi.org/10.1037/adb0000666" TargetMode="External" /><Relationship Type="http://schemas.openxmlformats.org/officeDocument/2006/relationships/hyperlink" Id="rId266" Target="https://doi.org/10.1037/ccp0000026" TargetMode="External" /><Relationship Type="http://schemas.openxmlformats.org/officeDocument/2006/relationships/hyperlink" Id="rId433" Target="https://doi.org/10.1037/pas0000685" TargetMode="External" /><Relationship Type="http://schemas.openxmlformats.org/officeDocument/2006/relationships/hyperlink" Id="rId257" Target="https://doi.org/10.1037/pha0000210" TargetMode="External" /><Relationship Type="http://schemas.openxmlformats.org/officeDocument/2006/relationships/hyperlink" Id="rId361" Target="https://doi.org/10.1037/tps0000250" TargetMode="External" /><Relationship Type="http://schemas.openxmlformats.org/officeDocument/2006/relationships/hyperlink" Id="rId333" Target="https://doi.org/10.1038/s41380-018-0094-5" TargetMode="External" /><Relationship Type="http://schemas.openxmlformats.org/officeDocument/2006/relationships/hyperlink" Id="rId328" Target="https://doi.org/10.1080/00952990.2019.1694536" TargetMode="External" /><Relationship Type="http://schemas.openxmlformats.org/officeDocument/2006/relationships/hyperlink" Id="rId272" Target="https://doi.org/10.1080/10826084.2021.1899225" TargetMode="External" /><Relationship Type="http://schemas.openxmlformats.org/officeDocument/2006/relationships/hyperlink" Id="rId429" Target="https://doi.org/10.1080/14659891.2018.1523968" TargetMode="External" /><Relationship Type="http://schemas.openxmlformats.org/officeDocument/2006/relationships/hyperlink" Id="rId443" Target="https://doi.org/10.1080/17441692.2023.2277854" TargetMode="External" /><Relationship Type="http://schemas.openxmlformats.org/officeDocument/2006/relationships/hyperlink" Id="rId399" Target="https://doi.org/10.1080/19371918.2013.758975" TargetMode="External" /><Relationship Type="http://schemas.openxmlformats.org/officeDocument/2006/relationships/hyperlink" Id="rId412" Target="https://doi.org/10.1093/jamia/ocy052" TargetMode="External" /><Relationship Type="http://schemas.openxmlformats.org/officeDocument/2006/relationships/hyperlink" Id="rId240" Target="https://doi.org/10.1093/oxfordhb/9780190067991.013.9" TargetMode="External" /><Relationship Type="http://schemas.openxmlformats.org/officeDocument/2006/relationships/hyperlink" Id="rId297" Target="https://doi.org/10.1097/ADM.0000000000000312" TargetMode="External" /><Relationship Type="http://schemas.openxmlformats.org/officeDocument/2006/relationships/hyperlink" Id="rId335" Target="https://doi.org/10.1097/JTO.0b013e3181ec173d" TargetMode="External" /><Relationship Type="http://schemas.openxmlformats.org/officeDocument/2006/relationships/hyperlink" Id="rId387" Target="https://doi.org/10.1111/add.13479" TargetMode="External" /><Relationship Type="http://schemas.openxmlformats.org/officeDocument/2006/relationships/hyperlink" Id="rId222" Target="https://doi.org/10.1111/ajad.12784" TargetMode="External" /><Relationship Type="http://schemas.openxmlformats.org/officeDocument/2006/relationships/hyperlink" Id="rId410" Target="https://doi.org/10.1111/j.1530-0277.1984.tb05523.x" TargetMode="External" /><Relationship Type="http://schemas.openxmlformats.org/officeDocument/2006/relationships/hyperlink" Id="rId383" Target="https://doi.org/10.1111/j.1530-0277.2006.00263.x" TargetMode="External" /><Relationship Type="http://schemas.openxmlformats.org/officeDocument/2006/relationships/hyperlink" Id="rId330" Target="https://doi.org/10.1111/jrh.70076" TargetMode="External" /><Relationship Type="http://schemas.openxmlformats.org/officeDocument/2006/relationships/hyperlink" Id="rId234" Target="https://doi.org/10.1136/bmj-2023-078378" TargetMode="External" /><Relationship Type="http://schemas.openxmlformats.org/officeDocument/2006/relationships/hyperlink" Id="rId441" Target="https://doi.org/10.1145/1629890.1629897" TargetMode="External" /><Relationship Type="http://schemas.openxmlformats.org/officeDocument/2006/relationships/hyperlink" Id="rId300" Target="https://doi.org/10.1145/1867699.1867704" TargetMode="External" /><Relationship Type="http://schemas.openxmlformats.org/officeDocument/2006/relationships/hyperlink" Id="rId381" Target="https://doi.org/10.1146/annurev-clinpsy-021815-093351" TargetMode="External" /><Relationship Type="http://schemas.openxmlformats.org/officeDocument/2006/relationships/hyperlink" Id="rId352" Target="https://doi.org/10.1146/annurev-clinpsy-032816-044949" TargetMode="External" /><Relationship Type="http://schemas.openxmlformats.org/officeDocument/2006/relationships/hyperlink" Id="rId276" Target="https://doi.org/10.1146/annurev-clinpsy-102419-125016" TargetMode="External" /><Relationship Type="http://schemas.openxmlformats.org/officeDocument/2006/relationships/hyperlink" Id="rId218" Target="https://doi.org/10.1146/annurev.clinpsy.3.022806.091455" TargetMode="External" /><Relationship Type="http://schemas.openxmlformats.org/officeDocument/2006/relationships/hyperlink" Id="rId224" Target="https://doi.org/10.1176/appi.ajp.2014.13081055" TargetMode="External" /><Relationship Type="http://schemas.openxmlformats.org/officeDocument/2006/relationships/hyperlink" Id="rId288" Target="https://doi.org/10.1176/appi.ajp.21090963" TargetMode="External" /><Relationship Type="http://schemas.openxmlformats.org/officeDocument/2006/relationships/hyperlink" Id="rId238" Target="https://doi.org/10.1176/ps.62.11.pss6211_1273" TargetMode="External" /><Relationship Type="http://schemas.openxmlformats.org/officeDocument/2006/relationships/hyperlink" Id="rId339" Target="https://doi.org/10.1177/00333549211041554" TargetMode="External" /><Relationship Type="http://schemas.openxmlformats.org/officeDocument/2006/relationships/hyperlink" Id="rId401" Target="https://doi.org/10.1177/0261927X09351676" TargetMode="External" /><Relationship Type="http://schemas.openxmlformats.org/officeDocument/2006/relationships/hyperlink" Id="rId373" Target="https://doi.org/10.1177/1073191114540320" TargetMode="External" /><Relationship Type="http://schemas.openxmlformats.org/officeDocument/2006/relationships/hyperlink" Id="rId431" Target="https://doi.org/10.1177/1073191116653829" TargetMode="External" /><Relationship Type="http://schemas.openxmlformats.org/officeDocument/2006/relationships/hyperlink" Id="rId447" Target="https://doi.org/10.1177/1077558712458541" TargetMode="External" /><Relationship Type="http://schemas.openxmlformats.org/officeDocument/2006/relationships/hyperlink" Id="rId391" Target="https://doi.org/10.1177/1178221820976988" TargetMode="External" /><Relationship Type="http://schemas.openxmlformats.org/officeDocument/2006/relationships/hyperlink" Id="rId403" Target="https://doi.org/10.1177/17456916221134490" TargetMode="External" /><Relationship Type="http://schemas.openxmlformats.org/officeDocument/2006/relationships/hyperlink" Id="rId323" Target="https://doi.org/10.1214/17-EJS1338SI" TargetMode="External" /><Relationship Type="http://schemas.openxmlformats.org/officeDocument/2006/relationships/hyperlink" Id="rId414" Target="https://doi.org/10.1377/hlthaff.20.6.64" TargetMode="External" /><Relationship Type="http://schemas.openxmlformats.org/officeDocument/2006/relationships/hyperlink" Id="rId378" Target="https://doi.org/10.1377/hlthaff.2011.0983" TargetMode="External" /><Relationship Type="http://schemas.openxmlformats.org/officeDocument/2006/relationships/hyperlink" Id="rId226" Target="https://doi.org/10.21231/GNT1-HW21" TargetMode="External" /><Relationship Type="http://schemas.openxmlformats.org/officeDocument/2006/relationships/hyperlink" Id="rId355" Target="https://doi.org/10.2196/29563" TargetMode="External" /><Relationship Type="http://schemas.openxmlformats.org/officeDocument/2006/relationships/hyperlink" Id="rId208" Target="https://doi.org/10.2196/39862" TargetMode="External" /><Relationship Type="http://schemas.openxmlformats.org/officeDocument/2006/relationships/hyperlink" Id="rId435" Target="https://doi.org/10.2196/41833" TargetMode="External" /><Relationship Type="http://schemas.openxmlformats.org/officeDocument/2006/relationships/hyperlink" Id="rId369" Target="https://doi.org/10.2196/73265" TargetMode="External" /><Relationship Type="http://schemas.openxmlformats.org/officeDocument/2006/relationships/hyperlink" Id="rId437" Target="https://doi.org/10.2196/81697" TargetMode="External" /><Relationship Type="http://schemas.openxmlformats.org/officeDocument/2006/relationships/hyperlink" Id="rId291" Target="https://doi.org/10.2196/mental.9777" TargetMode="External" /><Relationship Type="http://schemas.openxmlformats.org/officeDocument/2006/relationships/hyperlink" Id="rId445" Target="https://doi.org/10.2196/mhealth.9117" TargetMode="External" /><Relationship Type="http://schemas.openxmlformats.org/officeDocument/2006/relationships/hyperlink" Id="rId439" Target="https://doi.org/10.31234/osf.io/cgsf7" TargetMode="External" /><Relationship Type="http://schemas.openxmlformats.org/officeDocument/2006/relationships/hyperlink" Id="rId346" Target="https://doi.org/10.35946/arcr.v41.1.01" TargetMode="External" /><Relationship Type="http://schemas.openxmlformats.org/officeDocument/2006/relationships/hyperlink" Id="rId249" Target="https://doi.org/10.48550/arXiv.1810.04805" TargetMode="External" /><Relationship Type="http://schemas.openxmlformats.org/officeDocument/2006/relationships/hyperlink" Id="rId264" Target="https://doi.org/10.5555/ajhb.2007.31.supp.S47" TargetMode="External" /><Relationship Type="http://schemas.openxmlformats.org/officeDocument/2006/relationships/hyperlink" Id="rId449" Target="https://doi.org/10.7326/M14-0295" TargetMode="External" /><Relationship Type="http://schemas.openxmlformats.org/officeDocument/2006/relationships/hyperlink" Id="rId306" Target="https://doi.org/10/gfsjzg" TargetMode="External" /><Relationship Type="http://schemas.openxmlformats.org/officeDocument/2006/relationships/hyperlink" Id="rId262"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4" Target="https://www.ncbi.nlm.nih.gov/pmc/articles/PMC2797101" TargetMode="External" /><Relationship Type="http://schemas.openxmlformats.org/officeDocument/2006/relationships/hyperlink" Id="rId422" Target="https://www.ncbi.nlm.nih.gov/pubmed/12199834" TargetMode="External" /><Relationship Type="http://schemas.openxmlformats.org/officeDocument/2006/relationships/hyperlink" Id="rId357" Target="https://www.ncbi.nlm.nih.gov/pubmed/20669516" TargetMode="External" /><Relationship Type="http://schemas.openxmlformats.org/officeDocument/2006/relationships/hyperlink" Id="rId397"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74" Target="https://doi.org/10.1001/jama.2022.2847" TargetMode="External" /><Relationship Type="http://schemas.openxmlformats.org/officeDocument/2006/relationships/hyperlink" Id="rId348" Target="https://doi.org/10.1001/jama.284.13.1689" TargetMode="External" /><Relationship Type="http://schemas.openxmlformats.org/officeDocument/2006/relationships/hyperlink" Id="rId311" Target="https://doi.org/10.1001/jamanetworkopen.2020.5852" TargetMode="External" /><Relationship Type="http://schemas.openxmlformats.org/officeDocument/2006/relationships/hyperlink" Id="rId385" Target="https://doi.org/10.1001/jamapsychiatry.2013.4450" TargetMode="External" /><Relationship Type="http://schemas.openxmlformats.org/officeDocument/2006/relationships/hyperlink" Id="rId216" Target="https://doi.org/10.1001/jamapsychiatry.2013.4546" TargetMode="External" /><Relationship Type="http://schemas.openxmlformats.org/officeDocument/2006/relationships/hyperlink" Id="rId286" Target="https://doi.org/10.1001/jamapsychiatry.2013.4642" TargetMode="External" /><Relationship Type="http://schemas.openxmlformats.org/officeDocument/2006/relationships/hyperlink" Id="rId280" Target="https://doi.org/10.1001/jamapsychiatry.2015.0584" TargetMode="External" /><Relationship Type="http://schemas.openxmlformats.org/officeDocument/2006/relationships/hyperlink" Id="rId320" Target="https://doi.org/10.1007/978-1-4614-6849-3" TargetMode="External" /><Relationship Type="http://schemas.openxmlformats.org/officeDocument/2006/relationships/hyperlink" Id="rId236" Target="https://doi.org/10.1007/978-3-319-72206-1" TargetMode="External" /><Relationship Type="http://schemas.openxmlformats.org/officeDocument/2006/relationships/hyperlink" Id="rId212" Target="https://doi.org/10.1007/s10488-016-0718-5" TargetMode="External" /><Relationship Type="http://schemas.openxmlformats.org/officeDocument/2006/relationships/hyperlink" Id="rId242" Target="https://doi.org/10.1007/s10862-017-9632-8" TargetMode="External" /><Relationship Type="http://schemas.openxmlformats.org/officeDocument/2006/relationships/hyperlink" Id="rId313" Target="https://doi.org/10.1007/s11920-012-0296-5" TargetMode="External" /><Relationship Type="http://schemas.openxmlformats.org/officeDocument/2006/relationships/hyperlink" Id="rId204" Target="https://doi.org/10.1007/s40429-023-00492-5" TargetMode="External" /><Relationship Type="http://schemas.openxmlformats.org/officeDocument/2006/relationships/hyperlink" Id="rId371" Target="https://doi.org/10.1016/0740-5472(94)00080-b" TargetMode="External" /><Relationship Type="http://schemas.openxmlformats.org/officeDocument/2006/relationships/hyperlink" Id="rId210" Target="https://doi.org/10.1016/j.addbeh.2017.11.039" TargetMode="External" /><Relationship Type="http://schemas.openxmlformats.org/officeDocument/2006/relationships/hyperlink" Id="rId315" Target="https://doi.org/10.1016/j.amepre.2019.08.034" TargetMode="External" /><Relationship Type="http://schemas.openxmlformats.org/officeDocument/2006/relationships/hyperlink" Id="rId325" Target="https://doi.org/10.1016/j.amepre.2022.08.022" TargetMode="External" /><Relationship Type="http://schemas.openxmlformats.org/officeDocument/2006/relationships/hyperlink" Id="rId408" Target="https://doi.org/10.1016/j.artmed.2020.101987" TargetMode="External" /><Relationship Type="http://schemas.openxmlformats.org/officeDocument/2006/relationships/hyperlink" Id="rId268" Target="https://doi.org/10.1016/j.brat.2019.01.010" TargetMode="External" /><Relationship Type="http://schemas.openxmlformats.org/officeDocument/2006/relationships/hyperlink" Id="rId247" Target="https://doi.org/10.1016/j.brat.2019.103506" TargetMode="External" /><Relationship Type="http://schemas.openxmlformats.org/officeDocument/2006/relationships/hyperlink" Id="rId317" Target="https://doi.org/10.1016/j.cger.2014.04.008" TargetMode="External" /><Relationship Type="http://schemas.openxmlformats.org/officeDocument/2006/relationships/hyperlink" Id="rId253" Target="https://doi.org/10.1016/j.cmpb.2016.09.016" TargetMode="External" /><Relationship Type="http://schemas.openxmlformats.org/officeDocument/2006/relationships/hyperlink" Id="rId416" Target="https://doi.org/10.1016/j.cpr.2005.11.003" TargetMode="External" /><Relationship Type="http://schemas.openxmlformats.org/officeDocument/2006/relationships/hyperlink" Id="rId427" Target="https://doi.org/10.1016/j.cpr.2007.01.002" TargetMode="External" /><Relationship Type="http://schemas.openxmlformats.org/officeDocument/2006/relationships/hyperlink" Id="rId344" Target="https://doi.org/10.1016/j.cpr.2017.10.012" TargetMode="External" /><Relationship Type="http://schemas.openxmlformats.org/officeDocument/2006/relationships/hyperlink" Id="rId282" Target="https://doi.org/10.1016/j.drugalcdep.2006.05.012" TargetMode="External" /><Relationship Type="http://schemas.openxmlformats.org/officeDocument/2006/relationships/hyperlink" Id="rId284" Target="https://doi.org/10.1016/j.drugalcdep.2013.07.027" TargetMode="External" /><Relationship Type="http://schemas.openxmlformats.org/officeDocument/2006/relationships/hyperlink" Id="rId232" Target="https://doi.org/10.1016/j.drugalcdep.2014.10.004" TargetMode="External" /><Relationship Type="http://schemas.openxmlformats.org/officeDocument/2006/relationships/hyperlink" Id="rId309" Target="https://doi.org/10.1016/j.drugalcdep.2016.10.038" TargetMode="External" /><Relationship Type="http://schemas.openxmlformats.org/officeDocument/2006/relationships/hyperlink" Id="rId364" Target="https://doi.org/10.1016/j.drugalcdep.2019.05.017" TargetMode="External" /><Relationship Type="http://schemas.openxmlformats.org/officeDocument/2006/relationships/hyperlink" Id="rId270" Target="https://doi.org/10.1016/j.drugalcdep.2020.108350" TargetMode="External" /><Relationship Type="http://schemas.openxmlformats.org/officeDocument/2006/relationships/hyperlink" Id="rId350" Target="https://doi.org/10.1016/j.drugalcdep.2021.108706" TargetMode="External" /><Relationship Type="http://schemas.openxmlformats.org/officeDocument/2006/relationships/hyperlink" Id="rId220" Target="https://doi.org/10.1016/j.drugalcdep.2022.109362" TargetMode="External" /><Relationship Type="http://schemas.openxmlformats.org/officeDocument/2006/relationships/hyperlink" Id="rId295" Target="https://doi.org/10.1016/j.josat.2025.209685" TargetMode="External" /><Relationship Type="http://schemas.openxmlformats.org/officeDocument/2006/relationships/hyperlink" Id="rId230" Target="https://doi.org/10.1016/j.jsat.2013.08.004" TargetMode="External" /><Relationship Type="http://schemas.openxmlformats.org/officeDocument/2006/relationships/hyperlink" Id="rId420" Target="https://doi.org/10.1016/j.jsat.2016.12.010" TargetMode="External" /><Relationship Type="http://schemas.openxmlformats.org/officeDocument/2006/relationships/hyperlink" Id="rId418" Target="https://doi.org/10.1016/j.jsat.2021.108417" TargetMode="External" /><Relationship Type="http://schemas.openxmlformats.org/officeDocument/2006/relationships/hyperlink" Id="rId359" Target="https://doi.org/10.1016/j.jsat.2021.108710" TargetMode="External" /><Relationship Type="http://schemas.openxmlformats.org/officeDocument/2006/relationships/hyperlink" Id="rId406" Target="https://doi.org/10.1016/j.landig.2025.100916" TargetMode="External" /><Relationship Type="http://schemas.openxmlformats.org/officeDocument/2006/relationships/hyperlink" Id="rId342" Target="https://doi.org/10.1016/j.psc.2010.04.012" TargetMode="External" /><Relationship Type="http://schemas.openxmlformats.org/officeDocument/2006/relationships/hyperlink" Id="rId304" Target="https://doi.org/10.1023/A:1008987426876" TargetMode="External" /><Relationship Type="http://schemas.openxmlformats.org/officeDocument/2006/relationships/hyperlink" Id="rId367" Target="https://doi.org/10.1037/0003-066X.47.9.1102" TargetMode="External" /><Relationship Type="http://schemas.openxmlformats.org/officeDocument/2006/relationships/hyperlink" Id="rId425" Target="https://doi.org/10.1037/0003-066X.59.4.224" TargetMode="External" /><Relationship Type="http://schemas.openxmlformats.org/officeDocument/2006/relationships/hyperlink" Id="rId393" Target="https://doi.org/10.1037/0003-066X.60.4.340" TargetMode="External" /><Relationship Type="http://schemas.openxmlformats.org/officeDocument/2006/relationships/hyperlink" Id="rId255" Target="https://doi.org/10.1037/a0037157" TargetMode="External" /><Relationship Type="http://schemas.openxmlformats.org/officeDocument/2006/relationships/hyperlink" Id="rId259" Target="https://doi.org/10.1037/abn0000819" TargetMode="External" /><Relationship Type="http://schemas.openxmlformats.org/officeDocument/2006/relationships/hyperlink" Id="rId251" Target="https://doi.org/10.1037/adb0000292" TargetMode="External" /><Relationship Type="http://schemas.openxmlformats.org/officeDocument/2006/relationships/hyperlink" Id="rId376" Target="https://doi.org/10.1037/adb0000550" TargetMode="External" /><Relationship Type="http://schemas.openxmlformats.org/officeDocument/2006/relationships/hyperlink" Id="rId389" Target="https://doi.org/10.1037/adb0000666" TargetMode="External" /><Relationship Type="http://schemas.openxmlformats.org/officeDocument/2006/relationships/hyperlink" Id="rId266" Target="https://doi.org/10.1037/ccp0000026" TargetMode="External" /><Relationship Type="http://schemas.openxmlformats.org/officeDocument/2006/relationships/hyperlink" Id="rId433" Target="https://doi.org/10.1037/pas0000685" TargetMode="External" /><Relationship Type="http://schemas.openxmlformats.org/officeDocument/2006/relationships/hyperlink" Id="rId257" Target="https://doi.org/10.1037/pha0000210" TargetMode="External" /><Relationship Type="http://schemas.openxmlformats.org/officeDocument/2006/relationships/hyperlink" Id="rId361" Target="https://doi.org/10.1037/tps0000250" TargetMode="External" /><Relationship Type="http://schemas.openxmlformats.org/officeDocument/2006/relationships/hyperlink" Id="rId333" Target="https://doi.org/10.1038/s41380-018-0094-5" TargetMode="External" /><Relationship Type="http://schemas.openxmlformats.org/officeDocument/2006/relationships/hyperlink" Id="rId328" Target="https://doi.org/10.1080/00952990.2019.1694536" TargetMode="External" /><Relationship Type="http://schemas.openxmlformats.org/officeDocument/2006/relationships/hyperlink" Id="rId272" Target="https://doi.org/10.1080/10826084.2021.1899225" TargetMode="External" /><Relationship Type="http://schemas.openxmlformats.org/officeDocument/2006/relationships/hyperlink" Id="rId429" Target="https://doi.org/10.1080/14659891.2018.1523968" TargetMode="External" /><Relationship Type="http://schemas.openxmlformats.org/officeDocument/2006/relationships/hyperlink" Id="rId443" Target="https://doi.org/10.1080/17441692.2023.2277854" TargetMode="External" /><Relationship Type="http://schemas.openxmlformats.org/officeDocument/2006/relationships/hyperlink" Id="rId399" Target="https://doi.org/10.1080/19371918.2013.758975" TargetMode="External" /><Relationship Type="http://schemas.openxmlformats.org/officeDocument/2006/relationships/hyperlink" Id="rId412" Target="https://doi.org/10.1093/jamia/ocy052" TargetMode="External" /><Relationship Type="http://schemas.openxmlformats.org/officeDocument/2006/relationships/hyperlink" Id="rId240" Target="https://doi.org/10.1093/oxfordhb/9780190067991.013.9" TargetMode="External" /><Relationship Type="http://schemas.openxmlformats.org/officeDocument/2006/relationships/hyperlink" Id="rId297" Target="https://doi.org/10.1097/ADM.0000000000000312" TargetMode="External" /><Relationship Type="http://schemas.openxmlformats.org/officeDocument/2006/relationships/hyperlink" Id="rId335" Target="https://doi.org/10.1097/JTO.0b013e3181ec173d" TargetMode="External" /><Relationship Type="http://schemas.openxmlformats.org/officeDocument/2006/relationships/hyperlink" Id="rId387" Target="https://doi.org/10.1111/add.13479" TargetMode="External" /><Relationship Type="http://schemas.openxmlformats.org/officeDocument/2006/relationships/hyperlink" Id="rId222" Target="https://doi.org/10.1111/ajad.12784" TargetMode="External" /><Relationship Type="http://schemas.openxmlformats.org/officeDocument/2006/relationships/hyperlink" Id="rId410" Target="https://doi.org/10.1111/j.1530-0277.1984.tb05523.x" TargetMode="External" /><Relationship Type="http://schemas.openxmlformats.org/officeDocument/2006/relationships/hyperlink" Id="rId383" Target="https://doi.org/10.1111/j.1530-0277.2006.00263.x" TargetMode="External" /><Relationship Type="http://schemas.openxmlformats.org/officeDocument/2006/relationships/hyperlink" Id="rId330" Target="https://doi.org/10.1111/jrh.70076" TargetMode="External" /><Relationship Type="http://schemas.openxmlformats.org/officeDocument/2006/relationships/hyperlink" Id="rId234" Target="https://doi.org/10.1136/bmj-2023-078378" TargetMode="External" /><Relationship Type="http://schemas.openxmlformats.org/officeDocument/2006/relationships/hyperlink" Id="rId441" Target="https://doi.org/10.1145/1629890.1629897" TargetMode="External" /><Relationship Type="http://schemas.openxmlformats.org/officeDocument/2006/relationships/hyperlink" Id="rId300" Target="https://doi.org/10.1145/1867699.1867704" TargetMode="External" /><Relationship Type="http://schemas.openxmlformats.org/officeDocument/2006/relationships/hyperlink" Id="rId381" Target="https://doi.org/10.1146/annurev-clinpsy-021815-093351" TargetMode="External" /><Relationship Type="http://schemas.openxmlformats.org/officeDocument/2006/relationships/hyperlink" Id="rId352" Target="https://doi.org/10.1146/annurev-clinpsy-032816-044949" TargetMode="External" /><Relationship Type="http://schemas.openxmlformats.org/officeDocument/2006/relationships/hyperlink" Id="rId276" Target="https://doi.org/10.1146/annurev-clinpsy-102419-125016" TargetMode="External" /><Relationship Type="http://schemas.openxmlformats.org/officeDocument/2006/relationships/hyperlink" Id="rId218" Target="https://doi.org/10.1146/annurev.clinpsy.3.022806.091455" TargetMode="External" /><Relationship Type="http://schemas.openxmlformats.org/officeDocument/2006/relationships/hyperlink" Id="rId224" Target="https://doi.org/10.1176/appi.ajp.2014.13081055" TargetMode="External" /><Relationship Type="http://schemas.openxmlformats.org/officeDocument/2006/relationships/hyperlink" Id="rId288" Target="https://doi.org/10.1176/appi.ajp.21090963" TargetMode="External" /><Relationship Type="http://schemas.openxmlformats.org/officeDocument/2006/relationships/hyperlink" Id="rId238" Target="https://doi.org/10.1176/ps.62.11.pss6211_1273" TargetMode="External" /><Relationship Type="http://schemas.openxmlformats.org/officeDocument/2006/relationships/hyperlink" Id="rId339" Target="https://doi.org/10.1177/00333549211041554" TargetMode="External" /><Relationship Type="http://schemas.openxmlformats.org/officeDocument/2006/relationships/hyperlink" Id="rId401" Target="https://doi.org/10.1177/0261927X09351676" TargetMode="External" /><Relationship Type="http://schemas.openxmlformats.org/officeDocument/2006/relationships/hyperlink" Id="rId373" Target="https://doi.org/10.1177/1073191114540320" TargetMode="External" /><Relationship Type="http://schemas.openxmlformats.org/officeDocument/2006/relationships/hyperlink" Id="rId431" Target="https://doi.org/10.1177/1073191116653829" TargetMode="External" /><Relationship Type="http://schemas.openxmlformats.org/officeDocument/2006/relationships/hyperlink" Id="rId447" Target="https://doi.org/10.1177/1077558712458541" TargetMode="External" /><Relationship Type="http://schemas.openxmlformats.org/officeDocument/2006/relationships/hyperlink" Id="rId391" Target="https://doi.org/10.1177/1178221820976988" TargetMode="External" /><Relationship Type="http://schemas.openxmlformats.org/officeDocument/2006/relationships/hyperlink" Id="rId403" Target="https://doi.org/10.1177/17456916221134490" TargetMode="External" /><Relationship Type="http://schemas.openxmlformats.org/officeDocument/2006/relationships/hyperlink" Id="rId323" Target="https://doi.org/10.1214/17-EJS1338SI" TargetMode="External" /><Relationship Type="http://schemas.openxmlformats.org/officeDocument/2006/relationships/hyperlink" Id="rId414" Target="https://doi.org/10.1377/hlthaff.20.6.64" TargetMode="External" /><Relationship Type="http://schemas.openxmlformats.org/officeDocument/2006/relationships/hyperlink" Id="rId378" Target="https://doi.org/10.1377/hlthaff.2011.0983" TargetMode="External" /><Relationship Type="http://schemas.openxmlformats.org/officeDocument/2006/relationships/hyperlink" Id="rId226" Target="https://doi.org/10.21231/GNT1-HW21" TargetMode="External" /><Relationship Type="http://schemas.openxmlformats.org/officeDocument/2006/relationships/hyperlink" Id="rId355" Target="https://doi.org/10.2196/29563" TargetMode="External" /><Relationship Type="http://schemas.openxmlformats.org/officeDocument/2006/relationships/hyperlink" Id="rId208" Target="https://doi.org/10.2196/39862" TargetMode="External" /><Relationship Type="http://schemas.openxmlformats.org/officeDocument/2006/relationships/hyperlink" Id="rId435" Target="https://doi.org/10.2196/41833" TargetMode="External" /><Relationship Type="http://schemas.openxmlformats.org/officeDocument/2006/relationships/hyperlink" Id="rId369" Target="https://doi.org/10.2196/73265" TargetMode="External" /><Relationship Type="http://schemas.openxmlformats.org/officeDocument/2006/relationships/hyperlink" Id="rId437" Target="https://doi.org/10.2196/81697" TargetMode="External" /><Relationship Type="http://schemas.openxmlformats.org/officeDocument/2006/relationships/hyperlink" Id="rId291" Target="https://doi.org/10.2196/mental.9777" TargetMode="External" /><Relationship Type="http://schemas.openxmlformats.org/officeDocument/2006/relationships/hyperlink" Id="rId445" Target="https://doi.org/10.2196/mhealth.9117" TargetMode="External" /><Relationship Type="http://schemas.openxmlformats.org/officeDocument/2006/relationships/hyperlink" Id="rId439" Target="https://doi.org/10.31234/osf.io/cgsf7" TargetMode="External" /><Relationship Type="http://schemas.openxmlformats.org/officeDocument/2006/relationships/hyperlink" Id="rId346" Target="https://doi.org/10.35946/arcr.v41.1.01" TargetMode="External" /><Relationship Type="http://schemas.openxmlformats.org/officeDocument/2006/relationships/hyperlink" Id="rId249" Target="https://doi.org/10.48550/arXiv.1810.04805" TargetMode="External" /><Relationship Type="http://schemas.openxmlformats.org/officeDocument/2006/relationships/hyperlink" Id="rId264" Target="https://doi.org/10.5555/ajhb.2007.31.supp.S47" TargetMode="External" /><Relationship Type="http://schemas.openxmlformats.org/officeDocument/2006/relationships/hyperlink" Id="rId449" Target="https://doi.org/10.7326/M14-0295" TargetMode="External" /><Relationship Type="http://schemas.openxmlformats.org/officeDocument/2006/relationships/hyperlink" Id="rId306" Target="https://doi.org/10/gfsjzg" TargetMode="External" /><Relationship Type="http://schemas.openxmlformats.org/officeDocument/2006/relationships/hyperlink" Id="rId262"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4" Target="https://www.ncbi.nlm.nih.gov/pmc/articles/PMC2797101" TargetMode="External" /><Relationship Type="http://schemas.openxmlformats.org/officeDocument/2006/relationships/hyperlink" Id="rId422" Target="https://www.ncbi.nlm.nih.gov/pubmed/12199834" TargetMode="External" /><Relationship Type="http://schemas.openxmlformats.org/officeDocument/2006/relationships/hyperlink" Id="rId357" Target="https://www.ncbi.nlm.nih.gov/pubmed/20669516" TargetMode="External" /><Relationship Type="http://schemas.openxmlformats.org/officeDocument/2006/relationships/hyperlink" Id="rId397"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2026-03-30T12:09:37Z</dcterms:created>
  <dcterms:modified xsi:type="dcterms:W3CDTF">2026-03-30T12:09:37Z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2026-03-30</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