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20.png" ContentType="image/png"/>
  <Override PartName="/word/media/rId72.jpg" ContentType="image/jpeg"/>
  <Override PartName="/word/media/rId13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 Proposal</w:t>
      </w:r>
    </w:p>
    <w:p>
      <w:pPr>
        <w:pStyle w:val="Author"/>
      </w:pPr>
      <w:r>
        <w:t xml:space="preserve">Kendra Wyant</w:t>
      </w:r>
    </w:p>
    <w:p>
      <w:pPr>
        <w:pStyle w:val="Date"/>
      </w:pPr>
      <w:r>
        <w:t xml:space="preserve">2026-03-16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additionally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w:t>
      </w:r>
      <w:r>
        <w:rPr>
          <w:b/>
          <w:bCs/>
        </w:rPr>
        <w:t xml:space="preserve">salonerBlacksHispanicsAre2013?</w:t>
      </w:r>
      <w:r>
        <w:t xml:space="preserve">)</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w:t>
      </w:r>
      <w:r>
        <w:rPr>
          <w:b/>
          <w:bCs/>
        </w:rPr>
        <w:t xml:space="preserve">freitagVariationsSubstanceUse2021?</w:t>
      </w:r>
      <w:r>
        <w:t xml:space="preserve">;</w:t>
      </w:r>
      <w:r>
        <w:t xml:space="preserve"> </w:t>
      </w:r>
      <w:r>
        <w:rPr>
          <w:b/>
          <w:bCs/>
        </w:rPr>
        <w:t xml:space="preserve">craneAlcoholUseDisorders2020?</w:t>
      </w:r>
      <w:r>
        <w:t xml:space="preserve">)</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(Krueger et al., 2020;</w:t>
      </w:r>
      <w:r>
        <w:t xml:space="preserve"> </w:t>
      </w:r>
      <w:r>
        <w:rPr>
          <w:b/>
          <w:bCs/>
        </w:rPr>
        <w:t xml:space="preserve">dyarSexualMinorityStress2023?</w:t>
      </w:r>
      <w:r>
        <w:t xml:space="preserve">)</w:t>
      </w:r>
      <w:r>
        <w:t xml:space="preserve">. These disparities intensify when sexual orientation intersects with other identities such as race or gender</w:t>
      </w:r>
      <w:r>
        <w:t xml:space="preserve"> </w:t>
      </w:r>
      <w:r>
        <w:t xml:space="preserve">(</w:t>
      </w:r>
      <w:r>
        <w:rPr>
          <w:b/>
          <w:bCs/>
        </w:rPr>
        <w:t xml:space="preserve">freitagVariationsSubstanceUse2021?</w:t>
      </w:r>
      <w:r>
        <w:t xml:space="preserve">;</w:t>
      </w:r>
      <w:r>
        <w:t xml:space="preserve"> </w:t>
      </w:r>
      <w:r>
        <w:rPr>
          <w:b/>
          <w:bCs/>
        </w:rPr>
        <w:t xml:space="preserve">kerridgePrevalenceSociodemographicCorrelates2017?</w:t>
      </w:r>
      <w:r>
        <w:t xml:space="preserve">)</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w:t>
      </w:r>
      <w:r>
        <w:rPr>
          <w:b/>
          <w:bCs/>
        </w:rPr>
        <w:t xml:space="preserve">lecookRacialEthnicDisparitiesSubstance2011?</w:t>
      </w:r>
      <w:r>
        <w:t xml:space="preserve">)</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w:t>
      </w:r>
      <w:r>
        <w:rPr>
          <w:b/>
          <w:bCs/>
        </w:rPr>
        <w:t xml:space="preserve">sigmonAccessTreatmentOpioid2014?</w:t>
      </w:r>
      <w:r>
        <w:t xml:space="preserve">)</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t>
      </w:r>
      <w:r>
        <w:rPr>
          <w:b/>
          <w:bCs/>
        </w:rPr>
        <w:t xml:space="preserve">woodLotPeopleCall2019?</w:t>
      </w:r>
      <w:r>
        <w:t xml:space="preserve">)</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(K. Witkiewitz &amp; Marlatt, 2004;</w:t>
      </w:r>
      <w:r>
        <w:t xml:space="preserve"> </w:t>
      </w:r>
      <w:r>
        <w:rPr>
          <w:b/>
          <w:bCs/>
        </w:rPr>
        <w:t xml:space="preserve">stantonRelapsePreventionNeeds2005?</w:t>
      </w:r>
      <w:r>
        <w:t xml:space="preserve">)</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w:t>
      </w:r>
      <w:r>
        <w:t xml:space="preserve"> </w:t>
      </w:r>
      <w:r>
        <w:rPr>
          <w:b/>
          <w:bCs/>
        </w:rPr>
        <w:t xml:space="preserve">hedegaardDrugOverdoseDeaths?</w:t>
      </w:r>
      <w:r>
        <w:t xml:space="preserve">)</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w:t>
      </w:r>
      <w:r>
        <w:rPr>
          <w:b/>
          <w:bCs/>
        </w:rPr>
        <w:t xml:space="preserve">wyantMachineLearningModels2023?</w:t>
      </w:r>
      <w:r>
        <w:t xml:space="preserve">)</w:t>
      </w:r>
      <w:r>
        <w:t xml:space="preserv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w:t>
      </w:r>
      <w:r>
        <w:rPr>
          <w:b/>
          <w:bCs/>
        </w:rPr>
        <w:t xml:space="preserve">wyantMachineLearningModels2023?</w:t>
      </w:r>
      <w:r>
        <w:t xml:space="preserve">)</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w:t>
      </w:r>
      <w:r>
        <w:t xml:space="preserve"> </w:t>
      </w:r>
      <w:r>
        <w:t xml:space="preserve">(</w:t>
      </w:r>
      <w:r>
        <w:rPr>
          <w:b/>
          <w:bCs/>
        </w:rPr>
        <w:t xml:space="preserve">wyantMachineLearningModels2023?</w:t>
      </w:r>
      <w:r>
        <w:t xml:space="preserve">)</w:t>
      </w:r>
      <w:r>
        <w:t xml:space="preserve"> </w:t>
      </w:r>
      <w:r>
        <w:t xml:space="preserve">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w:t>
      </w:r>
      <w:r>
        <w:rPr>
          <w:b/>
          <w:bCs/>
        </w:rPr>
        <w:t xml:space="preserve">wyantMachineLearningModels2023?</w:t>
      </w:r>
      <w:r>
        <w:t xml:space="preserve">)</w:t>
      </w:r>
      <w:r>
        <w:t xml:space="preserve">’s next day lapse prediction model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t>
      </w:r>
      <w:r>
        <w:rPr>
          <w:b/>
          <w:bCs/>
        </w:rPr>
        <w:t xml:space="preserve">wyantOptimizingMessageComponentsinprep?</w:t>
      </w:r>
      <w:r>
        <w:t xml:space="preserve">)</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19"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End w:id="119"/>
    <w:bookmarkStart w:id="125" w:name="model-evaluation"/>
    <w:p>
      <w:pPr>
        <w:pStyle w:val="Heading2"/>
      </w:pPr>
      <w:r>
        <w:t xml:space="preserve">3.4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3" w:name="fig-2-lag"/>
          <w:p>
            <w:pPr>
              <w:pStyle w:val="Compact"/>
              <w:jc w:val="center"/>
            </w:pPr>
            <w:r>
              <w:drawing>
                <wp:inline>
                  <wp:extent cx="5334000" cy="4572000"/>
                  <wp:effectExtent b="0" l="0" r="0" t="0"/>
                  <wp:docPr descr="" title="" id="121" name="Picture"/>
                  <a:graphic>
                    <a:graphicData uri="http://schemas.openxmlformats.org/drawingml/2006/picture">
                      <pic:pic>
                        <pic:nvPicPr>
                          <pic:cNvPr descr="index_files/figure-docx/notebooks-figures-fig-2-lag-output-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3"/>
        </w:tc>
      </w:tr>
    </w:tbl>
    <w:p>
      <w:pPr>
        <w:pStyle w:val="BodyText"/>
      </w:pPr>
      <w:r>
        <w:rPr>
          <w:vertAlign w:val="subscript"/>
        </w:rPr>
        <w:t xml:space="preserve">Source:</w:t>
      </w:r>
      <w:r>
        <w:rPr>
          <w:vertAlign w:val="subscript"/>
        </w:rPr>
        <w:t xml:space="preserve"> </w:t>
      </w:r>
      <w:hyperlink r:id="rId124">
        <w:r>
          <w:rPr>
            <w:rStyle w:val="Hyperlink"/>
            <w:vertAlign w:val="subscript"/>
          </w:rPr>
          <w:t xml:space="preserve">Make All Figures for Dissertation</w:t>
        </w:r>
      </w:hyperlink>
    </w:p>
    <w:bookmarkEnd w:id="125"/>
    <w:bookmarkStart w:id="128" w:name="model-comparisons"/>
    <w:p>
      <w:pPr>
        <w:pStyle w:val="Heading2"/>
      </w:pPr>
      <w:r>
        <w:t xml:space="preserve">3.5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6"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6"/>
          <w:p/>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Tables for Dissertation</w:t>
        </w:r>
      </w:hyperlink>
    </w:p>
    <w:bookmarkEnd w:id="128"/>
    <w:bookmarkStart w:id="131" w:name="fairness-analyses-1"/>
    <w:p>
      <w:pPr>
        <w:pStyle w:val="Heading2"/>
      </w:pPr>
      <w:r>
        <w:t xml:space="preserve">3.6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NA (range NA-NA) for participants who were not White compared to non-Hispanic White participants. On average, across all five models, there was a median decrease in auROC of NA (range NA-NA) for female participants compared to male participants. On average, across all five models, there was a median decrease in auROC of NA (range NA-NA)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9"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Make All Tables for Dissertation</w:t>
        </w:r>
      </w:hyperlink>
    </w:p>
    <w:bookmarkEnd w:id="131"/>
    <w:bookmarkStart w:id="137" w:name="feature-importance-1"/>
    <w:p>
      <w:pPr>
        <w:pStyle w:val="Heading2"/>
      </w:pPr>
      <w:r>
        <w:t xml:space="preserve">3.7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5" w:name="fig-3-lag"/>
          <w:p>
            <w:pPr>
              <w:pStyle w:val="Compact"/>
              <w:jc w:val="center"/>
            </w:pPr>
            <w:r>
              <w:drawing>
                <wp:inline>
                  <wp:extent cx="5334000" cy="3333750"/>
                  <wp:effectExtent b="0" l="0" r="0" t="0"/>
                  <wp:docPr descr="" title="" id="133" name="Picture"/>
                  <a:graphic>
                    <a:graphicData uri="http://schemas.openxmlformats.org/drawingml/2006/picture">
                      <pic:pic>
                        <pic:nvPicPr>
                          <pic:cNvPr descr="index_files/figure-docx/notebooks-figures-fig-3-lag-output-1.png" id="134" name="Picture"/>
                          <pic:cNvPicPr>
                            <a:picLocks noChangeArrowheads="1" noChangeAspect="1"/>
                          </pic:cNvPicPr>
                        </pic:nvPicPr>
                        <pic:blipFill>
                          <a:blip r:embed="rId1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5"/>
        </w:tc>
      </w:tr>
    </w:tbl>
    <w:p>
      <w:pPr>
        <w:pStyle w:val="BodyText"/>
      </w:pPr>
      <w:r>
        <w:rPr>
          <w:vertAlign w:val="subscript"/>
        </w:rPr>
        <w:t xml:space="preserve">Source:</w:t>
      </w:r>
      <w:r>
        <w:rPr>
          <w:vertAlign w:val="subscript"/>
        </w:rPr>
        <w:t xml:space="preserve"> </w:t>
      </w:r>
      <w:hyperlink r:id="rId136">
        <w:r>
          <w:rPr>
            <w:rStyle w:val="Hyperlink"/>
            <w:vertAlign w:val="subscript"/>
          </w:rPr>
          <w:t xml:space="preserve">Make All Figures for Dissertation</w:t>
        </w:r>
      </w:hyperlink>
    </w:p>
    <w:bookmarkEnd w:id="137"/>
    <w:bookmarkStart w:id="138" w:name="discussion-1"/>
    <w:p>
      <w:pPr>
        <w:pStyle w:val="Heading2"/>
      </w:pPr>
      <w:r>
        <w:t xml:space="preserve">3.8 Discussion</w:t>
      </w:r>
    </w:p>
    <w:bookmarkEnd w:id="138"/>
    <w:bookmarkStart w:id="139" w:name="model-performance-2"/>
    <w:p>
      <w:pPr>
        <w:pStyle w:val="Heading2"/>
      </w:pPr>
      <w:r>
        <w:t xml:space="preserve">3.9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9"/>
    <w:bookmarkStart w:id="140" w:name="model-fairness"/>
    <w:p>
      <w:pPr>
        <w:pStyle w:val="Heading2"/>
      </w:pPr>
      <w:r>
        <w:t xml:space="preserve">3.10 Model Fairness</w:t>
      </w:r>
    </w:p>
    <w:p>
      <w:pPr>
        <w:pStyle w:val="FirstParagraph"/>
      </w:pPr>
      <w:r>
        <w:t xml:space="preserve">In our previous study</w:t>
      </w:r>
      <w:r>
        <w:t xml:space="preserve"> </w:t>
      </w:r>
      <w:r>
        <w:t xml:space="preserve">(</w:t>
      </w:r>
      <w:r>
        <w:rPr>
          <w:b/>
          <w:bCs/>
        </w:rPr>
        <w:t xml:space="preserve">wyantMachineLearningModels2023?</w:t>
      </w:r>
      <w:r>
        <w:t xml:space="preserve">)</w:t>
      </w:r>
      <w:r>
        <w:t xml:space="preserve">,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t>
      </w:r>
      <w:r>
        <w:rPr>
          <w:b/>
          <w:bCs/>
        </w:rPr>
        <w:t xml:space="preserve">wyantOptimizingMessageComponentsinprep?</w:t>
      </w:r>
      <w:r>
        <w:t xml:space="preserve">)</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t>
      </w:r>
      <w:r>
        <w:rPr>
          <w:b/>
          <w:bCs/>
        </w:rPr>
        <w:t xml:space="preserve">walitzerGenderDifferencesAlcohol2006a?</w:t>
      </w:r>
      <w:r>
        <w:t xml:space="preserve">)</w:t>
      </w:r>
      <w:r>
        <w:t xml:space="preserve">, hormonal changes</w:t>
      </w:r>
      <w:r>
        <w:t xml:space="preserve"> </w:t>
      </w:r>
      <w:r>
        <w:t xml:space="preserve">(</w:t>
      </w:r>
      <w:r>
        <w:rPr>
          <w:b/>
          <w:bCs/>
        </w:rPr>
        <w:t xml:space="preserve">mchughSexGenderDifferences2018a?</w:t>
      </w:r>
      <w:r>
        <w:t xml:space="preserve">)</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40"/>
    <w:bookmarkStart w:id="141" w:name="X5ad29cf6135702ebd29ccbd3207356419a7e287"/>
    <w:p>
      <w:pPr>
        <w:pStyle w:val="Heading2"/>
      </w:pPr>
      <w:r>
        <w:t xml:space="preserve">3.11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t>
      </w:r>
      <w:r>
        <w:rPr>
          <w:b/>
          <w:bCs/>
        </w:rPr>
        <w:t xml:space="preserve">wyantOptimizingMessageComponentsinprep?</w:t>
      </w:r>
      <w:r>
        <w:t xml:space="preserve">)</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pulickIdiographicLapsePredictionunderreview?</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1"/>
    <w:bookmarkStart w:id="142" w:name="conclusion"/>
    <w:p>
      <w:pPr>
        <w:pStyle w:val="Heading2"/>
      </w:pPr>
      <w:r>
        <w:t xml:space="preserve">3.12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2"/>
    <w:bookmarkEnd w:id="143"/>
    <w:bookmarkStart w:id="162" w:name="Xb01b715a71d3cc3f262d360703a81420bd8b11f"/>
    <w:p>
      <w:pPr>
        <w:pStyle w:val="Heading1"/>
      </w:pPr>
      <w:r>
        <w:t xml:space="preserve">4. Using sensing data to predict opioid lapse risk in a national sample of patients with opioid use disorder</w:t>
      </w:r>
    </w:p>
    <w:bookmarkStart w:id="144" w:name="introduction-3"/>
    <w:p>
      <w:pPr>
        <w:pStyle w:val="Heading2"/>
      </w:pPr>
      <w:r>
        <w:t xml:space="preserve">4.1 Introduction</w:t>
      </w:r>
    </w:p>
    <w:p>
      <w:pPr>
        <w:pStyle w:val="FirstParagraph"/>
      </w:pPr>
      <w:r>
        <w:t xml:space="preserve">Studies show high agreement between recent (i.e., 1-4 days) self-report and biological markers (i.e., urine, saliva, hair) of drug use</w:t>
      </w:r>
      <w:r>
        <w:t xml:space="preserve"> </w:t>
      </w:r>
      <w:r>
        <w:t xml:space="preserve">(Bharat et al., 2023)</w:t>
      </w:r>
      <w:r>
        <w:t xml:space="preserve">. This suggests people may be willing to report illicit substance use behaviors.</w:t>
      </w:r>
    </w:p>
    <w:p>
      <w:pPr>
        <w:pStyle w:val="BodyText"/>
      </w:pPr>
      <w:r>
        <w:t xml:space="preserve">However, it is unclear if people in recovery from substance use disorders, other than alcohol, can sustain long-term adherence (e.g., one year or more) needed for a recovery monitoring support system that uses self-report data. Previous studies examining adherence to frequent self-report prompts among people with illicit substance use disorders have typically only prompted for 7-30 days</w:t>
      </w:r>
      <w:r>
        <w:t xml:space="preserve"> </w:t>
      </w:r>
      <w:r>
        <w:t xml:space="preserve">(Jones et al., 2019)</w:t>
      </w:r>
      <w:r>
        <w:t xml:space="preserve"> </w:t>
      </w:r>
      <w:r>
        <w:t xml:space="preserve">(except</w:t>
      </w:r>
      <w:r>
        <w:t xml:space="preserve"> </w:t>
      </w:r>
      <w:r>
        <w:t xml:space="preserve">Kennedy et al. (2013)</w:t>
      </w:r>
      <w:r>
        <w:t xml:space="preserve"> </w:t>
      </w:r>
      <w:r>
        <w:t xml:space="preserve">prompted for 175 days and found 75% adherence).</w:t>
      </w:r>
    </w:p>
    <w:p>
      <w:pPr>
        <w:pStyle w:val="BodyText"/>
      </w:pPr>
      <w:r>
        <w:t xml:space="preserve">It is also unclear whether people in recovery from illicit substance use disorders can, or are willing to, accurately report other risk information needed to develop accurate prediction models. For example, people with substance use disorders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their baseline perception of what constitutes a risky or stressful experience.</w:t>
      </w:r>
    </w:p>
    <w:p>
      <w:pPr>
        <w:pStyle w:val="BodyText"/>
      </w:pPr>
      <w:r>
        <w:t xml:space="preserve">Supplementing self-report data with passively sensed data (e.g., geolocation) could make up for imprecise reports of risk factors or be used for lapse prediction during periods of non-adherence to self-report surveys. Additionally, more data will produce more features that could allow for better personalization of support recommendations.</w:t>
      </w:r>
    </w:p>
    <w:p>
      <w:pPr>
        <w:pStyle w:val="BodyText"/>
      </w:pPr>
      <w:r>
        <w:t xml:space="preserve">This study will use daily surveys and sensed geolocation for up to one year from a national sample of people with opioid use disorder to predict immediate (i.e., in the next 24 hours) lapses back to opioid use.</w:t>
      </w:r>
    </w:p>
    <w:bookmarkEnd w:id="144"/>
    <w:bookmarkStart w:id="145" w:name="specific-aims-1"/>
    <w:p>
      <w:pPr>
        <w:pStyle w:val="Heading2"/>
      </w:pPr>
      <w:r>
        <w:t xml:space="preserve">4.2 Specific Aims</w:t>
      </w:r>
    </w:p>
    <w:p>
      <w:pPr>
        <w:pStyle w:val="FirstParagraph"/>
      </w:pPr>
      <w:r>
        <w:t xml:space="preserve">In this study, we will expand our previous modeling procedure to opioid use disorder and evaluate performance, fairness, and top features for predicting opioid lapse risk.</w:t>
      </w:r>
    </w:p>
    <w:p>
      <w:pPr>
        <w:pStyle w:val="BodyText"/>
      </w:pPr>
      <w:r>
        <w:t xml:space="preserve">Specifically, we will:</w:t>
      </w:r>
    </w:p>
    <w:p>
      <w:pPr>
        <w:pStyle w:val="BodyText"/>
      </w:pPr>
      <w:r>
        <w:rPr>
          <w:b/>
          <w:bCs/>
        </w:rPr>
        <w:t xml:space="preserve">1. Evaluate the performance (auROC) of a machine learning model that predicts opioid lapse risk from geolocation and daily surveys.</w:t>
      </w:r>
      <w:r>
        <w:t xml:space="preserve"> </w:t>
      </w:r>
      <w:r>
        <w:t xml:space="preserve">This aim will allow us to determine whether lapse prediction models can be generalized to other drugs beyond alcohol. Notably, a successful model will demonstrate that lapse prediction can be done with a drug where its use is illegal and people may be less willing to provide information about lapses and risk factors. It will also show the feasibility of using self-report data over long periods of reocvery (i.e., 12 months).</w:t>
      </w:r>
    </w:p>
    <w:p>
      <w:pPr>
        <w:pStyle w:val="BodyText"/>
      </w:pPr>
      <w:r>
        <w:rPr>
          <w:b/>
          <w:bCs/>
        </w:rPr>
        <w:t xml:space="preserve">2. Assess model fairness in performance across important subgroups with known disparities in substance use treatment access and/or outcomes - race/ethnicity (not White vs. non-Hispanic White), income (below $25,000 vs. above $25,000), sex at birth (female vs. male), and geographic location (rural vs. other).</w:t>
      </w:r>
      <w:r>
        <w:t xml:space="preserve"> </w:t>
      </w:r>
      <w:r>
        <w:t xml:space="preserve">These data offer more diversity with regard to race/ethnicity, income, and geographic location. This aim will allow us to determine if improving the quality of the training data with respect to diversity is sufficient to address issues of fairness.</w:t>
      </w:r>
    </w:p>
    <w:p>
      <w:pPr>
        <w:pStyle w:val="BodyText"/>
      </w:pPr>
      <w:r>
        <w:rPr>
          <w:b/>
          <w:bCs/>
        </w:rPr>
        <w:t xml:space="preserve">3. Describe the relative importance of features on model performance.</w:t>
      </w:r>
      <w:r>
        <w:t xml:space="preserve"> </w:t>
      </w:r>
      <w:r>
        <w:t xml:space="preserve">Model features will be derived from two complementary sensing methods: daily surveys and continuous geolocation data. Geolocation sensing, a passive sensing method, could compliment daily surveys well. It could provide insight into information difficult to measure with self-report (e.g., the amount of time spent in risky locations, or changes in routine that could indicate life stressors) or that would add additional burden by increasing the number of questions on the daily surveys. Furthermore, by adding more data sources gives us more features and that could mean better personalization of predictions and recommendations for more people. This aim will help determine whether a sufficient number of unique important features emerge from these data.</w:t>
      </w:r>
    </w:p>
    <w:bookmarkEnd w:id="145"/>
    <w:bookmarkStart w:id="161" w:name="sec-methods"/>
    <w:p>
      <w:pPr>
        <w:pStyle w:val="Heading2"/>
      </w:pPr>
      <w:r>
        <w:t xml:space="preserve">4.3 Methods</w:t>
      </w:r>
    </w:p>
    <w:bookmarkStart w:id="146" w:name="participants-2"/>
    <w:p>
      <w:pPr>
        <w:pStyle w:val="Heading3"/>
      </w:pPr>
      <w:r>
        <w:t xml:space="preserve">4.3.1 Participants</w:t>
      </w:r>
    </w:p>
    <w:p>
      <w:pPr>
        <w:pStyle w:val="FirstParagraph"/>
      </w:pPr>
      <w:r>
        <w:t xml:space="preserve">We recruited participants in early recovery from opioid use disorder. Participants were recruited through print and targeted digital advertisements (craigslist, reddit, Facebook) and partnerships with MOUD treatment centers. We required that participants:</w:t>
      </w:r>
    </w:p>
    <w:p>
      <w:pPr>
        <w:pStyle w:val="Compact"/>
        <w:numPr>
          <w:ilvl w:val="0"/>
          <w:numId w:val="1006"/>
        </w:numPr>
      </w:pPr>
      <w:r>
        <w:t xml:space="preserve">were age 18 or older,</w:t>
      </w:r>
    </w:p>
    <w:p>
      <w:pPr>
        <w:pStyle w:val="Compact"/>
        <w:numPr>
          <w:ilvl w:val="0"/>
          <w:numId w:val="1006"/>
        </w:numPr>
      </w:pPr>
      <w:r>
        <w:t xml:space="preserve">could write, speak, and read in English,</w:t>
      </w:r>
    </w:p>
    <w:p>
      <w:pPr>
        <w:pStyle w:val="Compact"/>
        <w:numPr>
          <w:ilvl w:val="0"/>
          <w:numId w:val="1006"/>
        </w:numPr>
      </w:pPr>
      <w:r>
        <w:t xml:space="preserve">enrolled in an MOUD treatment program (for at least one month but not longer than 12 months) and adherent (taken daily medication every day or nearly every day in past month) or enrolled in or recently completed an intensive outpatient treatment program for opioid use disorder,</w:t>
      </w:r>
    </w:p>
    <w:p>
      <w:pPr>
        <w:pStyle w:val="Compact"/>
        <w:numPr>
          <w:ilvl w:val="0"/>
          <w:numId w:val="1006"/>
        </w:numPr>
      </w:pPr>
      <w:r>
        <w:t xml:space="preserve">had a goal of abstinence from opioids,</w:t>
      </w:r>
    </w:p>
    <w:p>
      <w:pPr>
        <w:pStyle w:val="Compact"/>
        <w:numPr>
          <w:ilvl w:val="0"/>
          <w:numId w:val="1006"/>
        </w:numPr>
      </w:pPr>
      <w:r>
        <w:t xml:space="preserve">had an android smartphone that they were willing to use as their single phone for duration of the study, and</w:t>
      </w:r>
    </w:p>
    <w:p>
      <w:pPr>
        <w:pStyle w:val="Compact"/>
        <w:numPr>
          <w:ilvl w:val="0"/>
          <w:numId w:val="1006"/>
        </w:numPr>
      </w:pPr>
      <w:r>
        <w:t xml:space="preserve">had active cellular plan that they were willing to maintain for duration of the study.</w:t>
      </w:r>
    </w:p>
    <w:p>
      <w:pPr>
        <w:pStyle w:val="FirstParagraph"/>
      </w:pPr>
      <w:r>
        <w:t xml:space="preserve">Participants were considered enrolled in the study if they were eligible, consented, and provided data for at least one month. A total of 336 participants enrolled in the study. We excluded data from one participant whose geolocation data showed they did not reside in the US. We also excluded 11 participants due to careless responding on the daily surveys and/or lapses reported nearly every day on study, suggesting they did not have a goal of abstinence. Our final sample consisted of 324 participants from 38 states across the US.</w:t>
      </w:r>
    </w:p>
    <w:p>
      <w:pPr>
        <w:pStyle w:val="BodyText"/>
      </w:pPr>
      <w:r>
        <w:t xml:space="preserve">The table below presents the demographic and clinical characteristics of the 324 participants in our analysis sample.</w:t>
      </w:r>
    </w:p>
    <w:tbl>
      <w:tblPr>
        <w:tblStyle w:val="Table"/>
        <w:tblW w:type="pct" w:w="5000"/>
        <w:tblLayout w:type="fixed"/>
        <w:tblLook w:firstRow="1" w:lastRow="0" w:firstColumn="0" w:lastColumn="0" w:noHBand="0" w:noVBand="0" w:val="0020"/>
      </w:tblPr>
      <w:tblGrid>
        <w:gridCol w:w="6245"/>
        <w:gridCol w:w="257"/>
        <w:gridCol w:w="321"/>
        <w:gridCol w:w="257"/>
        <w:gridCol w:w="321"/>
        <w:gridCol w:w="515"/>
      </w:tblGrid>
      <w:tr>
        <w:trPr>
          <w:tblHeader w:val="on"/>
        </w:trPr>
        <w:tc>
          <w:tcPr/>
          <w:p>
            <w:pPr>
              <w:pStyle w:val="Compact"/>
            </w:pPr>
          </w:p>
        </w:tc>
        <w:tc>
          <w:tcPr/>
          <w:p>
            <w:pPr>
              <w:pStyle w:val="Compact"/>
              <w:jc w:val="right"/>
            </w:pPr>
            <w:r>
              <w:t xml:space="preserve">N</w:t>
            </w:r>
          </w:p>
        </w:tc>
        <w:tc>
          <w:tcPr/>
          <w:p>
            <w:pPr>
              <w:pStyle w:val="Compact"/>
              <w:jc w:val="right"/>
            </w:pPr>
            <w:r>
              <w:t xml:space="preserve">%</w:t>
            </w:r>
          </w:p>
        </w:tc>
        <w:tc>
          <w:tcPr/>
          <w:p>
            <w:pPr>
              <w:pStyle w:val="Compact"/>
              <w:jc w:val="right"/>
            </w:pPr>
            <w:r>
              <w:t xml:space="preserve">M</w:t>
            </w:r>
          </w:p>
        </w:tc>
        <w:tc>
          <w:tcPr/>
          <w:p>
            <w:pPr>
              <w:pStyle w:val="Compact"/>
              <w:jc w:val="right"/>
            </w:pPr>
            <w:r>
              <w:t xml:space="preserve">SD</w:t>
            </w:r>
          </w:p>
        </w:tc>
        <w:tc>
          <w:tcPr/>
          <w:p>
            <w:pPr>
              <w:pStyle w:val="Compact"/>
              <w:jc w:val="left"/>
            </w:pPr>
            <w:r>
              <w:t xml:space="preserve">Range</w:t>
            </w:r>
          </w:p>
        </w:tc>
      </w:tr>
      <w:tr>
        <w:tc>
          <w:tcPr/>
          <w:p>
            <w:pPr>
              <w:pStyle w:val="Compact"/>
              <w:jc w:val="left"/>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18-21</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22-25</w:t>
            </w:r>
          </w:p>
        </w:tc>
        <w:tc>
          <w:tcPr/>
          <w:p>
            <w:pPr>
              <w:pStyle w:val="Compact"/>
              <w:jc w:val="right"/>
            </w:pPr>
            <w:r>
              <w:t xml:space="preserve">7</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26-35</w:t>
            </w:r>
          </w:p>
        </w:tc>
        <w:tc>
          <w:tcPr/>
          <w:p>
            <w:pPr>
              <w:pStyle w:val="Compact"/>
              <w:jc w:val="right"/>
            </w:pPr>
            <w:r>
              <w:t xml:space="preserve">120</w:t>
            </w:r>
          </w:p>
        </w:tc>
        <w:tc>
          <w:tcPr/>
          <w:p>
            <w:pPr>
              <w:pStyle w:val="Compact"/>
              <w:jc w:val="right"/>
            </w:pPr>
            <w:r>
              <w:t xml:space="preserve">37.0</w:t>
            </w:r>
          </w:p>
        </w:tc>
        <w:tc>
          <w:tcPr/>
          <w:p>
            <w:pPr>
              <w:pStyle w:val="Compact"/>
            </w:pPr>
          </w:p>
        </w:tc>
        <w:tc>
          <w:tcPr/>
          <w:p>
            <w:pPr>
              <w:pStyle w:val="Compact"/>
            </w:pPr>
          </w:p>
        </w:tc>
        <w:tc>
          <w:tcPr/>
          <w:p>
            <w:pPr>
              <w:pStyle w:val="Compact"/>
            </w:pPr>
          </w:p>
        </w:tc>
      </w:tr>
      <w:tr>
        <w:tc>
          <w:tcPr/>
          <w:p>
            <w:pPr>
              <w:pStyle w:val="Compact"/>
              <w:jc w:val="left"/>
            </w:pPr>
            <w:r>
              <w:t xml:space="preserve">36-45</w:t>
            </w:r>
          </w:p>
        </w:tc>
        <w:tc>
          <w:tcPr/>
          <w:p>
            <w:pPr>
              <w:pStyle w:val="Compact"/>
              <w:jc w:val="right"/>
            </w:pPr>
            <w:r>
              <w:t xml:space="preserve">115</w:t>
            </w:r>
          </w:p>
        </w:tc>
        <w:tc>
          <w:tcPr/>
          <w:p>
            <w:pPr>
              <w:pStyle w:val="Compact"/>
              <w:jc w:val="right"/>
            </w:pPr>
            <w:r>
              <w:t xml:space="preserve">35.5</w:t>
            </w:r>
          </w:p>
        </w:tc>
        <w:tc>
          <w:tcPr/>
          <w:p>
            <w:pPr>
              <w:pStyle w:val="Compact"/>
            </w:pPr>
          </w:p>
        </w:tc>
        <w:tc>
          <w:tcPr/>
          <w:p>
            <w:pPr>
              <w:pStyle w:val="Compact"/>
            </w:pPr>
          </w:p>
        </w:tc>
        <w:tc>
          <w:tcPr/>
          <w:p>
            <w:pPr>
              <w:pStyle w:val="Compact"/>
            </w:pPr>
          </w:p>
        </w:tc>
      </w:tr>
      <w:tr>
        <w:tc>
          <w:tcPr/>
          <w:p>
            <w:pPr>
              <w:pStyle w:val="Compact"/>
              <w:jc w:val="left"/>
            </w:pPr>
            <w:r>
              <w:t xml:space="preserve">46-55</w:t>
            </w:r>
          </w:p>
        </w:tc>
        <w:tc>
          <w:tcPr/>
          <w:p>
            <w:pPr>
              <w:pStyle w:val="Compact"/>
              <w:jc w:val="right"/>
            </w:pPr>
            <w:r>
              <w:t xml:space="preserve">62</w:t>
            </w:r>
          </w:p>
        </w:tc>
        <w:tc>
          <w:tcPr/>
          <w:p>
            <w:pPr>
              <w:pStyle w:val="Compact"/>
              <w:jc w:val="right"/>
            </w:pPr>
            <w:r>
              <w:t xml:space="preserve">19.1</w:t>
            </w:r>
          </w:p>
        </w:tc>
        <w:tc>
          <w:tcPr/>
          <w:p>
            <w:pPr>
              <w:pStyle w:val="Compact"/>
            </w:pPr>
          </w:p>
        </w:tc>
        <w:tc>
          <w:tcPr/>
          <w:p>
            <w:pPr>
              <w:pStyle w:val="Compact"/>
            </w:pPr>
          </w:p>
        </w:tc>
        <w:tc>
          <w:tcPr/>
          <w:p>
            <w:pPr>
              <w:pStyle w:val="Compact"/>
            </w:pPr>
          </w:p>
        </w:tc>
      </w:tr>
      <w:tr>
        <w:tc>
          <w:tcPr/>
          <w:p>
            <w:pPr>
              <w:pStyle w:val="Compact"/>
              <w:jc w:val="left"/>
            </w:pPr>
            <w:r>
              <w:t xml:space="preserve">56-65</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Over 65</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Gender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Man</w:t>
            </w:r>
          </w:p>
        </w:tc>
        <w:tc>
          <w:tcPr/>
          <w:p>
            <w:pPr>
              <w:pStyle w:val="Compact"/>
              <w:jc w:val="right"/>
            </w:pPr>
            <w:r>
              <w:t xml:space="preserve">175</w:t>
            </w:r>
          </w:p>
        </w:tc>
        <w:tc>
          <w:tcPr/>
          <w:p>
            <w:pPr>
              <w:pStyle w:val="Compact"/>
              <w:jc w:val="right"/>
            </w:pPr>
            <w:r>
              <w:t xml:space="preserve">54.0</w:t>
            </w:r>
          </w:p>
        </w:tc>
        <w:tc>
          <w:tcPr/>
          <w:p>
            <w:pPr>
              <w:pStyle w:val="Compact"/>
            </w:pPr>
          </w:p>
        </w:tc>
        <w:tc>
          <w:tcPr/>
          <w:p>
            <w:pPr>
              <w:pStyle w:val="Compact"/>
            </w:pPr>
          </w:p>
        </w:tc>
        <w:tc>
          <w:tcPr/>
          <w:p>
            <w:pPr>
              <w:pStyle w:val="Compact"/>
            </w:pPr>
          </w:p>
        </w:tc>
      </w:tr>
      <w:tr>
        <w:tc>
          <w:tcPr/>
          <w:p>
            <w:pPr>
              <w:pStyle w:val="Compact"/>
              <w:jc w:val="left"/>
            </w:pPr>
            <w:r>
              <w:t xml:space="preserve">Non-binary</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Prefer not to say</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Woman</w:t>
            </w:r>
          </w:p>
        </w:tc>
        <w:tc>
          <w:tcPr/>
          <w:p>
            <w:pPr>
              <w:pStyle w:val="Compact"/>
              <w:jc w:val="right"/>
            </w:pPr>
            <w:r>
              <w:t xml:space="preserve">142</w:t>
            </w:r>
          </w:p>
        </w:tc>
        <w:tc>
          <w:tcPr/>
          <w:p>
            <w:pPr>
              <w:pStyle w:val="Compact"/>
              <w:jc w:val="right"/>
            </w:pPr>
            <w:r>
              <w:t xml:space="preserve">43.8</w:t>
            </w:r>
          </w:p>
        </w:tc>
        <w:tc>
          <w:tcPr/>
          <w:p>
            <w:pPr>
              <w:pStyle w:val="Compact"/>
            </w:pPr>
          </w:p>
        </w:tc>
        <w:tc>
          <w:tcPr/>
          <w:p>
            <w:pPr>
              <w:pStyle w:val="Compact"/>
            </w:pPr>
          </w:p>
        </w:tc>
        <w:tc>
          <w:tcPr/>
          <w:p>
            <w:pPr>
              <w:pStyle w:val="Compact"/>
            </w:pPr>
          </w:p>
        </w:tc>
      </w:tr>
      <w:tr>
        <w:tc>
          <w:tcPr/>
          <w:p>
            <w:pPr>
              <w:pStyle w:val="Compact"/>
              <w:jc w:val="left"/>
            </w:pPr>
            <w:r>
              <w:t xml:space="preserve">Orientation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Bisexual</w:t>
            </w:r>
          </w:p>
        </w:tc>
        <w:tc>
          <w:tcPr/>
          <w:p>
            <w:pPr>
              <w:pStyle w:val="Compact"/>
              <w:jc w:val="right"/>
            </w:pPr>
            <w:r>
              <w:t xml:space="preserve">42</w:t>
            </w:r>
          </w:p>
        </w:tc>
        <w:tc>
          <w:tcPr/>
          <w:p>
            <w:pPr>
              <w:pStyle w:val="Compact"/>
              <w:jc w:val="right"/>
            </w:pPr>
            <w:r>
              <w:t xml:space="preserve">13.0</w:t>
            </w:r>
          </w:p>
        </w:tc>
        <w:tc>
          <w:tcPr/>
          <w:p>
            <w:pPr>
              <w:pStyle w:val="Compact"/>
            </w:pPr>
          </w:p>
        </w:tc>
        <w:tc>
          <w:tcPr/>
          <w:p>
            <w:pPr>
              <w:pStyle w:val="Compact"/>
            </w:pPr>
          </w:p>
        </w:tc>
        <w:tc>
          <w:tcPr/>
          <w:p>
            <w:pPr>
              <w:pStyle w:val="Compact"/>
            </w:pPr>
          </w:p>
        </w:tc>
      </w:tr>
      <w:tr>
        <w:tc>
          <w:tcPr/>
          <w:p>
            <w:pPr>
              <w:pStyle w:val="Compact"/>
              <w:jc w:val="left"/>
            </w:pPr>
            <w:r>
              <w:t xml:space="preserve">Lesbian or gay</w:t>
            </w:r>
          </w:p>
        </w:tc>
        <w:tc>
          <w:tcPr/>
          <w:p>
            <w:pPr>
              <w:pStyle w:val="Compact"/>
              <w:jc w:val="right"/>
            </w:pPr>
            <w:r>
              <w:t xml:space="preserve">17</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sure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Straight, that is, not gay or lesbian</w:t>
            </w:r>
          </w:p>
        </w:tc>
        <w:tc>
          <w:tcPr/>
          <w:p>
            <w:pPr>
              <w:pStyle w:val="Compact"/>
              <w:jc w:val="right"/>
            </w:pPr>
            <w:r>
              <w:t xml:space="preserve">258</w:t>
            </w:r>
          </w:p>
        </w:tc>
        <w:tc>
          <w:tcPr/>
          <w:p>
            <w:pPr>
              <w:pStyle w:val="Compact"/>
              <w:jc w:val="right"/>
            </w:pPr>
            <w:r>
              <w:t xml:space="preserve">79.6</w:t>
            </w:r>
          </w:p>
        </w:tc>
        <w:tc>
          <w:tcPr/>
          <w:p>
            <w:pPr>
              <w:pStyle w:val="Compact"/>
            </w:pPr>
          </w:p>
        </w:tc>
        <w:tc>
          <w:tcPr/>
          <w:p>
            <w:pPr>
              <w:pStyle w:val="Compact"/>
            </w:pPr>
          </w:p>
        </w:tc>
        <w:tc>
          <w:tcPr/>
          <w:p>
            <w:pPr>
              <w:pStyle w:val="Compact"/>
            </w:pPr>
          </w:p>
        </w:tc>
      </w:tr>
      <w:tr>
        <w:tc>
          <w:tcPr/>
          <w:p>
            <w:pPr>
              <w:pStyle w:val="Compact"/>
              <w:jc w:val="left"/>
            </w:pPr>
            <w:r>
              <w:t xml:space="preserve">Race or Origin (Select all that apply)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American Indian or Alaska Native</w:t>
            </w:r>
          </w:p>
        </w:tc>
        <w:tc>
          <w:tcPr/>
          <w:p>
            <w:pPr>
              <w:pStyle w:val="Compact"/>
              <w:jc w:val="right"/>
            </w:pPr>
            <w:r>
              <w:t xml:space="preserve">19</w:t>
            </w:r>
          </w:p>
        </w:tc>
        <w:tc>
          <w:tcPr/>
          <w:p>
            <w:pPr>
              <w:pStyle w:val="Compact"/>
              <w:jc w:val="right"/>
            </w:pPr>
            <w:r>
              <w:t xml:space="preserve">5.9</w:t>
            </w:r>
          </w:p>
        </w:tc>
        <w:tc>
          <w:tcPr/>
          <w:p>
            <w:pPr>
              <w:pStyle w:val="Compact"/>
            </w:pPr>
          </w:p>
        </w:tc>
        <w:tc>
          <w:tcPr/>
          <w:p>
            <w:pPr>
              <w:pStyle w:val="Compact"/>
            </w:pPr>
          </w:p>
        </w:tc>
        <w:tc>
          <w:tcPr/>
          <w:p>
            <w:pPr>
              <w:pStyle w:val="Compact"/>
            </w:pPr>
          </w:p>
        </w:tc>
      </w:tr>
      <w:tr>
        <w:tc>
          <w:tcPr/>
          <w:p>
            <w:pPr>
              <w:pStyle w:val="Compact"/>
              <w:jc w:val="left"/>
            </w:pPr>
            <w:r>
              <w:t xml:space="preserve">Asian</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Black or African American</w:t>
            </w:r>
          </w:p>
        </w:tc>
        <w:tc>
          <w:tcPr/>
          <w:p>
            <w:pPr>
              <w:pStyle w:val="Compact"/>
              <w:jc w:val="right"/>
            </w:pPr>
            <w:r>
              <w:t xml:space="preserve">53</w:t>
            </w:r>
          </w:p>
        </w:tc>
        <w:tc>
          <w:tcPr/>
          <w:p>
            <w:pPr>
              <w:pStyle w:val="Compact"/>
              <w:jc w:val="right"/>
            </w:pPr>
            <w:r>
              <w:t xml:space="preserve">16.4</w:t>
            </w:r>
          </w:p>
        </w:tc>
        <w:tc>
          <w:tcPr/>
          <w:p>
            <w:pPr>
              <w:pStyle w:val="Compact"/>
            </w:pPr>
          </w:p>
        </w:tc>
        <w:tc>
          <w:tcPr/>
          <w:p>
            <w:pPr>
              <w:pStyle w:val="Compact"/>
            </w:pPr>
          </w:p>
        </w:tc>
        <w:tc>
          <w:tcPr/>
          <w:p>
            <w:pPr>
              <w:pStyle w:val="Compact"/>
            </w:pPr>
          </w:p>
        </w:tc>
      </w:tr>
      <w:tr>
        <w:tc>
          <w:tcPr/>
          <w:p>
            <w:pPr>
              <w:pStyle w:val="Compact"/>
              <w:jc w:val="left"/>
            </w:pPr>
            <w:r>
              <w:t xml:space="preserve">Hispanic, Latino, or Spanish Origin</w:t>
            </w:r>
          </w:p>
        </w:tc>
        <w:tc>
          <w:tcPr/>
          <w:p>
            <w:pPr>
              <w:pStyle w:val="Compact"/>
              <w:jc w:val="right"/>
            </w:pPr>
            <w:r>
              <w:t xml:space="preserve">29</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jc w:val="left"/>
            </w:pPr>
            <w:r>
              <w:t xml:space="preserve">Native Hawaiian or Other Pacific Islander</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White or Caucasian</w:t>
            </w:r>
          </w:p>
        </w:tc>
        <w:tc>
          <w:tcPr/>
          <w:p>
            <w:pPr>
              <w:pStyle w:val="Compact"/>
              <w:jc w:val="right"/>
            </w:pPr>
            <w:r>
              <w:t xml:space="preserve">251</w:t>
            </w:r>
          </w:p>
        </w:tc>
        <w:tc>
          <w:tcPr/>
          <w:p>
            <w:pPr>
              <w:pStyle w:val="Compact"/>
              <w:jc w:val="right"/>
            </w:pPr>
            <w:r>
              <w:t xml:space="preserve">77.5</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8th grade or less</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Some high school, but did not graduate</w:t>
            </w:r>
          </w:p>
        </w:tc>
        <w:tc>
          <w:tcPr/>
          <w:p>
            <w:pPr>
              <w:pStyle w:val="Compact"/>
              <w:jc w:val="right"/>
            </w:pPr>
            <w:r>
              <w:t xml:space="preserve">28</w:t>
            </w:r>
          </w:p>
        </w:tc>
        <w:tc>
          <w:tcPr/>
          <w:p>
            <w:pPr>
              <w:pStyle w:val="Compact"/>
              <w:jc w:val="right"/>
            </w:pPr>
            <w:r>
              <w:t xml:space="preserve">8.6</w:t>
            </w:r>
          </w:p>
        </w:tc>
        <w:tc>
          <w:tcPr/>
          <w:p>
            <w:pPr>
              <w:pStyle w:val="Compact"/>
            </w:pPr>
          </w:p>
        </w:tc>
        <w:tc>
          <w:tcPr/>
          <w:p>
            <w:pPr>
              <w:pStyle w:val="Compact"/>
            </w:pPr>
          </w:p>
        </w:tc>
        <w:tc>
          <w:tcPr/>
          <w:p>
            <w:pPr>
              <w:pStyle w:val="Compact"/>
            </w:pPr>
          </w:p>
        </w:tc>
      </w:tr>
      <w:tr>
        <w:tc>
          <w:tcPr/>
          <w:p>
            <w:pPr>
              <w:pStyle w:val="Compact"/>
              <w:jc w:val="left"/>
            </w:pPr>
            <w:r>
              <w:t xml:space="preserve">High school graduate or GED</w:t>
            </w:r>
          </w:p>
        </w:tc>
        <w:tc>
          <w:tcPr/>
          <w:p>
            <w:pPr>
              <w:pStyle w:val="Compact"/>
              <w:jc w:val="right"/>
            </w:pPr>
            <w:r>
              <w:t xml:space="preserve">102</w:t>
            </w:r>
          </w:p>
        </w:tc>
        <w:tc>
          <w:tcPr/>
          <w:p>
            <w:pPr>
              <w:pStyle w:val="Compact"/>
              <w:jc w:val="right"/>
            </w:pPr>
            <w:r>
              <w:t xml:space="preserve">31.5</w:t>
            </w:r>
          </w:p>
        </w:tc>
        <w:tc>
          <w:tcPr/>
          <w:p>
            <w:pPr>
              <w:pStyle w:val="Compact"/>
            </w:pPr>
          </w:p>
        </w:tc>
        <w:tc>
          <w:tcPr/>
          <w:p>
            <w:pPr>
              <w:pStyle w:val="Compact"/>
            </w:pPr>
          </w:p>
        </w:tc>
        <w:tc>
          <w:tcPr/>
          <w:p>
            <w:pPr>
              <w:pStyle w:val="Compact"/>
            </w:pPr>
          </w:p>
        </w:tc>
      </w:tr>
      <w:tr>
        <w:tc>
          <w:tcPr/>
          <w:p>
            <w:pPr>
              <w:pStyle w:val="Compact"/>
              <w:jc w:val="left"/>
            </w:pPr>
            <w:r>
              <w:t xml:space="preserve">Some college or 2-year degree</w:t>
            </w:r>
          </w:p>
        </w:tc>
        <w:tc>
          <w:tcPr/>
          <w:p>
            <w:pPr>
              <w:pStyle w:val="Compact"/>
              <w:jc w:val="right"/>
            </w:pPr>
            <w:r>
              <w:t xml:space="preserve">140</w:t>
            </w:r>
          </w:p>
        </w:tc>
        <w:tc>
          <w:tcPr/>
          <w:p>
            <w:pPr>
              <w:pStyle w:val="Compact"/>
              <w:jc w:val="right"/>
            </w:pPr>
            <w:r>
              <w:t xml:space="preserve">43.2</w:t>
            </w:r>
          </w:p>
        </w:tc>
        <w:tc>
          <w:tcPr/>
          <w:p>
            <w:pPr>
              <w:pStyle w:val="Compact"/>
            </w:pPr>
          </w:p>
        </w:tc>
        <w:tc>
          <w:tcPr/>
          <w:p>
            <w:pPr>
              <w:pStyle w:val="Compact"/>
            </w:pPr>
          </w:p>
        </w:tc>
        <w:tc>
          <w:tcPr/>
          <w:p>
            <w:pPr>
              <w:pStyle w:val="Compact"/>
            </w:pPr>
          </w:p>
        </w:tc>
      </w:tr>
      <w:tr>
        <w:tc>
          <w:tcPr/>
          <w:p>
            <w:pPr>
              <w:pStyle w:val="Compact"/>
              <w:jc w:val="left"/>
            </w:pPr>
            <w:r>
              <w:t xml:space="preserve">4-year college graduate</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More than 4-year or advanced degree</w:t>
            </w:r>
          </w:p>
        </w:tc>
        <w:tc>
          <w:tcPr/>
          <w:p>
            <w:pPr>
              <w:pStyle w:val="Compact"/>
              <w:jc w:val="right"/>
            </w:pPr>
            <w:r>
              <w:t xml:space="preserve">13</w:t>
            </w:r>
          </w:p>
        </w:tc>
        <w:tc>
          <w:tcPr/>
          <w:p>
            <w:pPr>
              <w:pStyle w:val="Compact"/>
              <w:jc w:val="right"/>
            </w:pPr>
            <w:r>
              <w:t xml:space="preserve">4.0</w:t>
            </w:r>
          </w:p>
        </w:tc>
        <w:tc>
          <w:tcPr/>
          <w:p>
            <w:pPr>
              <w:pStyle w:val="Compact"/>
            </w:pPr>
          </w:p>
        </w:tc>
        <w:tc>
          <w:tcPr/>
          <w:p>
            <w:pPr>
              <w:pStyle w:val="Compact"/>
            </w:pPr>
          </w:p>
        </w:tc>
        <w:tc>
          <w:tcPr/>
          <w:p>
            <w:pPr>
              <w:pStyle w:val="Compact"/>
            </w:pP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Disabled, not able to work</w:t>
            </w:r>
          </w:p>
        </w:tc>
        <w:tc>
          <w:tcPr/>
          <w:p>
            <w:pPr>
              <w:pStyle w:val="Compact"/>
              <w:jc w:val="right"/>
            </w:pPr>
            <w:r>
              <w:t xml:space="preserve">36</w:t>
            </w:r>
          </w:p>
        </w:tc>
        <w:tc>
          <w:tcPr/>
          <w:p>
            <w:pPr>
              <w:pStyle w:val="Compact"/>
              <w:jc w:val="right"/>
            </w:pPr>
            <w:r>
              <w:t xml:space="preserve">11.1</w:t>
            </w:r>
          </w:p>
        </w:tc>
        <w:tc>
          <w:tcPr/>
          <w:p>
            <w:pPr>
              <w:pStyle w:val="Compact"/>
            </w:pPr>
          </w:p>
        </w:tc>
        <w:tc>
          <w:tcPr/>
          <w:p>
            <w:pPr>
              <w:pStyle w:val="Compact"/>
            </w:pPr>
          </w:p>
        </w:tc>
        <w:tc>
          <w:tcPr/>
          <w:p>
            <w:pPr>
              <w:pStyle w:val="Compact"/>
            </w:pPr>
          </w:p>
        </w:tc>
      </w:tr>
      <w:tr>
        <w:tc>
          <w:tcPr/>
          <w:p>
            <w:pPr>
              <w:pStyle w:val="Compact"/>
              <w:jc w:val="left"/>
            </w:pPr>
            <w:r>
              <w:t xml:space="preserve">Employed, working 1-39 hours per week</w:t>
            </w:r>
          </w:p>
        </w:tc>
        <w:tc>
          <w:tcPr/>
          <w:p>
            <w:pPr>
              <w:pStyle w:val="Compact"/>
              <w:jc w:val="right"/>
            </w:pPr>
            <w:r>
              <w:t xml:space="preserve">74</w:t>
            </w:r>
          </w:p>
        </w:tc>
        <w:tc>
          <w:tcPr/>
          <w:p>
            <w:pPr>
              <w:pStyle w:val="Compact"/>
              <w:jc w:val="right"/>
            </w:pPr>
            <w:r>
              <w:t xml:space="preserve">22.8</w:t>
            </w:r>
          </w:p>
        </w:tc>
        <w:tc>
          <w:tcPr/>
          <w:p>
            <w:pPr>
              <w:pStyle w:val="Compact"/>
            </w:pPr>
          </w:p>
        </w:tc>
        <w:tc>
          <w:tcPr/>
          <w:p>
            <w:pPr>
              <w:pStyle w:val="Compact"/>
            </w:pPr>
          </w:p>
        </w:tc>
        <w:tc>
          <w:tcPr/>
          <w:p>
            <w:pPr>
              <w:pStyle w:val="Compact"/>
            </w:pPr>
          </w:p>
        </w:tc>
      </w:tr>
      <w:tr>
        <w:tc>
          <w:tcPr/>
          <w:p>
            <w:pPr>
              <w:pStyle w:val="Compact"/>
              <w:jc w:val="left"/>
            </w:pPr>
            <w:r>
              <w:t xml:space="preserve">Employed, working 40 or more hours per week</w:t>
            </w:r>
          </w:p>
        </w:tc>
        <w:tc>
          <w:tcPr/>
          <w:p>
            <w:pPr>
              <w:pStyle w:val="Compact"/>
              <w:jc w:val="right"/>
            </w:pPr>
            <w:r>
              <w:t xml:space="preserve">60</w:t>
            </w:r>
          </w:p>
        </w:tc>
        <w:tc>
          <w:tcPr/>
          <w:p>
            <w:pPr>
              <w:pStyle w:val="Compact"/>
              <w:jc w:val="right"/>
            </w:pPr>
            <w:r>
              <w:t xml:space="preserve">18.5</w:t>
            </w:r>
          </w:p>
        </w:tc>
        <w:tc>
          <w:tcPr/>
          <w:p>
            <w:pPr>
              <w:pStyle w:val="Compact"/>
            </w:pPr>
          </w:p>
        </w:tc>
        <w:tc>
          <w:tcPr/>
          <w:p>
            <w:pPr>
              <w:pStyle w:val="Compact"/>
            </w:pPr>
          </w:p>
        </w:tc>
        <w:tc>
          <w:tcPr/>
          <w:p>
            <w:pPr>
              <w:pStyle w:val="Compact"/>
            </w:pPr>
          </w:p>
        </w:tc>
      </w:tr>
      <w:tr>
        <w:tc>
          <w:tcPr/>
          <w:p>
            <w:pPr>
              <w:pStyle w:val="Compact"/>
              <w:jc w:val="left"/>
            </w:pPr>
            <w:r>
              <w:t xml:space="preserve">Not employed, NOT looking for work</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Not employed, looking for work</w:t>
            </w:r>
          </w:p>
        </w:tc>
        <w:tc>
          <w:tcPr/>
          <w:p>
            <w:pPr>
              <w:pStyle w:val="Compact"/>
              <w:jc w:val="right"/>
            </w:pPr>
            <w:r>
              <w:t xml:space="preserve">116</w:t>
            </w:r>
          </w:p>
        </w:tc>
        <w:tc>
          <w:tcPr/>
          <w:p>
            <w:pPr>
              <w:pStyle w:val="Compact"/>
              <w:jc w:val="righ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Retired</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Annual Household Income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 than $25,000</w:t>
            </w:r>
          </w:p>
        </w:tc>
        <w:tc>
          <w:tcPr/>
          <w:p>
            <w:pPr>
              <w:pStyle w:val="Compact"/>
              <w:jc w:val="right"/>
            </w:pPr>
            <w:r>
              <w:t xml:space="preserve">180</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$25,000 - $34,999</w:t>
            </w:r>
          </w:p>
        </w:tc>
        <w:tc>
          <w:tcPr/>
          <w:p>
            <w:pPr>
              <w:pStyle w:val="Compact"/>
              <w:jc w:val="right"/>
            </w:pPr>
            <w:r>
              <w:t xml:space="preserve">45</w:t>
            </w:r>
          </w:p>
        </w:tc>
        <w:tc>
          <w:tcPr/>
          <w:p>
            <w:pPr>
              <w:pStyle w:val="Compact"/>
              <w:jc w:val="right"/>
            </w:pPr>
            <w:r>
              <w:t xml:space="preserve">13.9</w:t>
            </w:r>
          </w:p>
        </w:tc>
        <w:tc>
          <w:tcPr/>
          <w:p>
            <w:pPr>
              <w:pStyle w:val="Compact"/>
            </w:pPr>
          </w:p>
        </w:tc>
        <w:tc>
          <w:tcPr/>
          <w:p>
            <w:pPr>
              <w:pStyle w:val="Compact"/>
            </w:pPr>
          </w:p>
        </w:tc>
        <w:tc>
          <w:tcPr/>
          <w:p>
            <w:pPr>
              <w:pStyle w:val="Compact"/>
            </w:pPr>
          </w:p>
        </w:tc>
      </w:tr>
      <w:tr>
        <w:tc>
          <w:tcPr/>
          <w:p>
            <w:pPr>
              <w:pStyle w:val="Compact"/>
              <w:jc w:val="left"/>
            </w:pPr>
            <w:r>
              <w:t xml:space="preserve">$35,000 - $49,999</w:t>
            </w:r>
          </w:p>
        </w:tc>
        <w:tc>
          <w:tcPr/>
          <w:p>
            <w:pPr>
              <w:pStyle w:val="Compact"/>
              <w:jc w:val="right"/>
            </w:pPr>
            <w:r>
              <w:t xml:space="preserve">39</w:t>
            </w:r>
          </w:p>
        </w:tc>
        <w:tc>
          <w:tcPr/>
          <w:p>
            <w:pPr>
              <w:pStyle w:val="Compact"/>
              <w:jc w:val="right"/>
            </w:pPr>
            <w:r>
              <w:t xml:space="preserve">12.0</w:t>
            </w:r>
          </w:p>
        </w:tc>
        <w:tc>
          <w:tcPr/>
          <w:p>
            <w:pPr>
              <w:pStyle w:val="Compact"/>
            </w:pPr>
          </w:p>
        </w:tc>
        <w:tc>
          <w:tcPr/>
          <w:p>
            <w:pPr>
              <w:pStyle w:val="Compact"/>
            </w:pPr>
          </w:p>
        </w:tc>
        <w:tc>
          <w:tcPr/>
          <w:p>
            <w:pPr>
              <w:pStyle w:val="Compact"/>
            </w:pPr>
          </w:p>
        </w:tc>
      </w:tr>
      <w:tr>
        <w:tc>
          <w:tcPr/>
          <w:p>
            <w:pPr>
              <w:pStyle w:val="Compact"/>
              <w:jc w:val="left"/>
            </w:pPr>
            <w:r>
              <w:t xml:space="preserve">$50,000 - $74,999</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$75,000 - $99,999</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$100,000 - $149,999</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$150,000 - $199,999</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$200,000 or more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In a Committed Romantic Relationship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141</w:t>
            </w:r>
          </w:p>
        </w:tc>
        <w:tc>
          <w:tcPr/>
          <w:p>
            <w:pPr>
              <w:pStyle w:val="Compact"/>
              <w:jc w:val="right"/>
            </w:pPr>
            <w:r>
              <w:t xml:space="preserve">43.5</w:t>
            </w: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181</w:t>
            </w:r>
          </w:p>
        </w:tc>
        <w:tc>
          <w:tcPr/>
          <w:p>
            <w:pPr>
              <w:pStyle w:val="Compact"/>
              <w:jc w:val="right"/>
            </w:pPr>
            <w:r>
              <w:t xml:space="preserve">55.9</w:t>
            </w:r>
          </w:p>
        </w:tc>
        <w:tc>
          <w:tcPr/>
          <w:p>
            <w:pPr>
              <w:pStyle w:val="Compact"/>
            </w:pPr>
          </w:p>
        </w:tc>
        <w:tc>
          <w:tcPr/>
          <w:p>
            <w:pPr>
              <w:pStyle w:val="Compact"/>
            </w:pPr>
          </w:p>
        </w:tc>
        <w:tc>
          <w:tcPr/>
          <w:p>
            <w:pPr>
              <w:pStyle w:val="Compact"/>
            </w:pPr>
          </w:p>
        </w:tc>
      </w:tr>
      <w:tr>
        <w:tc>
          <w:tcPr/>
          <w:p>
            <w:pPr>
              <w:pStyle w:val="Compact"/>
              <w:jc w:val="left"/>
            </w:pPr>
            <w:r>
              <w:t xml:space="preserve">DSM-5 OUD Symptom Count</w:t>
            </w:r>
          </w:p>
        </w:tc>
        <w:tc>
          <w:tcPr/>
          <w:p>
            <w:pPr>
              <w:pStyle w:val="Compact"/>
            </w:pPr>
          </w:p>
        </w:tc>
        <w:tc>
          <w:tcPr/>
          <w:p>
            <w:pPr>
              <w:pStyle w:val="Compact"/>
            </w:pPr>
          </w:p>
        </w:tc>
        <w:tc>
          <w:tcPr/>
          <w:p>
            <w:pPr>
              <w:pStyle w:val="Compact"/>
              <w:jc w:val="right"/>
            </w:pPr>
            <w:r>
              <w:t xml:space="preserve">9.9</w:t>
            </w:r>
          </w:p>
        </w:tc>
        <w:tc>
          <w:tcPr/>
          <w:p>
            <w:pPr>
              <w:pStyle w:val="Compact"/>
              <w:jc w:val="right"/>
            </w:pPr>
            <w:r>
              <w:t xml:space="preserve">2.2</w:t>
            </w:r>
          </w:p>
        </w:tc>
        <w:tc>
          <w:tcPr/>
          <w:p>
            <w:pPr>
              <w:pStyle w:val="Compact"/>
              <w:jc w:val="left"/>
            </w:pPr>
            <w:r>
              <w:t xml:space="preserve">0 - 11</w:t>
            </w:r>
          </w:p>
        </w:tc>
      </w:tr>
      <w:tr>
        <w:tc>
          <w:tcPr/>
          <w:p>
            <w:pPr>
              <w:pStyle w:val="Compact"/>
              <w:jc w:val="left"/>
            </w:pPr>
            <w:r>
              <w:t xml:space="preserve">OUD Medication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am not taking any medications for opioid use</w:t>
            </w:r>
          </w:p>
        </w:tc>
        <w:tc>
          <w:tcPr/>
          <w:p>
            <w:pPr>
              <w:pStyle w:val="Compact"/>
              <w:jc w:val="right"/>
            </w:pPr>
            <w:r>
              <w:t xml:space="preserve">31</w:t>
            </w:r>
          </w:p>
        </w:tc>
        <w:tc>
          <w:tcPr/>
          <w:p>
            <w:pPr>
              <w:pStyle w:val="Compact"/>
              <w:jc w:val="right"/>
            </w:pPr>
            <w:r>
              <w:t xml:space="preserve">9.6</w:t>
            </w:r>
          </w:p>
        </w:tc>
        <w:tc>
          <w:tcPr/>
          <w:p>
            <w:pPr>
              <w:pStyle w:val="Compact"/>
            </w:pPr>
          </w:p>
        </w:tc>
        <w:tc>
          <w:tcPr/>
          <w:p>
            <w:pPr>
              <w:pStyle w:val="Compact"/>
            </w:pPr>
          </w:p>
        </w:tc>
        <w:tc>
          <w:tcPr/>
          <w:p>
            <w:pPr>
              <w:pStyle w:val="Compact"/>
            </w:pPr>
          </w:p>
        </w:tc>
      </w:tr>
      <w:tr>
        <w:tc>
          <w:tcPr/>
          <w:p>
            <w:pPr>
              <w:pStyle w:val="Compact"/>
              <w:jc w:val="left"/>
            </w:pPr>
            <w:r>
              <w:t xml:space="preserve">Medication taken daily (e.g., Suboxone, Methadone) and medication taken monthly (e.g., Vivitrol)</w:t>
            </w:r>
          </w:p>
        </w:tc>
        <w:tc>
          <w:tcPr/>
          <w:p>
            <w:pPr>
              <w:pStyle w:val="Compact"/>
              <w:jc w:val="right"/>
            </w:pPr>
            <w:r>
              <w:t xml:space="preserve">40</w:t>
            </w:r>
          </w:p>
        </w:tc>
        <w:tc>
          <w:tcPr/>
          <w:p>
            <w:pPr>
              <w:pStyle w:val="Compact"/>
              <w:jc w:val="right"/>
            </w:pPr>
            <w:r>
              <w:t xml:space="preserve">12.3</w:t>
            </w:r>
          </w:p>
        </w:tc>
        <w:tc>
          <w:tcPr/>
          <w:p>
            <w:pPr>
              <w:pStyle w:val="Compact"/>
            </w:pPr>
          </w:p>
        </w:tc>
        <w:tc>
          <w:tcPr/>
          <w:p>
            <w:pPr>
              <w:pStyle w:val="Compact"/>
            </w:pPr>
          </w:p>
        </w:tc>
        <w:tc>
          <w:tcPr/>
          <w:p>
            <w:pPr>
              <w:pStyle w:val="Compact"/>
            </w:pPr>
          </w:p>
        </w:tc>
      </w:tr>
      <w:tr>
        <w:tc>
          <w:tcPr/>
          <w:p>
            <w:pPr>
              <w:pStyle w:val="Compact"/>
              <w:jc w:val="left"/>
            </w:pPr>
            <w:r>
              <w:t xml:space="preserve">Medications taken daily (e.g., Suboxone, Methadone)</w:t>
            </w:r>
          </w:p>
        </w:tc>
        <w:tc>
          <w:tcPr/>
          <w:p>
            <w:pPr>
              <w:pStyle w:val="Compact"/>
              <w:jc w:val="right"/>
            </w:pPr>
            <w:r>
              <w:t xml:space="preserve">230</w:t>
            </w:r>
          </w:p>
        </w:tc>
        <w:tc>
          <w:tcPr/>
          <w:p>
            <w:pPr>
              <w:pStyle w:val="Compact"/>
              <w:jc w:val="right"/>
            </w:pPr>
            <w:r>
              <w:t xml:space="preserve">71.0</w:t>
            </w:r>
          </w:p>
        </w:tc>
        <w:tc>
          <w:tcPr/>
          <w:p>
            <w:pPr>
              <w:pStyle w:val="Compact"/>
            </w:pPr>
          </w:p>
        </w:tc>
        <w:tc>
          <w:tcPr/>
          <w:p>
            <w:pPr>
              <w:pStyle w:val="Compact"/>
            </w:pPr>
          </w:p>
        </w:tc>
        <w:tc>
          <w:tcPr/>
          <w:p>
            <w:pPr>
              <w:pStyle w:val="Compact"/>
            </w:pPr>
          </w:p>
        </w:tc>
      </w:tr>
      <w:tr>
        <w:tc>
          <w:tcPr/>
          <w:p>
            <w:pPr>
              <w:pStyle w:val="Compact"/>
              <w:jc w:val="left"/>
            </w:pPr>
            <w:r>
              <w:t xml:space="preserve">Medications taken monthly (e.g., Vivitrol)</w:t>
            </w:r>
          </w:p>
        </w:tc>
        <w:tc>
          <w:tcPr/>
          <w:p>
            <w:pPr>
              <w:pStyle w:val="Compact"/>
              <w:jc w:val="right"/>
            </w:pPr>
            <w:r>
              <w:t xml:space="preserve">22</w:t>
            </w:r>
          </w:p>
        </w:tc>
        <w:tc>
          <w:tcPr/>
          <w:p>
            <w:pPr>
              <w:pStyle w:val="Compact"/>
              <w:jc w:val="right"/>
            </w:pPr>
            <w:r>
              <w:t xml:space="preserve">6.8</w:t>
            </w:r>
          </w:p>
        </w:tc>
        <w:tc>
          <w:tcPr/>
          <w:p>
            <w:pPr>
              <w:pStyle w:val="Compact"/>
            </w:pPr>
          </w:p>
        </w:tc>
        <w:tc>
          <w:tcPr/>
          <w:p>
            <w:pPr>
              <w:pStyle w:val="Compact"/>
            </w:pPr>
          </w:p>
        </w:tc>
        <w:tc>
          <w:tcPr/>
          <w:p>
            <w:pPr>
              <w:pStyle w:val="Compact"/>
            </w:pPr>
          </w:p>
        </w:tc>
      </w:tr>
      <w:tr>
        <w:tc>
          <w:tcPr/>
          <w:p>
            <w:pPr>
              <w:pStyle w:val="Compact"/>
              <w:jc w:val="left"/>
            </w:pPr>
            <w:r>
              <w:t xml:space="preserve">Number of Overdoses in Lifetime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jc w:val="right"/>
            </w:pPr>
            <w:r>
              <w:t xml:space="preserve">135</w:t>
            </w:r>
          </w:p>
        </w:tc>
        <w:tc>
          <w:tcPr/>
          <w:p>
            <w:pPr>
              <w:pStyle w:val="Compact"/>
              <w:jc w:val="right"/>
            </w:pPr>
            <w:r>
              <w:t xml:space="preserve">41.7</w:t>
            </w:r>
          </w:p>
        </w:tc>
        <w:tc>
          <w:tcPr/>
          <w:p>
            <w:pPr>
              <w:pStyle w:val="Compact"/>
            </w:pPr>
          </w:p>
        </w:tc>
        <w:tc>
          <w:tcPr/>
          <w:p>
            <w:pPr>
              <w:pStyle w:val="Compact"/>
            </w:pPr>
          </w:p>
        </w:tc>
        <w:tc>
          <w:tcPr/>
          <w:p>
            <w:pPr>
              <w:pStyle w:val="Compact"/>
            </w:pPr>
          </w:p>
        </w:tc>
      </w:tr>
      <w:tr>
        <w:tc>
          <w:tcPr/>
          <w:p>
            <w:pPr>
              <w:pStyle w:val="Compact"/>
              <w:jc w:val="left"/>
            </w:pPr>
            <w:r>
              <w:t xml:space="preserve">1 time</w:t>
            </w:r>
          </w:p>
        </w:tc>
        <w:tc>
          <w:tcPr/>
          <w:p>
            <w:pPr>
              <w:pStyle w:val="Compact"/>
              <w:jc w:val="right"/>
            </w:pPr>
            <w:r>
              <w:t xml:space="preserve">46</w:t>
            </w:r>
          </w:p>
        </w:tc>
        <w:tc>
          <w:tcPr/>
          <w:p>
            <w:pPr>
              <w:pStyle w:val="Compact"/>
              <w:jc w:val="right"/>
            </w:pPr>
            <w:r>
              <w:t xml:space="preserve">14.2</w:t>
            </w:r>
          </w:p>
        </w:tc>
        <w:tc>
          <w:tcPr/>
          <w:p>
            <w:pPr>
              <w:pStyle w:val="Compact"/>
            </w:pPr>
          </w:p>
        </w:tc>
        <w:tc>
          <w:tcPr/>
          <w:p>
            <w:pPr>
              <w:pStyle w:val="Compact"/>
            </w:pPr>
          </w:p>
        </w:tc>
        <w:tc>
          <w:tcPr/>
          <w:p>
            <w:pPr>
              <w:pStyle w:val="Compact"/>
            </w:pPr>
          </w:p>
        </w:tc>
      </w:tr>
      <w:tr>
        <w:tc>
          <w:tcPr/>
          <w:p>
            <w:pPr>
              <w:pStyle w:val="Compact"/>
              <w:jc w:val="left"/>
            </w:pPr>
            <w:r>
              <w:t xml:space="preserve">2-3 times</w:t>
            </w:r>
          </w:p>
        </w:tc>
        <w:tc>
          <w:tcPr/>
          <w:p>
            <w:pPr>
              <w:pStyle w:val="Compact"/>
              <w:jc w:val="right"/>
            </w:pPr>
            <w:r>
              <w:t xml:space="preserve">76</w:t>
            </w:r>
          </w:p>
        </w:tc>
        <w:tc>
          <w:tcPr/>
          <w:p>
            <w:pPr>
              <w:pStyle w:val="Compact"/>
              <w:jc w:val="right"/>
            </w:pPr>
            <w:r>
              <w:t xml:space="preserve">23.5</w:t>
            </w:r>
          </w:p>
        </w:tc>
        <w:tc>
          <w:tcPr/>
          <w:p>
            <w:pPr>
              <w:pStyle w:val="Compact"/>
            </w:pPr>
          </w:p>
        </w:tc>
        <w:tc>
          <w:tcPr/>
          <w:p>
            <w:pPr>
              <w:pStyle w:val="Compact"/>
            </w:pPr>
          </w:p>
        </w:tc>
        <w:tc>
          <w:tcPr/>
          <w:p>
            <w:pPr>
              <w:pStyle w:val="Compact"/>
            </w:pPr>
          </w:p>
        </w:tc>
      </w:tr>
      <w:tr>
        <w:tc>
          <w:tcPr/>
          <w:p>
            <w:pPr>
              <w:pStyle w:val="Compact"/>
              <w:jc w:val="left"/>
            </w:pPr>
            <w:r>
              <w:t xml:space="preserve">4-5 times</w:t>
            </w:r>
          </w:p>
        </w:tc>
        <w:tc>
          <w:tcPr/>
          <w:p>
            <w:pPr>
              <w:pStyle w:val="Compact"/>
              <w:jc w:val="right"/>
            </w:pPr>
            <w:r>
              <w:t xml:space="preserve">27</w:t>
            </w:r>
          </w:p>
        </w:tc>
        <w:tc>
          <w:tcPr/>
          <w:p>
            <w:pPr>
              <w:pStyle w:val="Compact"/>
              <w:jc w:val="right"/>
            </w:pPr>
            <w:r>
              <w:t xml:space="preserve">8.3</w:t>
            </w:r>
          </w:p>
        </w:tc>
        <w:tc>
          <w:tcPr/>
          <w:p>
            <w:pPr>
              <w:pStyle w:val="Compact"/>
            </w:pPr>
          </w:p>
        </w:tc>
        <w:tc>
          <w:tcPr/>
          <w:p>
            <w:pPr>
              <w:pStyle w:val="Compact"/>
            </w:pPr>
          </w:p>
        </w:tc>
        <w:tc>
          <w:tcPr/>
          <w:p>
            <w:pPr>
              <w:pStyle w:val="Compact"/>
            </w:pPr>
          </w:p>
        </w:tc>
      </w:tr>
      <w:tr>
        <w:tc>
          <w:tcPr/>
          <w:p>
            <w:pPr>
              <w:pStyle w:val="Compact"/>
              <w:jc w:val="left"/>
            </w:pPr>
            <w:r>
              <w:t xml:space="preserve">More than 5 times</w:t>
            </w:r>
          </w:p>
        </w:tc>
        <w:tc>
          <w:tcPr/>
          <w:p>
            <w:pPr>
              <w:pStyle w:val="Compact"/>
              <w:jc w:val="right"/>
            </w:pPr>
            <w:r>
              <w:t xml:space="preserve">38</w:t>
            </w:r>
          </w:p>
        </w:tc>
        <w:tc>
          <w:tcPr/>
          <w:p>
            <w:pPr>
              <w:pStyle w:val="Compact"/>
              <w:jc w:val="right"/>
            </w:pPr>
            <w:r>
              <w:t xml:space="preserve">11.7</w:t>
            </w:r>
          </w:p>
        </w:tc>
        <w:tc>
          <w:tcPr/>
          <w:p>
            <w:pPr>
              <w:pStyle w:val="Compact"/>
            </w:pPr>
          </w:p>
        </w:tc>
        <w:tc>
          <w:tcPr/>
          <w:p>
            <w:pPr>
              <w:pStyle w:val="Compact"/>
            </w:pPr>
          </w:p>
        </w:tc>
        <w:tc>
          <w:tcPr/>
          <w:p>
            <w:pPr>
              <w:pStyle w:val="Compact"/>
            </w:pP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137</w:t>
            </w:r>
          </w:p>
        </w:tc>
        <w:tc>
          <w:tcPr/>
          <w:p>
            <w:pPr>
              <w:pStyle w:val="Compact"/>
              <w:jc w:val="right"/>
            </w:pPr>
            <w:r>
              <w:t xml:space="preserve">42.3</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187</w:t>
            </w:r>
          </w:p>
        </w:tc>
        <w:tc>
          <w:tcPr/>
          <w:p>
            <w:pPr>
              <w:pStyle w:val="Compact"/>
              <w:jc w:val="right"/>
            </w:pPr>
            <w:r>
              <w:t xml:space="preserve">57.7</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right"/>
            </w:pPr>
            <w:r>
              <w:t xml:space="preserve">9.1</w:t>
            </w:r>
          </w:p>
        </w:tc>
        <w:tc>
          <w:tcPr/>
          <w:p>
            <w:pPr>
              <w:pStyle w:val="Compact"/>
              <w:jc w:val="right"/>
            </w:pPr>
            <w:r>
              <w:t xml:space="preserve">25.0</w:t>
            </w:r>
          </w:p>
        </w:tc>
        <w:tc>
          <w:tcPr/>
          <w:p>
            <w:pPr>
              <w:pStyle w:val="Compact"/>
              <w:jc w:val="left"/>
            </w:pPr>
            <w:r>
              <w:t xml:space="preserve">0 - 164</w:t>
            </w:r>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146"/>
    <w:bookmarkStart w:id="147" w:name="procedure-2"/>
    <w:p>
      <w:pPr>
        <w:pStyle w:val="Heading3"/>
      </w:pPr>
      <w:r>
        <w:t xml:space="preserve">4.3.2 Procedure</w:t>
      </w:r>
    </w:p>
    <w:p>
      <w:pPr>
        <w:pStyle w:val="FirstParagraph"/>
      </w:pPr>
      <w:r>
        <w:t xml:space="preserve">Participants who screened eligible were consented and onboarded over video or phone call. All participants were instructed to download the STARR study app (a version of CHESS). After this meeting participants were instructed to watch a set of video tutorials for learning how to use the app. One week later they participated in a check-in video or phone call with study staff to answer any questions about the app and troubleshoot any technical issues. At this time, study staff also mailed onboarding materials to participants, including a payment card. Participants were expected to complete monthly surveys to remain on study. At the end of the study participants met with study staff for a final debriefing video or phone call.</w:t>
      </w:r>
    </w:p>
    <w:bookmarkEnd w:id="147"/>
    <w:bookmarkStart w:id="152" w:name="measures-2"/>
    <w:p>
      <w:pPr>
        <w:pStyle w:val="Heading3"/>
      </w:pPr>
      <w:r>
        <w:t xml:space="preserve">4.3.3 Measures</w:t>
      </w:r>
    </w:p>
    <w:bookmarkStart w:id="148" w:name="individual-characteristics-1"/>
    <w:p>
      <w:pPr>
        <w:pStyle w:val="Heading4"/>
      </w:pPr>
      <w:r>
        <w:t xml:space="preserve">4.3.3.1 Individual Characteristics</w:t>
      </w:r>
    </w:p>
    <w:p>
      <w:pPr>
        <w:pStyle w:val="FirstParagraph"/>
      </w:pPr>
      <w:r>
        <w:t xml:space="preserve">We collected self-report information about demographics (age, gender, orientation, race/ethnicity, education, employment, income, relationship status, location) and clinical characteristics (DSM-5 OUD symptom count, MOUD medication, number of lifetime overdoses) to characterize our sample. Demographic information will be included as features in our models. A subset of these variables (gender, race/ethnicity, income, and location) will be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will be made available on our study’s OSF page.</w:t>
      </w:r>
    </w:p>
    <w:bookmarkEnd w:id="148"/>
    <w:bookmarkStart w:id="149" w:name="daily-surveys"/>
    <w:p>
      <w:pPr>
        <w:pStyle w:val="Heading4"/>
      </w:pPr>
      <w:r>
        <w:t xml:space="preserve">4.3.3.2 Daily Surveys</w:t>
      </w:r>
    </w:p>
    <w:p>
      <w:pPr>
        <w:pStyle w:val="FirstParagraph"/>
      </w:pPr>
      <w:r>
        <w:t xml:space="preserve">Participants completed one brief (16 questions) daily survey. Daily surveys became available in star app each morning at 6 am. The survey remind open until 5:59 am the next day. Push notifications were also sent to participants to remind them that they had a new task that had not been completed yet.</w:t>
      </w:r>
    </w:p>
    <w:p>
      <w:pPr>
        <w:pStyle w:val="BodyText"/>
      </w:pPr>
      <w:r>
        <w:t xml:space="preserve">On each survey, participants reported dates/times of any previously unreported past opioid use. They also reported any other drugs or alcohol used in the past 24 hours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Finally, participants rated how motivated they were to completely avoid using opioids for non-medical reasons and how confident they were in their ability to completely avoid using opioids for non-medical reasons.</w:t>
      </w:r>
    </w:p>
    <w:p>
      <w:pPr>
        <w:pStyle w:val="BodyText"/>
      </w:pPr>
      <w:r>
        <w:t xml:space="preserve">Participants were withdrawn early from the study if they did not complete at least 20 daily surveys in a four week period.</w:t>
      </w:r>
    </w:p>
    <w:bookmarkEnd w:id="149"/>
    <w:bookmarkStart w:id="150" w:name="monthly-surveys"/>
    <w:p>
      <w:pPr>
        <w:pStyle w:val="Heading4"/>
      </w:pPr>
      <w:r>
        <w:t xml:space="preserve">4.3.3.3 Monthly Surveys</w:t>
      </w:r>
    </w:p>
    <w:p>
      <w:pPr>
        <w:pStyle w:val="FirstParagraph"/>
      </w:pPr>
      <w:r>
        <w:t xml:space="preserve">Monthly surveys consisted of several clinical scales as part of the parent project’s aims. The monthly survey was also personalized to ask a series of questions about participants’ frequent locations (identified by geolocation sensing - see Sensed Geolocation section below). For locations that participants visited twice in a month, they were asked to identify the type of location, what they do there, how pleasant and unpleasant their experience is there, and how much this place helps and harms their recovery from opioids.</w:t>
      </w:r>
    </w:p>
    <w:p>
      <w:pPr>
        <w:pStyle w:val="BodyText"/>
      </w:pPr>
      <w:r>
        <w:t xml:space="preserve">Participants were withdrawn early from the study if they missed three monthly surveys.</w:t>
      </w:r>
    </w:p>
    <w:bookmarkEnd w:id="150"/>
    <w:bookmarkStart w:id="151" w:name="sensed-geolocation"/>
    <w:p>
      <w:pPr>
        <w:pStyle w:val="Heading4"/>
      </w:pPr>
      <w:r>
        <w:t xml:space="preserve">4.3.3.4 Sensed Geolocation</w:t>
      </w:r>
    </w:p>
    <w:p>
      <w:pPr>
        <w:pStyle w:val="FirstParagraph"/>
      </w:pPr>
      <w:r>
        <w:t xml:space="preserve">Continuous sensed geolocation was collected through the STARR app. Geolocation was contextualized by asking questions about frequently visited locations in each monthly survey (see Monthly Surveys section above).</w:t>
      </w:r>
    </w:p>
    <w:p>
      <w:pPr>
        <w:pStyle w:val="BodyText"/>
      </w:pPr>
      <w:r>
        <w:t xml:space="preserve">Participants were shown how to temporarily turn off sharing geolocation with us. However, participants were expected to share their location with the STARR app and were withdrawn from the study if they did consistently provide geolocation data (i.e., disabling location sharing for more than 12 hours in a four-week period).</w:t>
      </w:r>
    </w:p>
    <w:bookmarkEnd w:id="151"/>
    <w:bookmarkEnd w:id="152"/>
    <w:bookmarkStart w:id="160" w:name="planned-data-analyses"/>
    <w:p>
      <w:pPr>
        <w:pStyle w:val="Heading3"/>
      </w:pPr>
      <w:r>
        <w:t xml:space="preserve">4.3.4 Planned Data Analyses</w:t>
      </w:r>
    </w:p>
    <w:bookmarkStart w:id="153" w:name="labels-1"/>
    <w:p>
      <w:pPr>
        <w:pStyle w:val="Heading4"/>
      </w:pPr>
      <w:r>
        <w:t xml:space="preserve">4.3.4.1 Labels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We ended up with a total of 93376 labels, with 2% labeled as lapses.</w:t>
      </w:r>
    </w:p>
    <w:bookmarkEnd w:id="153"/>
    <w:bookmarkStart w:id="154" w:name="feature-engineering-2"/>
    <w:p>
      <w:pPr>
        <w:pStyle w:val="Heading4"/>
      </w:pPr>
      <w:r>
        <w:t xml:space="preserve">4.3.4.2 Feature Engineering</w:t>
      </w:r>
    </w:p>
    <w:p>
      <w:pPr>
        <w:pStyle w:val="FirstParagraph"/>
      </w:pPr>
      <w:r>
        <w:t xml:space="preserve">Features will be derived from four sources:</w:t>
      </w:r>
    </w:p>
    <w:p>
      <w:pPr>
        <w:numPr>
          <w:ilvl w:val="0"/>
          <w:numId w:val="1007"/>
        </w:numPr>
      </w:pPr>
      <w:r>
        <w:t xml:space="preserve">Prediction window: We will dummy-code features for day of the week for the start of the prediction window.</w:t>
      </w:r>
    </w:p>
    <w:p>
      <w:pPr>
        <w:numPr>
          <w:ilvl w:val="0"/>
          <w:numId w:val="1007"/>
        </w:numPr>
      </w:pPr>
      <w:r>
        <w:t xml:space="preserve">Demographics: We will create dummy-coded features for age (18-25 years, 26-35 years, 36-45 years, 46-55 years, 56 years or older), personal income (less than $25,000, more than $25,000), sex at birth (male, female), race/ethnicity (non-Hispanic White vs. not White), geographic location (urban, suburban, rural), relationship status (in committed relationship, not in committed relationsip), education (high school or less, some college, college degree), and employment (employed, not employed).</w:t>
      </w:r>
    </w:p>
    <w:p>
      <w:pPr>
        <w:numPr>
          <w:ilvl w:val="0"/>
          <w:numId w:val="1007"/>
        </w:numPr>
      </w:pPr>
      <w:r>
        <w:t xml:space="preserve">Previous daily survey responses: We will create raw and change features using daily surveys in varying feature scoring epochs (i.e., 48, 72, and 168 hours) before the start of the prediction window for all daily survey items. Raw features will include min, max, and median scores for each daily survey item across all daily surveys in each epoch for that participant. We will also calculate change features by subtracting each participant’s baseline mean score for each daily survey item from their raw feature. These baseline mean scores will be calculated using all of their daily surveys collected from the start of their participation until the start of the prediction window. We also will create raw and change features based on the most recent response for each daily survey question and raw and change rate features from previously reported lapses and number of completed daily surveys.</w:t>
      </w:r>
    </w:p>
    <w:p>
      <w:pPr>
        <w:numPr>
          <w:ilvl w:val="0"/>
          <w:numId w:val="1007"/>
        </w:numPr>
      </w:pPr>
      <w:r>
        <w:t xml:space="preserve">Geolocation data: We will calculate raw and change features for time spent in locations harmful to recovery, time spent in locations helpful for recovery, time spent in pleasant locations, time spent in unpleasant locations, location variance, type of location, and activity done at location over varying feature scoring epochs (i.e., 6, 12, 24, 48, 72, and 168 hours).</w:t>
      </w:r>
    </w:p>
    <w:p>
      <w:pPr>
        <w:pStyle w:val="FirstParagraph"/>
      </w:pPr>
      <w:r>
        <w:t xml:space="preserve">Other generic feature engineering steps will include imputing missing data (median imputation for numeric features, mode imputation for nominal features) and removing zero and near-zero variance features as determined from held-in data (see Cross-validation section below).</w:t>
      </w:r>
    </w:p>
    <w:bookmarkEnd w:id="154"/>
    <w:bookmarkStart w:id="159" w:name="model-training-and-evaluation-2"/>
    <w:p>
      <w:pPr>
        <w:pStyle w:val="Heading4"/>
      </w:pPr>
      <w:r>
        <w:t xml:space="preserve">4.3.4.3 Model Training and Evaluation</w:t>
      </w:r>
    </w:p>
    <w:bookmarkStart w:id="155" w:name="cross-validation-1"/>
    <w:p>
      <w:pPr>
        <w:pStyle w:val="Heading5"/>
      </w:pPr>
      <w:r>
        <w:t xml:space="preserve">4.3.4.3.1 Cross Validation</w:t>
      </w:r>
    </w:p>
    <w:p>
      <w:pPr>
        <w:pStyle w:val="FirstParagraph"/>
      </w:pPr>
      <w:r>
        <w:t xml:space="preserve">We will consider candidate Xgboost model configurations that differ across sensible values for key hyperparameters and outcome resampling method (i.e., no resampling and up-sampling and down-sampling of the outcome using majority/no lapse to minority/lapse ratios ranging from 1:1 to 5:1).</w:t>
      </w:r>
    </w:p>
    <w:p>
      <w:pPr>
        <w:pStyle w:val="BodyText"/>
      </w:pPr>
      <w:r>
        <w:t xml:space="preserve">We will use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will use 1 repeat of 10-fold cross-validation for the inner loops (i.e., validation sets) and 3 repeats of 10-fold cross-validation for the outer loop (i.e., test sets). Best model configurations will be selected using median auROC across the 10 validation sets. Final performance of these best model configurations will be evaluated using median auROC across the 30 test sets.</w:t>
      </w:r>
    </w:p>
    <w:bookmarkEnd w:id="155"/>
    <w:bookmarkStart w:id="156" w:name="bayesian-model-1"/>
    <w:p>
      <w:pPr>
        <w:pStyle w:val="Heading5"/>
      </w:pPr>
      <w:r>
        <w:t xml:space="preserve">4.3.4.3.2 Bayesian Model</w:t>
      </w:r>
    </w:p>
    <w:p>
      <w:pPr>
        <w:pStyle w:val="FirstParagraph"/>
      </w:pPr>
      <w:r>
        <w:t xml:space="preserve">We will use a Bayesian hierarchical generalized linear model to estimate the posterior probability distributions and 95% Bayesian credible intervals (CIs) from the 30 held-out test sets for our best model. We will use the rstanarm default autoscaled, weakly informative, data-dependent priors that take into account the order of magnitude of the variables to provide some regularization to stabilize computation and avoid over-fitting. We will set two random intercepts to account for our resampling method: one for the repeat, and another for the fold nested within repeat.</w:t>
      </w:r>
    </w:p>
    <w:p>
      <w:pPr>
        <w:pStyle w:val="BodyText"/>
      </w:pPr>
      <w:r>
        <w:t xml:space="preserve">From the Bayesian model we will obtain the posterior distribution and Bayeisan CI for auROCs our best model. To evaluate our models’ overall performance we will report the median posterior probability for auROC and Bayesian CI. This represents our best estimate for the magnitude of the auROC parameter. If the credible interval does not contain .5 (chance performance), this provides strong evidence (&gt; .95 probability) that our model is capturing signal in the data.</w:t>
      </w:r>
    </w:p>
    <w:bookmarkEnd w:id="156"/>
    <w:bookmarkStart w:id="157" w:name="fairness-analyses-2"/>
    <w:p>
      <w:pPr>
        <w:pStyle w:val="Heading5"/>
      </w:pPr>
      <w:r>
        <w:t xml:space="preserve">4.3.4.3.3 Fairness Analyses</w:t>
      </w:r>
    </w:p>
    <w:p>
      <w:pPr>
        <w:pStyle w:val="FirstParagraph"/>
      </w:pPr>
      <w:r>
        <w:t xml:space="preserve">We will calculate the median posterior probability and 95% Bayesian CI for auROC for our best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End w:id="157"/>
    <w:bookmarkStart w:id="158" w:name="feature-importance-2"/>
    <w:p>
      <w:pPr>
        <w:pStyle w:val="Heading5"/>
      </w:pPr>
      <w:r>
        <w:t xml:space="preserve">4.3.4.3.4 Feature Importance</w:t>
      </w:r>
    </w:p>
    <w:p>
      <w:pPr>
        <w:pStyle w:val="FirstParagraph"/>
      </w:pPr>
      <w:r>
        <w:t xml:space="preserve">We will calculate Shapley values in log-odds units for binary classification models from the 30 test sets to provide a description of the importance of categories of features across our best model. We will average the three Shapley values for each observation for each feature (i.e., across the three repeats) to increase their stability. An inherent property of Shapley values is their additivity, allowing us to combine features into feature categories. We will create separate feature categories for each of the 15 daily survey questions, past opioid use, missing daily surveys, time spent in risky locations, and time spent at known locations (separate by type of location). We will calculate the local (i.e., for each observation) importance for each category of features by adding Shapley values across all features in a category, separately for each observation. We will calculate global importance for each feature category by averaging the absolute value of the Shapley values of all features in the category across all observations. These local and global importance scores based on Shapley values allow us to contextualize relative feature importance for our model.</w:t>
      </w:r>
    </w:p>
    <w:bookmarkEnd w:id="158"/>
    <w:bookmarkEnd w:id="159"/>
    <w:bookmarkEnd w:id="160"/>
    <w:bookmarkEnd w:id="161"/>
    <w:bookmarkEnd w:id="162"/>
    <w:bookmarkStart w:id="342" w:name="Xf5581b66f43728ef5ffd992cdda23f782393606"/>
    <w:p>
      <w:pPr>
        <w:pStyle w:val="Heading1"/>
      </w:pPr>
      <w:r>
        <w:t xml:space="preserve">5. Chapter 5: State-space models for idiographic risk monitoring and recovery support recommendations</w:t>
      </w:r>
    </w:p>
    <w:bookmarkStart w:id="163" w:name="introduction-4"/>
    <w:p>
      <w:pPr>
        <w:pStyle w:val="Heading2"/>
      </w:pPr>
      <w:r>
        <w:t xml:space="preserve">5.1 Introduction</w:t>
      </w:r>
    </w:p>
    <w:p>
      <w:pPr>
        <w:pStyle w:val="FirstParagraph"/>
      </w:pPr>
      <w:r>
        <w:t xml:space="preserve">Lapse risk is multidimensional. The extant relapse prevention literature suggests relapse is preceeded by a complex interplay of factors, including include emotional or cognitive states, environmental contingencies, and physiological states</w:t>
      </w:r>
      <w:r>
        <w:t xml:space="preserve"> </w:t>
      </w:r>
      <w:r>
        <w:t xml:space="preserve">(K. A. Witkiewitz &amp; Marlatt, 2007; K. Witkiewitz &amp; Marlatt, 2007)</w:t>
      </w:r>
      <w:r>
        <w:t xml:space="preserve">. For reasons related to burden and cost, researchers typically rely on a handful of course categories of risk-relevant features (e.g., self-reported craving, self-reported self-efficacy, geolocation-sensed time spent in risky locations) to model an unknown hidden state of an individual (i.e., their true lapse risk).</w:t>
      </w:r>
    </w:p>
    <w:p>
      <w:pPr>
        <w:pStyle w:val="BodyText"/>
      </w:pPr>
      <w:r>
        <w:t xml:space="preserve">Moreover, lapse risk factors differ between individuals and within an individual over time. Personalized models (i.e., a model built for a specific individual using their own data) that make use of time-varying information in repeated measures may be able to better understand between and within subject differences in lapse risk trajectories, leading to more accurate predictions.</w:t>
      </w:r>
    </w:p>
    <w:p>
      <w:pPr>
        <w:pStyle w:val="BodyText"/>
      </w:pPr>
      <w:r>
        <w:t xml:space="preserve">State-space models may be one approach for modeling the multidimensional, heterogeneous, and time-varying construct of lapse risk. State-space models are time series models that describe the relationship between the observed measured inputs and the unknown latent state while accounting for how this latent state evolves over time. They personalize lapse risk prediction by using an individual’s own data to make future predictions about lapse risk for that single individual. Furthermore, predictions can be made at any point into the future at a single prediction timepoint from a single model. These individual models that integrate time-varying information could improve performance for our lagged prediction models. They may also help mitigate issues of unfairness, as the model will weigh the individual’s own data more heavily than group level estimates.</w:t>
      </w:r>
    </w:p>
    <w:bookmarkEnd w:id="163"/>
    <w:bookmarkStart w:id="164" w:name="specific-aims-2"/>
    <w:p>
      <w:pPr>
        <w:pStyle w:val="Heading2"/>
      </w:pPr>
      <w:r>
        <w:t xml:space="preserve">5.2 Specific Aims</w:t>
      </w:r>
    </w:p>
    <w:p>
      <w:pPr>
        <w:pStyle w:val="FirstParagraph"/>
      </w:pPr>
      <w:r>
        <w:t xml:space="preserve">In this study, we will evaluate the performance and fairness of a hierarchichal Gaussian linear state-space model (also known as a dynamic linear model) for opioid lapse risk prediction using the same daily survey and geolocation data introduced in study 3 (Chapter 4).</w:t>
      </w:r>
    </w:p>
    <w:p>
      <w:pPr>
        <w:pStyle w:val="BodyText"/>
      </w:pPr>
      <w:r>
        <w:t xml:space="preserve">Specifically, we will:</w:t>
      </w:r>
    </w:p>
    <w:p>
      <w:pPr>
        <w:pStyle w:val="BodyText"/>
      </w:pPr>
      <w:r>
        <w:rPr>
          <w:b/>
          <w:bCs/>
        </w:rPr>
        <w:t xml:space="preserve">1. Evaluate the performance (auROC) of personalized state-space models that predict immediate (next day) opioid lapse risk from geolocation and daily surveys.</w:t>
      </w:r>
      <w:r>
        <w:t xml:space="preserve"> </w:t>
      </w:r>
      <w:r>
        <w:t xml:space="preserve">In this aim we will compare the performance of state-space models to our traditional machine learning model in study 3 (chapter 4) to determine if individualized models that account for time are superior for lapse risk prediction.</w:t>
      </w:r>
    </w:p>
    <w:p>
      <w:pPr>
        <w:pStyle w:val="BodyText"/>
      </w:pPr>
      <w:r>
        <w:rPr>
          <w:b/>
          <w:bCs/>
        </w:rPr>
        <w:t xml:space="preserve">2. Use the same models from Aim 1 to evaluate their performance for predicting future lapse risk (i.e., lapse risk in the next two weeks and the next month).</w:t>
      </w:r>
      <w:r>
        <w:t xml:space="preserve"> </w:t>
      </w:r>
      <w:r>
        <w:t xml:space="preserve">A benefit of time series models, like state-space models, is that they could potentially improve the efficiency and performance of lagged prediction models (compared to traditional machine learning approaches). A single model can be used to predict a lapse in the next day or at any point in the future. We will evaluate how well our individual models predict lapse risk two weeks and one month into the future.</w:t>
      </w:r>
    </w:p>
    <w:p>
      <w:pPr>
        <w:pStyle w:val="BodyText"/>
      </w:pPr>
      <w:r>
        <w:rPr>
          <w:b/>
          <w:bCs/>
        </w:rPr>
        <w:t xml:space="preserve">3. Assess model fairness in model performance for immediate lapses across the same important subgroups assessed in study 3 - race/ethnicity (not White vs. non-Hispanic White), income (below $25,000 vs. above $25,000), sex at birth (female vs. male), and geographic location (rural vs. other).</w:t>
      </w:r>
      <w:r>
        <w:t xml:space="preserve"> </w:t>
      </w:r>
      <w:r>
        <w:t xml:space="preserve">Individual models may help mitigate issues of unfairness, seen in our previous group-level machine learning models, as the model will weigh the individual’s own data more heavily than group level estimates. Therefore, we will compare state-space model performance across different groups.</w:t>
      </w:r>
    </w:p>
    <w:bookmarkEnd w:id="164"/>
    <w:bookmarkStart w:id="341" w:name="methods-1"/>
    <w:p>
      <w:pPr>
        <w:pStyle w:val="Heading2"/>
      </w:pPr>
      <w:r>
        <w:t xml:space="preserve">5.3 Methods</w:t>
      </w:r>
    </w:p>
    <w:p>
      <w:pPr>
        <w:pStyle w:val="FirstParagraph"/>
      </w:pPr>
      <w:r>
        <w:t xml:space="preserve">Refer to Chapter 4</w:t>
      </w:r>
      <w:r>
        <w:t xml:space="preserve"> </w:t>
      </w:r>
      <w:hyperlink w:anchor="sec-methods">
        <w:r>
          <w:rPr>
            <w:rStyle w:val="Hyperlink"/>
          </w:rPr>
          <w:t xml:space="preserve">Section 4.3</w:t>
        </w:r>
      </w:hyperlink>
      <w:r>
        <w:t xml:space="preserve"> </w:t>
      </w:r>
      <w:r>
        <w:t xml:space="preserve">for a complete description of the data set and study procedures.</w:t>
      </w:r>
    </w:p>
    <w:bookmarkStart w:id="340" w:name="planned-data-analyses-1"/>
    <w:p>
      <w:pPr>
        <w:pStyle w:val="Heading3"/>
      </w:pPr>
      <w:r>
        <w:t xml:space="preserve">5.3.1 Planned Data Analyses</w:t>
      </w:r>
    </w:p>
    <w:bookmarkStart w:id="165" w:name="state-space-model"/>
    <w:p>
      <w:pPr>
        <w:pStyle w:val="Heading4"/>
      </w:pPr>
      <w:r>
        <w:t xml:space="preserve">5.3.1.1 State-space Model</w:t>
      </w:r>
    </w:p>
    <w:p>
      <w:pPr>
        <w:pStyle w:val="FirstParagraph"/>
      </w:pPr>
      <w:r>
        <w:t xml:space="preserve">State-space models consist of 1. a transition (or state) equation that describes how the latent state evolves over time based on its previous state and observed inputs (e.g., daily surveys, geolocation risk score), and 2. an observation equation that describes the functional relationship between the unobserved, latent states and observed inputs.</w:t>
      </w:r>
    </w:p>
    <w:p>
      <w:pPr>
        <w:pStyle w:val="BodyText"/>
      </w:pPr>
      <w:r>
        <w:t xml:space="preserve">For both equations, we will use a linear formula with Gaussian noise.</w:t>
      </w:r>
    </w:p>
    <w:p>
      <w:pPr>
        <w:pStyle w:val="BodyText"/>
      </w:pPr>
      <w:r>
        <w:rPr>
          <w:b/>
          <w:bCs/>
        </w:rPr>
        <w:t xml:space="preserve">Transition equation:</w:t>
      </w:r>
      <w:r>
        <w:t xml:space="preserve"> </w:t>
      </w:r>
      <m:oMath>
        <m:sSub>
          <m:e>
            <m:r>
              <m:t>x</m:t>
            </m:r>
          </m:e>
          <m:sub>
            <m:r>
              <m:t>t</m:t>
            </m:r>
            <m:r>
              <m:rPr>
                <m:sty m:val="p"/>
              </m:rPr>
              <m:t>+</m:t>
            </m:r>
            <m:r>
              <m:t>1</m:t>
            </m:r>
          </m:sub>
        </m:sSub>
        <m:r>
          <m:rPr>
            <m:sty m:val="p"/>
          </m:rPr>
          <m:t>=</m:t>
        </m:r>
        <m:r>
          <m:t>A</m:t>
        </m:r>
        <m:r>
          <m:rPr>
            <m:sty m:val="p"/>
          </m:rPr>
          <m:t>*</m:t>
        </m:r>
        <m:sSub>
          <m:e>
            <m:r>
              <m:t>x</m:t>
            </m:r>
          </m:e>
          <m:sub>
            <m:r>
              <m:t>t</m:t>
            </m:r>
          </m:sub>
        </m:sSub>
        <m:r>
          <m:rPr>
            <m:sty m:val="p"/>
          </m:rPr>
          <m:t>+</m:t>
        </m:r>
        <m:sSub>
          <m:e>
            <m:r>
              <m:t>w</m:t>
            </m:r>
          </m:e>
          <m:sub>
            <m:r>
              <m:t>t</m:t>
            </m:r>
          </m:sub>
        </m:sSub>
      </m:oMath>
      <w:r>
        <w:t xml:space="preserve">, where</w:t>
      </w:r>
      <w:r>
        <w:t xml:space="preserve"> </w:t>
      </w:r>
      <m:oMath>
        <m:sSub>
          <m:e>
            <m:r>
              <m:t>x</m:t>
            </m:r>
          </m:e>
          <m:sub>
            <m:r>
              <m:t>t</m:t>
            </m:r>
            <m:r>
              <m:rPr>
                <m:sty m:val="p"/>
              </m:rPr>
              <m:t>+</m:t>
            </m:r>
            <m:r>
              <m:t>1</m:t>
            </m:r>
          </m:sub>
        </m:sSub>
      </m:oMath>
      <w:r>
        <w:t xml:space="preserve"> </w:t>
      </w:r>
      <w:r>
        <w:t xml:space="preserve">represents the hidden state at the next timepoint,</w:t>
      </w:r>
      <w:r>
        <w:t xml:space="preserve"> </w:t>
      </w:r>
      <m:oMath>
        <m:r>
          <m:t>A</m:t>
        </m:r>
      </m:oMath>
      <w:r>
        <w:t xml:space="preserve"> </w:t>
      </w:r>
      <w:r>
        <w:t xml:space="preserve">is the state transition matrix,</w:t>
      </w:r>
      <w:r>
        <w:t xml:space="preserve"> </w:t>
      </w:r>
      <m:oMath>
        <m:sSub>
          <m:e>
            <m:r>
              <m:t>x</m:t>
            </m:r>
          </m:e>
          <m:sub>
            <m:r>
              <m:t>t</m:t>
            </m:r>
          </m:sub>
        </m:sSub>
      </m:oMath>
      <w:r>
        <w:t xml:space="preserve"> </w:t>
      </w:r>
      <w:r>
        <w:t xml:space="preserve">is the hidden state at the current timepoint, and</w:t>
      </w:r>
      <w:r>
        <w:t xml:space="preserve"> </w:t>
      </w:r>
      <m:oMath>
        <m:sSub>
          <m:e>
            <m:r>
              <m:t>w</m:t>
            </m:r>
          </m:e>
          <m:sub>
            <m:r>
              <m:t>t</m:t>
            </m:r>
          </m:sub>
        </m:sSub>
      </m:oMath>
      <w:r>
        <w:t xml:space="preserve"> </w:t>
      </w:r>
      <w:r>
        <w:t xml:space="preserve">is zero mean Gaussian noise.</w:t>
      </w:r>
    </w:p>
    <w:p>
      <w:pPr>
        <w:pStyle w:val="BodyText"/>
      </w:pPr>
      <w:r>
        <w:rPr>
          <w:b/>
          <w:bCs/>
        </w:rPr>
        <w:t xml:space="preserve">Observation equation:</w:t>
      </w:r>
      <w:r>
        <w:t xml:space="preserve"> </w:t>
      </w:r>
      <m:oMath>
        <m:sSub>
          <m:e>
            <m:r>
              <m:t>y</m:t>
            </m:r>
          </m:e>
          <m:sub>
            <m:r>
              <m:t>t</m:t>
            </m:r>
          </m:sub>
        </m:sSub>
        <m:r>
          <m:rPr>
            <m:sty m:val="p"/>
          </m:rPr>
          <m:t>=</m:t>
        </m:r>
        <m:r>
          <m:t>C</m:t>
        </m:r>
        <m:r>
          <m:rPr>
            <m:sty m:val="p"/>
          </m:rPr>
          <m:t>*</m:t>
        </m:r>
        <m:sSub>
          <m:e>
            <m:r>
              <m:t>x</m:t>
            </m:r>
          </m:e>
          <m:sub>
            <m:r>
              <m:t>t</m:t>
            </m:r>
          </m:sub>
        </m:sSub>
        <m:r>
          <m:rPr>
            <m:sty m:val="p"/>
          </m:rPr>
          <m:t>+</m:t>
        </m:r>
        <m:sSub>
          <m:e>
            <m:r>
              <m:t>v</m:t>
            </m:r>
          </m:e>
          <m:sub>
            <m:r>
              <m:t>t</m:t>
            </m:r>
          </m:sub>
        </m:sSub>
      </m:oMath>
      <w:r>
        <w:t xml:space="preserve">, where</w:t>
      </w:r>
      <w:r>
        <w:t xml:space="preserve"> </w:t>
      </w:r>
      <m:oMath>
        <m:sSub>
          <m:e>
            <m:r>
              <m:t>y</m:t>
            </m:r>
          </m:e>
          <m:sub>
            <m:r>
              <m:t>t</m:t>
            </m:r>
          </m:sub>
        </m:sSub>
      </m:oMath>
      <w:r>
        <w:t xml:space="preserve"> </w:t>
      </w:r>
      <w:r>
        <w:t xml:space="preserve">is the observed survey and Geolocation inputs,</w:t>
      </w:r>
      <w:r>
        <w:t xml:space="preserve"> </w:t>
      </w:r>
      <m:oMath>
        <m:r>
          <m:t>C</m:t>
        </m:r>
      </m:oMath>
      <w:r>
        <w:t xml:space="preserve"> </w:t>
      </w:r>
      <w:r>
        <w:t xml:space="preserve">is the observation matrix,</w:t>
      </w:r>
      <w:r>
        <w:t xml:space="preserve"> </w:t>
      </w:r>
      <m:oMath>
        <m:sSub>
          <m:e>
            <m:r>
              <m:t>x</m:t>
            </m:r>
          </m:e>
          <m:sub>
            <m:r>
              <m:t>t</m:t>
            </m:r>
          </m:sub>
        </m:sSub>
      </m:oMath>
      <w:r>
        <w:t xml:space="preserve"> </w:t>
      </w:r>
      <w:r>
        <w:t xml:space="preserve">is the hidden state at the current timepoint and</w:t>
      </w:r>
      <w:r>
        <w:t xml:space="preserve"> </w:t>
      </w:r>
      <m:oMath>
        <m:sSub>
          <m:e>
            <m:r>
              <m:t>v</m:t>
            </m:r>
          </m:e>
          <m:sub>
            <m:r>
              <m:t>t</m:t>
            </m:r>
          </m:sub>
        </m:sSub>
      </m:oMath>
      <w:r>
        <w:t xml:space="preserve"> </w:t>
      </w:r>
      <w:r>
        <w:t xml:space="preserve">is zero mean Gaussian noise.</w:t>
      </w:r>
    </w:p>
    <w:p>
      <w:pPr>
        <w:pStyle w:val="BodyText"/>
      </w:pPr>
      <w:r>
        <w:t xml:space="preserve">We will also assign prior distributions to all individual- and population-level model parameters, consistent with a Bayesian approach. We will use a Bayseian fitting approach called maximum a posteriori (MAP) estimation to establish prior distributions for the model parameters: transition matrix (</w:t>
      </w:r>
      <m:oMath>
        <m:r>
          <m:t>A</m:t>
        </m:r>
      </m:oMath>
      <w:r>
        <w:t xml:space="preserve">), observation matrix (</w:t>
      </w:r>
      <m:oMath>
        <m:r>
          <m:t>C</m:t>
        </m:r>
      </m:oMath>
      <w:r>
        <w:t xml:space="preserve">), and noise (</w:t>
      </w:r>
      <m:oMath>
        <m:sSub>
          <m:e>
            <m:r>
              <m:t>w</m:t>
            </m:r>
          </m:e>
          <m:sub>
            <m:r>
              <m:t>t</m:t>
            </m:r>
          </m:sub>
        </m:sSub>
      </m:oMath>
      <w:r>
        <w:t xml:space="preserve">,</w:t>
      </w:r>
      <m:oMath>
        <m:sSub>
          <m:e>
            <m:r>
              <m:t>v</m:t>
            </m:r>
          </m:e>
          <m:sub>
            <m:r>
              <m:t>t</m:t>
            </m:r>
          </m:sub>
        </m:sSub>
      </m:oMath>
      <w:r>
        <w:t xml:space="preserve">). These priors will be established from held-in data. Parameters and noise variance will be estimated for each individual in the held out data. Thus, model priors will be combined with observed data from a new individual to fit an idiographic model for that individual. When few data for the individual are available, the fit will rely more heavily on the prior distributions for the model parameters. As more data become available the model fit will primarily the participant’s data and the influence of the prior distributions diminishes.</w:t>
      </w:r>
    </w:p>
    <w:p>
      <w:pPr>
        <w:pStyle w:val="BodyText"/>
      </w:pPr>
      <w:r>
        <w:t xml:space="preserve">State-space models use the observed data to estimate the unknown latent states, not to directly predict the outcome label. Therefore, state-space models can handle missing data without the need for imputation.</w:t>
      </w:r>
    </w:p>
    <w:bookmarkEnd w:id="165"/>
    <w:bookmarkStart w:id="166" w:name="predictions-1"/>
    <w:p>
      <w:pPr>
        <w:pStyle w:val="Heading4"/>
      </w:pPr>
      <w:r>
        <w:t xml:space="preserve">5.3.1.2 Predictions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The first label for each participant will be two weeks after their study start date. This will ensure we have at least two weeks of daily surveys and geolocation data.</w:t>
      </w:r>
    </w:p>
    <w:p>
      <w:pPr>
        <w:pStyle w:val="BodyText"/>
      </w:pPr>
      <w:r>
        <w:t xml:space="preserve">All available data up until the start of the prediction window will be used. The predictors, or model inputs, will be the raw daily survey responses and a single geolocation risk score (calculated from the previous 24 hours of geolocation data). The formula for calculating the geolocation risk score will be informed by the top geolocation predictors that emerge in study 3 (Chapter 4).</w:t>
      </w:r>
    </w:p>
    <w:p>
      <w:pPr>
        <w:pStyle w:val="BodyText"/>
      </w:pPr>
      <w:r>
        <w:t xml:space="preserve">In the first month models will be fit every 2 weeks. After month 1 the model will update (i.e., be refit with the additional data) each month.</w:t>
      </w:r>
    </w:p>
    <w:bookmarkEnd w:id="166"/>
    <w:bookmarkStart w:id="167" w:name="model-evaluation-1"/>
    <w:p>
      <w:pPr>
        <w:pStyle w:val="Heading4"/>
      </w:pPr>
      <w:r>
        <w:t xml:space="preserve">5.3.1.3 Model Evaluation</w:t>
      </w:r>
    </w:p>
    <w:p>
      <w:pPr>
        <w:pStyle w:val="FirstParagraph"/>
      </w:pPr>
      <w:r>
        <w:t xml:space="preserve">We will use participant-grouped 3 repeats of 10-fold cross-validation to assess model performance using area under the ROC curve (auROC). Grouped cross-validation assigns assigns all data from a participant into a single fold. Data from individuals in the held-in folds will be used to fit prior distributions for the model parameters.</w:t>
      </w:r>
    </w:p>
    <w:p>
      <w:pPr>
        <w:pStyle w:val="BodyText"/>
      </w:pPr>
      <w:r>
        <w:t xml:space="preserve">Individual models will then be fit to each individual in the held-out fold. We will attach the group-level Bayesian priors generated from the held-in participants to help prevent over-fitting and improve stability of the models’ performance. Each individual model will output a predicted probability of lapse in the next day, in a 24-hour window two weeks from the prediction timepoint, and in a 24-hour window one month from the prediction timepoint.</w:t>
      </w:r>
    </w:p>
    <w:p>
      <w:pPr>
        <w:pStyle w:val="BodyText"/>
      </w:pPr>
      <w:r>
        <w:t xml:space="preserve">We will use a Bayesian hierarchical generalized linear model to estimate the posterior probability distributions and 95% Bayesian credible intervals (CIs) from the 30 held-out test sets for each lag. We will use the rstanarm default autoscaled, weakly informative, data-dependent priors and set two random intercepts to account for our resampling method: one for the repeat, and another for the fold nested within repeat. We will report the median posterior probability for auROC and Bayesian CI for each lag. We will specify two sets of contrasts for model comparisons. The first contrast will compare the immediate next day state-space lapse prediction model to our next day traditional machine learning model (from study 3). The second set of contrasts will compare our three state-space models (immediate/no lag, 2-week lag, and 1-month lag). auROCs will be transformed using the logit function and regressed as a function of model contrast.</w:t>
      </w:r>
    </w:p>
    <w:p>
      <w:pPr>
        <w:pStyle w:val="BodyText"/>
      </w:pPr>
      <w:r>
        <w:t xml:space="preserve">From the Bayesian model we will obtain the posterior distribution (transformed back from logit) and Bayeisan CIs for auROCs for the three state-space models and comparative traditional machine learning model. To evaluate our models’ overall performance we will report the median posterior probability for auROC and Bayesian CIs. We will then conducted Bayesian model comparisons using our two sets of contrasts. For both model comparisons, we will determine the probability that the models’ performances differed systematically from each other and report the precise posterior probability for the difference in auROCs and the 95% Bayesian CIs.</w:t>
      </w:r>
    </w:p>
    <w:bookmarkEnd w:id="167"/>
    <w:bookmarkStart w:id="339" w:name="model-fairness-1"/>
    <w:p>
      <w:pPr>
        <w:pStyle w:val="Heading4"/>
      </w:pPr>
      <w:r>
        <w:t xml:space="preserve">5.3.1.4 Model Fairness</w:t>
      </w:r>
    </w:p>
    <w:p>
      <w:pPr>
        <w:pStyle w:val="FirstParagraph"/>
      </w:pPr>
      <w:r>
        <w:t xml:space="preserve">We will calculate the median posterior probability and 95% Bayesian CI for auROC for our immediate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Start w:id="338" w:name="refs"/>
    <w:bookmarkStart w:id="169"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68">
        <w:r>
          <w:rPr>
            <w:rStyle w:val="Hyperlink"/>
          </w:rPr>
          <w:t xml:space="preserve">https://doi.org/10.1007/s40429-023-00492-5</w:t>
        </w:r>
      </w:hyperlink>
    </w:p>
    <w:bookmarkEnd w:id="169"/>
    <w:bookmarkStart w:id="170"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70"/>
    <w:bookmarkStart w:id="172"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71">
        <w:r>
          <w:rPr>
            <w:rStyle w:val="Hyperlink"/>
          </w:rPr>
          <w:t xml:space="preserve">https://doi.org/10.2196/39862</w:t>
        </w:r>
      </w:hyperlink>
    </w:p>
    <w:bookmarkEnd w:id="172"/>
    <w:bookmarkStart w:id="174"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73">
        <w:r>
          <w:rPr>
            <w:rStyle w:val="Hyperlink"/>
          </w:rPr>
          <w:t xml:space="preserve">https://doi.org/10.1016/j.addbeh.2017.11.039</w:t>
        </w:r>
      </w:hyperlink>
    </w:p>
    <w:bookmarkEnd w:id="174"/>
    <w:bookmarkStart w:id="176" w:name="Xcd2a85c20fa64fe73393ec84466f017ea0f82e1"/>
    <w:p>
      <w:pPr>
        <w:pStyle w:val="Bibliography"/>
      </w:pPr>
      <w:r>
        <w:t xml:space="preserve">Bharat, C., Webb, P., Wilkinson, Z., McKetin, R., Grebely, J., Farrell, M., Holland, A., Hickman, M., Tran, L. T., Clark, B., Peacock, A., Darke, S., Li, J.-H., &amp; Degenhardt, L. (2023). Agreement between self-reported illicit drug use and biological samples: A systematic review and meta-analysis.</w:t>
      </w:r>
      <w:r>
        <w:t xml:space="preserve"> </w:t>
      </w:r>
      <w:r>
        <w:rPr>
          <w:i/>
          <w:iCs/>
        </w:rPr>
        <w:t xml:space="preserve">Addiction</w:t>
      </w:r>
      <w:r>
        <w:t xml:space="preserve">,</w:t>
      </w:r>
      <w:r>
        <w:t xml:space="preserve"> </w:t>
      </w:r>
      <w:r>
        <w:rPr>
          <w:i/>
          <w:iCs/>
        </w:rPr>
        <w:t xml:space="preserve">118</w:t>
      </w:r>
      <w:r>
        <w:t xml:space="preserve">(9), 1624–1648.</w:t>
      </w:r>
      <w:r>
        <w:t xml:space="preserve"> </w:t>
      </w:r>
      <w:hyperlink r:id="rId175">
        <w:r>
          <w:rPr>
            <w:rStyle w:val="Hyperlink"/>
          </w:rPr>
          <w:t xml:space="preserve">https://doi.org/10.1111/add.16200</w:t>
        </w:r>
      </w:hyperlink>
    </w:p>
    <w:bookmarkEnd w:id="176"/>
    <w:bookmarkStart w:id="17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77">
        <w:r>
          <w:rPr>
            <w:rStyle w:val="Hyperlink"/>
          </w:rPr>
          <w:t xml:space="preserve">https://doi.org/10.1007/s10488-016-0718-5</w:t>
        </w:r>
      </w:hyperlink>
    </w:p>
    <w:bookmarkEnd w:id="178"/>
    <w:bookmarkStart w:id="17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79"/>
    <w:bookmarkStart w:id="18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80">
        <w:r>
          <w:rPr>
            <w:rStyle w:val="Hyperlink"/>
          </w:rPr>
          <w:t xml:space="preserve">https://doi.org/10.1001/jamapsychiatry.2013.4546</w:t>
        </w:r>
      </w:hyperlink>
    </w:p>
    <w:bookmarkEnd w:id="181"/>
    <w:bookmarkStart w:id="18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82">
        <w:r>
          <w:rPr>
            <w:rStyle w:val="Hyperlink"/>
          </w:rPr>
          <w:t xml:space="preserve">https://doi.org/10.1146/annurev.clinpsy.3.022806.091455</w:t>
        </w:r>
      </w:hyperlink>
    </w:p>
    <w:bookmarkEnd w:id="183"/>
    <w:bookmarkStart w:id="18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84">
        <w:r>
          <w:rPr>
            <w:rStyle w:val="Hyperlink"/>
          </w:rPr>
          <w:t xml:space="preserve">https://doi.org/10.1016/j.drugalcdep.2022.109362</w:t>
        </w:r>
      </w:hyperlink>
    </w:p>
    <w:bookmarkEnd w:id="185"/>
    <w:bookmarkStart w:id="18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86">
        <w:r>
          <w:rPr>
            <w:rStyle w:val="Hyperlink"/>
          </w:rPr>
          <w:t xml:space="preserve">https://doi.org/10.1111/ajad.12784</w:t>
        </w:r>
      </w:hyperlink>
    </w:p>
    <w:bookmarkEnd w:id="187"/>
    <w:bookmarkStart w:id="18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88">
        <w:r>
          <w:rPr>
            <w:rStyle w:val="Hyperlink"/>
          </w:rPr>
          <w:t xml:space="preserve">https://doi.org/10.1176/appi.ajp.2014.13081055</w:t>
        </w:r>
      </w:hyperlink>
    </w:p>
    <w:bookmarkEnd w:id="189"/>
    <w:bookmarkStart w:id="19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90">
        <w:r>
          <w:rPr>
            <w:rStyle w:val="Hyperlink"/>
          </w:rPr>
          <w:t xml:space="preserve">https://doi.org/10.21231/GNT1-HW21</w:t>
        </w:r>
      </w:hyperlink>
    </w:p>
    <w:bookmarkEnd w:id="191"/>
    <w:bookmarkStart w:id="19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92"/>
    <w:bookmarkStart w:id="19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93">
        <w:r>
          <w:rPr>
            <w:rStyle w:val="Hyperlink"/>
          </w:rPr>
          <w:t xml:space="preserve">https://doi.org/10.1016/j.jsat.2013.08.004</w:t>
        </w:r>
      </w:hyperlink>
    </w:p>
    <w:bookmarkEnd w:id="194"/>
    <w:bookmarkStart w:id="19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95">
        <w:r>
          <w:rPr>
            <w:rStyle w:val="Hyperlink"/>
          </w:rPr>
          <w:t xml:space="preserve">https://doi.org/10.1016/j.drugalcdep.2014.10.004</w:t>
        </w:r>
      </w:hyperlink>
    </w:p>
    <w:bookmarkEnd w:id="196"/>
    <w:bookmarkStart w:id="19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97">
        <w:r>
          <w:rPr>
            <w:rStyle w:val="Hyperlink"/>
          </w:rPr>
          <w:t xml:space="preserve">https://doi.org/10.1007/978-3-319-72206-1</w:t>
        </w:r>
      </w:hyperlink>
    </w:p>
    <w:bookmarkEnd w:id="198"/>
    <w:bookmarkStart w:id="200" w:name="ref-dennisManagingAddictionChronic2007"/>
    <w:p>
      <w:pPr>
        <w:pStyle w:val="Bibliography"/>
      </w:pPr>
      <w:r>
        <w:t xml:space="preserve">Dennis, M., &amp; Scott, C. K. (2007).</w:t>
      </w:r>
      <w:r>
        <w:t xml:space="preserve"> </w:t>
      </w:r>
      <w:hyperlink r:id="rId199">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00"/>
    <w:bookmarkStart w:id="201"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01"/>
    <w:bookmarkStart w:id="203"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02">
        <w:r>
          <w:rPr>
            <w:rStyle w:val="Hyperlink"/>
          </w:rPr>
          <w:t xml:space="preserve">https://doi.org/10.1016/j.brat.2019.103506</w:t>
        </w:r>
      </w:hyperlink>
    </w:p>
    <w:bookmarkEnd w:id="203"/>
    <w:bookmarkStart w:id="20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04">
        <w:r>
          <w:rPr>
            <w:rStyle w:val="Hyperlink"/>
          </w:rPr>
          <w:t xml:space="preserve">https://doi.org/10.1037/adb0000292</w:t>
        </w:r>
      </w:hyperlink>
    </w:p>
    <w:bookmarkEnd w:id="205"/>
    <w:bookmarkStart w:id="20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06">
        <w:r>
          <w:rPr>
            <w:rStyle w:val="Hyperlink"/>
          </w:rPr>
          <w:t xml:space="preserve">https://doi.org/10.1016/j.cmpb.2016.09.016</w:t>
        </w:r>
      </w:hyperlink>
    </w:p>
    <w:bookmarkEnd w:id="207"/>
    <w:bookmarkStart w:id="20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08">
        <w:r>
          <w:rPr>
            <w:rStyle w:val="Hyperlink"/>
          </w:rPr>
          <w:t xml:space="preserve">https://doi.org/10.1037/a0037157</w:t>
        </w:r>
      </w:hyperlink>
    </w:p>
    <w:bookmarkEnd w:id="209"/>
    <w:bookmarkStart w:id="21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10">
        <w:r>
          <w:rPr>
            <w:rStyle w:val="Hyperlink"/>
          </w:rPr>
          <w:t xml:space="preserve">https://doi.org/10.1037/pha0000210</w:t>
        </w:r>
      </w:hyperlink>
    </w:p>
    <w:bookmarkEnd w:id="211"/>
    <w:bookmarkStart w:id="21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12">
        <w:r>
          <w:rPr>
            <w:rStyle w:val="Hyperlink"/>
          </w:rPr>
          <w:t xml:space="preserve">https://doi.org/10/ghqvcw</w:t>
        </w:r>
      </w:hyperlink>
    </w:p>
    <w:bookmarkEnd w:id="213"/>
    <w:bookmarkStart w:id="215"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14">
        <w:r>
          <w:rPr>
            <w:rStyle w:val="Hyperlink"/>
          </w:rPr>
          <w:t xml:space="preserve">https://doi.org/10.1016/j.brat.2019.01.010</w:t>
        </w:r>
      </w:hyperlink>
    </w:p>
    <w:bookmarkEnd w:id="215"/>
    <w:bookmarkStart w:id="217"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16">
        <w:r>
          <w:rPr>
            <w:rStyle w:val="Hyperlink"/>
          </w:rPr>
          <w:t xml:space="preserve">https://doi.org/10.1016/j.drugalcdep.2020.108350</w:t>
        </w:r>
      </w:hyperlink>
    </w:p>
    <w:bookmarkEnd w:id="217"/>
    <w:bookmarkStart w:id="219"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18">
        <w:r>
          <w:rPr>
            <w:rStyle w:val="Hyperlink"/>
          </w:rPr>
          <w:t xml:space="preserve">https://doi.org/10.1001/jama.2022.2847</w:t>
        </w:r>
      </w:hyperlink>
    </w:p>
    <w:bookmarkEnd w:id="219"/>
    <w:bookmarkStart w:id="221"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20">
        <w:r>
          <w:rPr>
            <w:rStyle w:val="Hyperlink"/>
          </w:rPr>
          <w:t xml:space="preserve">https://doi.org/10.1146/annurev-clinpsy-102419-125016</w:t>
        </w:r>
      </w:hyperlink>
    </w:p>
    <w:bookmarkEnd w:id="221"/>
    <w:bookmarkStart w:id="222"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22"/>
    <w:bookmarkStart w:id="22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23"/>
    <w:bookmarkStart w:id="225"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24">
        <w:r>
          <w:rPr>
            <w:rStyle w:val="Hyperlink"/>
          </w:rPr>
          <w:t xml:space="preserve">https://doi.org/10.1001/jamapsychiatry.2015.0584</w:t>
        </w:r>
      </w:hyperlink>
    </w:p>
    <w:bookmarkEnd w:id="225"/>
    <w:bookmarkStart w:id="22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26">
        <w:r>
          <w:rPr>
            <w:rStyle w:val="Hyperlink"/>
          </w:rPr>
          <w:t xml:space="preserve">https://doi.org/10.1016/j.drugalcdep.2006.05.012</w:t>
        </w:r>
      </w:hyperlink>
    </w:p>
    <w:bookmarkEnd w:id="227"/>
    <w:bookmarkStart w:id="229"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28">
        <w:r>
          <w:rPr>
            <w:rStyle w:val="Hyperlink"/>
          </w:rPr>
          <w:t xml:space="preserve">https://doi.org/10.1016/j.drugalcdep.2013.07.027</w:t>
        </w:r>
      </w:hyperlink>
    </w:p>
    <w:bookmarkEnd w:id="229"/>
    <w:bookmarkStart w:id="231"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30">
        <w:r>
          <w:rPr>
            <w:rStyle w:val="Hyperlink"/>
          </w:rPr>
          <w:t xml:space="preserve">https://doi.org/10.1001/jamapsychiatry.2013.4642</w:t>
        </w:r>
      </w:hyperlink>
    </w:p>
    <w:bookmarkEnd w:id="231"/>
    <w:bookmarkStart w:id="233"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32">
        <w:r>
          <w:rPr>
            <w:rStyle w:val="Hyperlink"/>
          </w:rPr>
          <w:t xml:space="preserve">https://doi.org/10.1176/appi.ajp.21090963</w:t>
        </w:r>
      </w:hyperlink>
    </w:p>
    <w:bookmarkEnd w:id="233"/>
    <w:bookmarkStart w:id="234"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34"/>
    <w:bookmarkStart w:id="236"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35">
        <w:r>
          <w:rPr>
            <w:rStyle w:val="Hyperlink"/>
          </w:rPr>
          <w:t xml:space="preserve">https://doi.org/10.2196/mental.9777</w:t>
        </w:r>
      </w:hyperlink>
    </w:p>
    <w:bookmarkEnd w:id="236"/>
    <w:bookmarkStart w:id="238"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37">
        <w:r>
          <w:rPr>
            <w:rStyle w:val="Hyperlink"/>
          </w:rPr>
          <w:t xml:space="preserve">https://doi.org/10.1016/j.josat.2025.209685</w:t>
        </w:r>
      </w:hyperlink>
    </w:p>
    <w:bookmarkEnd w:id="238"/>
    <w:bookmarkStart w:id="23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39"/>
    <w:bookmarkStart w:id="240"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0"/>
    <w:bookmarkStart w:id="241"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1"/>
    <w:bookmarkStart w:id="243"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42">
        <w:r>
          <w:rPr>
            <w:rStyle w:val="Hyperlink"/>
          </w:rPr>
          <w:t xml:space="preserve">https://doi.org/10.1023/A:1008987426876</w:t>
        </w:r>
      </w:hyperlink>
    </w:p>
    <w:bookmarkEnd w:id="243"/>
    <w:bookmarkStart w:id="245"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44">
        <w:r>
          <w:rPr>
            <w:rStyle w:val="Hyperlink"/>
          </w:rPr>
          <w:t xml:space="preserve">https://doi.org/10/gfsjzg</w:t>
        </w:r>
      </w:hyperlink>
    </w:p>
    <w:bookmarkEnd w:id="245"/>
    <w:bookmarkStart w:id="246"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46"/>
    <w:bookmarkStart w:id="248" w:name="ref-kennedySexDifferencesCocaine2013"/>
    <w:p>
      <w:pPr>
        <w:pStyle w:val="Bibliography"/>
      </w:pPr>
      <w:r>
        <w:t xml:space="preserve">Kennedy, A. P., Epstein, D. H., Phillips, K. A., &amp; Preston, K. L. (2013). Sex differences in cocaine/heroin users: Drug-use triggers and craving in daily life.</w:t>
      </w:r>
      <w:r>
        <w:t xml:space="preserve"> </w:t>
      </w:r>
      <w:r>
        <w:rPr>
          <w:i/>
          <w:iCs/>
        </w:rPr>
        <w:t xml:space="preserve">Drug and Alcohol Dependence</w:t>
      </w:r>
      <w:r>
        <w:t xml:space="preserve">,</w:t>
      </w:r>
      <w:r>
        <w:t xml:space="preserve"> </w:t>
      </w:r>
      <w:r>
        <w:rPr>
          <w:i/>
          <w:iCs/>
        </w:rPr>
        <w:t xml:space="preserve">132</w:t>
      </w:r>
      <w:r>
        <w:t xml:space="preserve">(1-2), 29–37.</w:t>
      </w:r>
      <w:r>
        <w:t xml:space="preserve"> </w:t>
      </w:r>
      <w:hyperlink r:id="rId247">
        <w:r>
          <w:rPr>
            <w:rStyle w:val="Hyperlink"/>
          </w:rPr>
          <w:t xml:space="preserve">https://doi.org/10.1016/j.drugalcdep.2012.12.025</w:t>
        </w:r>
      </w:hyperlink>
    </w:p>
    <w:bookmarkEnd w:id="248"/>
    <w:bookmarkStart w:id="25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49">
        <w:r>
          <w:rPr>
            <w:rStyle w:val="Hyperlink"/>
          </w:rPr>
          <w:t xml:space="preserve">https://doi.org/10.1001/jamanetworkopen.2020.5852</w:t>
        </w:r>
      </w:hyperlink>
    </w:p>
    <w:bookmarkEnd w:id="250"/>
    <w:bookmarkStart w:id="25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51">
        <w:r>
          <w:rPr>
            <w:rStyle w:val="Hyperlink"/>
          </w:rPr>
          <w:t xml:space="preserve">https://doi.org/10.1007/s11920-012-0296-5</w:t>
        </w:r>
      </w:hyperlink>
    </w:p>
    <w:bookmarkEnd w:id="252"/>
    <w:bookmarkStart w:id="25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53">
        <w:r>
          <w:rPr>
            <w:rStyle w:val="Hyperlink"/>
          </w:rPr>
          <w:t xml:space="preserve">https://doi.org/10.1016/j.amepre.2019.08.034</w:t>
        </w:r>
      </w:hyperlink>
    </w:p>
    <w:bookmarkEnd w:id="254"/>
    <w:bookmarkStart w:id="25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55">
        <w:r>
          <w:rPr>
            <w:rStyle w:val="Hyperlink"/>
          </w:rPr>
          <w:t xml:space="preserve">https://doi.org/10.1016/j.cger.2014.04.008</w:t>
        </w:r>
      </w:hyperlink>
    </w:p>
    <w:bookmarkEnd w:id="256"/>
    <w:bookmarkStart w:id="25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57"/>
    <w:bookmarkStart w:id="25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58">
        <w:r>
          <w:rPr>
            <w:rStyle w:val="Hyperlink"/>
          </w:rPr>
          <w:t xml:space="preserve">https://doi.org/10.1007/978-1-4614-6849-3</w:t>
        </w:r>
      </w:hyperlink>
    </w:p>
    <w:bookmarkEnd w:id="259"/>
    <w:bookmarkStart w:id="26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60"/>
    <w:bookmarkStart w:id="262"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61">
        <w:r>
          <w:rPr>
            <w:rStyle w:val="Hyperlink"/>
          </w:rPr>
          <w:t xml:space="preserve">https://doi.org/10.1214/17-EJS1338SI</w:t>
        </w:r>
      </w:hyperlink>
    </w:p>
    <w:bookmarkEnd w:id="262"/>
    <w:bookmarkStart w:id="263"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63"/>
    <w:bookmarkStart w:id="265"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64">
        <w:r>
          <w:rPr>
            <w:rStyle w:val="Hyperlink"/>
          </w:rPr>
          <w:t xml:space="preserve">https://doi.org/10.1080/00952990.2019.1694536</w:t>
        </w:r>
      </w:hyperlink>
    </w:p>
    <w:bookmarkEnd w:id="265"/>
    <w:bookmarkStart w:id="26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66"/>
    <w:bookmarkStart w:id="26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67">
        <w:r>
          <w:rPr>
            <w:rStyle w:val="Hyperlink"/>
          </w:rPr>
          <w:t xml:space="preserve">https://doi.org/10.1097/JTO.0b013e3181ec173d</w:t>
        </w:r>
      </w:hyperlink>
    </w:p>
    <w:bookmarkEnd w:id="268"/>
    <w:bookmarkStart w:id="26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69"/>
    <w:bookmarkStart w:id="270"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70"/>
    <w:bookmarkStart w:id="27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71"/>
    <w:bookmarkStart w:id="27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72">
        <w:r>
          <w:rPr>
            <w:rStyle w:val="Hyperlink"/>
          </w:rPr>
          <w:t xml:space="preserve">https://doi.org/10.1016/j.cpr.2017.10.012</w:t>
        </w:r>
      </w:hyperlink>
    </w:p>
    <w:bookmarkEnd w:id="273"/>
    <w:bookmarkStart w:id="275"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74">
        <w:r>
          <w:rPr>
            <w:rStyle w:val="Hyperlink"/>
          </w:rPr>
          <w:t xml:space="preserve">https://doi.org/10.35946/arcr.v41.1.01</w:t>
        </w:r>
      </w:hyperlink>
    </w:p>
    <w:bookmarkEnd w:id="275"/>
    <w:bookmarkStart w:id="27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76">
        <w:r>
          <w:rPr>
            <w:rStyle w:val="Hyperlink"/>
          </w:rPr>
          <w:t xml:space="preserve">https://doi.org/10.1001/jama.284.13.1689</w:t>
        </w:r>
      </w:hyperlink>
    </w:p>
    <w:bookmarkEnd w:id="277"/>
    <w:bookmarkStart w:id="279"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78">
        <w:r>
          <w:rPr>
            <w:rStyle w:val="Hyperlink"/>
          </w:rPr>
          <w:t xml:space="preserve">https://doi.org/10.1016/j.drugalcdep.2021.108706</w:t>
        </w:r>
      </w:hyperlink>
    </w:p>
    <w:bookmarkEnd w:id="279"/>
    <w:bookmarkStart w:id="28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80">
        <w:r>
          <w:rPr>
            <w:rStyle w:val="Hyperlink"/>
          </w:rPr>
          <w:t xml:space="preserve">https://doi.org/10.1146/annurev-clinpsy-032816-044949</w:t>
        </w:r>
      </w:hyperlink>
    </w:p>
    <w:bookmarkEnd w:id="281"/>
    <w:bookmarkStart w:id="282"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82"/>
    <w:bookmarkStart w:id="284"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83">
        <w:r>
          <w:rPr>
            <w:rStyle w:val="Hyperlink"/>
          </w:rPr>
          <w:t xml:space="preserve">https://doi.org/10.2196/29563</w:t>
        </w:r>
      </w:hyperlink>
    </w:p>
    <w:bookmarkEnd w:id="284"/>
    <w:bookmarkStart w:id="285" w:name="ref-DemographicsMobileDevice2025"/>
    <w:p>
      <w:pPr>
        <w:pStyle w:val="Bibliography"/>
      </w:pPr>
      <w:r>
        <w:t xml:space="preserve">No.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85"/>
    <w:bookmarkStart w:id="287" w:name="X8bb79cdd23e0a8d99e4f9b0c203aaa22c56a953"/>
    <w:p>
      <w:pPr>
        <w:pStyle w:val="Bibliography"/>
      </w:pPr>
      <w:r>
        <w:t xml:space="preserve">Office of the Surgeon General (US), Center for Mental Health Services (US), &amp; National Institute of Mental Health (US). (2001).</w:t>
      </w:r>
      <w:r>
        <w:t xml:space="preserve"> </w:t>
      </w:r>
      <w:hyperlink r:id="rId286">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87"/>
    <w:bookmarkStart w:id="28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88">
        <w:r>
          <w:rPr>
            <w:rStyle w:val="Hyperlink"/>
          </w:rPr>
          <w:t xml:space="preserve">https://doi.org/10.1016/j.jsat.2021.108710</w:t>
        </w:r>
      </w:hyperlink>
    </w:p>
    <w:bookmarkEnd w:id="289"/>
    <w:bookmarkStart w:id="291"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0">
        <w:r>
          <w:rPr>
            <w:rStyle w:val="Hyperlink"/>
          </w:rPr>
          <w:t xml:space="preserve">https://doi.org/10.1037/tps0000250</w:t>
        </w:r>
      </w:hyperlink>
    </w:p>
    <w:bookmarkEnd w:id="291"/>
    <w:bookmarkStart w:id="29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92">
        <w:r>
          <w:rPr>
            <w:rStyle w:val="Hyperlink"/>
          </w:rPr>
          <w:t xml:space="preserve">https://doi.org/10.1016/j.drugalcdep.2019.05.017</w:t>
        </w:r>
      </w:hyperlink>
    </w:p>
    <w:bookmarkEnd w:id="293"/>
    <w:bookmarkStart w:id="29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94">
        <w:r>
          <w:rPr>
            <w:rStyle w:val="Hyperlink"/>
          </w:rPr>
          <w:t xml:space="preserve">https://doi.org/10.1037/0003-066X.47.9.1102</w:t>
        </w:r>
      </w:hyperlink>
    </w:p>
    <w:bookmarkEnd w:id="295"/>
    <w:bookmarkStart w:id="29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96"/>
    <w:bookmarkStart w:id="29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97">
        <w:r>
          <w:rPr>
            <w:rStyle w:val="Hyperlink"/>
          </w:rPr>
          <w:t xml:space="preserve">https://doi.org/10.1037/adb0000550</w:t>
        </w:r>
      </w:hyperlink>
    </w:p>
    <w:bookmarkEnd w:id="298"/>
    <w:bookmarkStart w:id="299"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9"/>
    <w:bookmarkStart w:id="30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00">
        <w:r>
          <w:rPr>
            <w:rStyle w:val="Hyperlink"/>
          </w:rPr>
          <w:t xml:space="preserve">https://doi.org/10.1146/annurev-clinpsy-021815-093351</w:t>
        </w:r>
      </w:hyperlink>
    </w:p>
    <w:bookmarkEnd w:id="301"/>
    <w:bookmarkStart w:id="30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02">
        <w:r>
          <w:rPr>
            <w:rStyle w:val="Hyperlink"/>
          </w:rPr>
          <w:t xml:space="preserve">https://doi.org/10.1111/j.1530-0277.2006.00263.x</w:t>
        </w:r>
      </w:hyperlink>
    </w:p>
    <w:bookmarkEnd w:id="303"/>
    <w:bookmarkStart w:id="305"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04">
        <w:r>
          <w:rPr>
            <w:rStyle w:val="Hyperlink"/>
          </w:rPr>
          <w:t xml:space="preserve">https://doi.org/10.1111/add.13479</w:t>
        </w:r>
      </w:hyperlink>
    </w:p>
    <w:bookmarkEnd w:id="305"/>
    <w:bookmarkStart w:id="307"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06">
        <w:r>
          <w:rPr>
            <w:rStyle w:val="Hyperlink"/>
          </w:rPr>
          <w:t xml:space="preserve">https://doi.org/10.1037/adb0000666</w:t>
        </w:r>
      </w:hyperlink>
    </w:p>
    <w:bookmarkEnd w:id="307"/>
    <w:bookmarkStart w:id="309"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8">
        <w:r>
          <w:rPr>
            <w:rStyle w:val="Hyperlink"/>
          </w:rPr>
          <w:t xml:space="preserve">https://doi.org/10.1177/1178221820976988</w:t>
        </w:r>
      </w:hyperlink>
    </w:p>
    <w:bookmarkEnd w:id="309"/>
    <w:bookmarkStart w:id="310"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10"/>
    <w:bookmarkStart w:id="31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11"/>
    <w:bookmarkStart w:id="313" w:name="Xb4363def9a086869984bb1996514c38c4a5108e"/>
    <w:p>
      <w:pPr>
        <w:pStyle w:val="Bibliography"/>
      </w:pPr>
      <w:r>
        <w:t xml:space="preserve">Substance Abuse and Mental Health Services Administration (US), &amp; Office of the Surgeon General (US). (2016).</w:t>
      </w:r>
      <w:r>
        <w:t xml:space="preserve"> </w:t>
      </w:r>
      <w:hyperlink r:id="rId312">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hyperlink>
      <w:r>
        <w:t xml:space="preserve">.</w:t>
      </w:r>
      <w:r>
        <w:t xml:space="preserve"> </w:t>
      </w:r>
      <w:r>
        <w:t xml:space="preserve">US Department of Health and Human Services</w:t>
      </w:r>
      <w:r>
        <w:t xml:space="preserve">.</w:t>
      </w:r>
    </w:p>
    <w:bookmarkEnd w:id="313"/>
    <w:bookmarkStart w:id="315"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14">
        <w:r>
          <w:rPr>
            <w:rStyle w:val="Hyperlink"/>
          </w:rPr>
          <w:t xml:space="preserve">https://doi.org/10.1080/19371918.2013.758975</w:t>
        </w:r>
      </w:hyperlink>
    </w:p>
    <w:bookmarkEnd w:id="315"/>
    <w:bookmarkStart w:id="317"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6">
        <w:r>
          <w:rPr>
            <w:rStyle w:val="Hyperlink"/>
          </w:rPr>
          <w:t xml:space="preserve">https://doi.org/10.1177/17456916221134490</w:t>
        </w:r>
      </w:hyperlink>
    </w:p>
    <w:bookmarkEnd w:id="317"/>
    <w:bookmarkStart w:id="318" w:name="Xd4028ce73c50441a8dee35a72bb1ae76ff66c9d"/>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18"/>
    <w:bookmarkStart w:id="320"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9">
        <w:r>
          <w:rPr>
            <w:rStyle w:val="Hyperlink"/>
          </w:rPr>
          <w:t xml:space="preserve">https://doi.org/10.1111/j.1530-0277.1984.tb05523.x</w:t>
        </w:r>
      </w:hyperlink>
    </w:p>
    <w:bookmarkEnd w:id="320"/>
    <w:bookmarkStart w:id="322"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21">
        <w:r>
          <w:rPr>
            <w:rStyle w:val="Hyperlink"/>
          </w:rPr>
          <w:t xml:space="preserve">https://doi.org/10.1093/jamia/ocy052</w:t>
        </w:r>
      </w:hyperlink>
    </w:p>
    <w:bookmarkEnd w:id="322"/>
    <w:bookmarkStart w:id="324"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23">
        <w:r>
          <w:rPr>
            <w:rStyle w:val="Hyperlink"/>
          </w:rPr>
          <w:t xml:space="preserve">https://doi.org/10.1016/j.jsat.2021.108417</w:t>
        </w:r>
      </w:hyperlink>
    </w:p>
    <w:bookmarkEnd w:id="324"/>
    <w:bookmarkStart w:id="326" w:name="X2d30c84041d97351f676569bf3de3da0c8a9d6d"/>
    <w:p>
      <w:pPr>
        <w:pStyle w:val="Bibliography"/>
      </w:pPr>
      <w:r>
        <w:t xml:space="preserve">WHO ASSIST Working Group. (2002).</w:t>
      </w:r>
      <w:r>
        <w:t xml:space="preserve"> </w:t>
      </w:r>
      <w:hyperlink r:id="rId32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6"/>
    <w:bookmarkStart w:id="32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7"/>
    <w:bookmarkStart w:id="32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8">
        <w:r>
          <w:rPr>
            <w:rStyle w:val="Hyperlink"/>
          </w:rPr>
          <w:t xml:space="preserve">https://doi.org/10.1037/0003-066X.59.4.224</w:t>
        </w:r>
      </w:hyperlink>
    </w:p>
    <w:bookmarkEnd w:id="329"/>
    <w:bookmarkStart w:id="331"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30">
        <w:r>
          <w:rPr>
            <w:rStyle w:val="Hyperlink"/>
          </w:rPr>
          <w:t xml:space="preserve">https://doi.org/10.1016/j.cpr.2007.01.002</w:t>
        </w:r>
      </w:hyperlink>
    </w:p>
    <w:bookmarkEnd w:id="331"/>
    <w:bookmarkStart w:id="333"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2">
        <w:r>
          <w:rPr>
            <w:rStyle w:val="Hyperlink"/>
          </w:rPr>
          <w:t xml:space="preserve">https://doi.org/10.1037/pas0000685</w:t>
        </w:r>
      </w:hyperlink>
    </w:p>
    <w:bookmarkEnd w:id="333"/>
    <w:bookmarkStart w:id="33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4">
        <w:r>
          <w:rPr>
            <w:rStyle w:val="Hyperlink"/>
          </w:rPr>
          <w:t xml:space="preserve">https://doi.org/10.2196/41833</w:t>
        </w:r>
      </w:hyperlink>
    </w:p>
    <w:bookmarkEnd w:id="335"/>
    <w:bookmarkStart w:id="33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6">
        <w:r>
          <w:rPr>
            <w:rStyle w:val="Hyperlink"/>
          </w:rPr>
          <w:t xml:space="preserve">https://doi.org/10.2196/mhealth.9117</w:t>
        </w:r>
      </w:hyperlink>
    </w:p>
    <w:bookmarkEnd w:id="337"/>
    <w:bookmarkEnd w:id="338"/>
    <w:bookmarkEnd w:id="339"/>
    <w:bookmarkEnd w:id="340"/>
    <w:bookmarkEnd w:id="341"/>
    <w:bookmarkEnd w:id="3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20" Target="media/rId120.png" /><Relationship Type="http://schemas.openxmlformats.org/officeDocument/2006/relationships/image" Id="rId72" Target="media/rId72.jpg" /><Relationship Type="http://schemas.openxmlformats.org/officeDocument/2006/relationships/image" Id="rId132" Target="media/rId132.png" /><Relationship Type="http://schemas.openxmlformats.org/officeDocument/2006/relationships/image" Id="rId98" Target="media/rId98.png" /><Relationship Type="http://schemas.openxmlformats.org/officeDocument/2006/relationships/hyperlink" Id="rId218" Target="https://doi.org/10.1001/jama.2022.2847" TargetMode="External" /><Relationship Type="http://schemas.openxmlformats.org/officeDocument/2006/relationships/hyperlink" Id="rId276" Target="https://doi.org/10.1001/jama.284.13.1689" TargetMode="External" /><Relationship Type="http://schemas.openxmlformats.org/officeDocument/2006/relationships/hyperlink" Id="rId249" Target="https://doi.org/10.1001/jamanetworkopen.2020.5852" TargetMode="External" /><Relationship Type="http://schemas.openxmlformats.org/officeDocument/2006/relationships/hyperlink" Id="rId180" Target="https://doi.org/10.1001/jamapsychiatry.2013.4546" TargetMode="External" /><Relationship Type="http://schemas.openxmlformats.org/officeDocument/2006/relationships/hyperlink" Id="rId230" Target="https://doi.org/10.1001/jamapsychiatry.2013.4642" TargetMode="External" /><Relationship Type="http://schemas.openxmlformats.org/officeDocument/2006/relationships/hyperlink" Id="rId224" Target="https://doi.org/10.1001/jamapsychiatry.2015.0584" TargetMode="External" /><Relationship Type="http://schemas.openxmlformats.org/officeDocument/2006/relationships/hyperlink" Id="rId25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53" Target="https://doi.org/10.1016/j.amepre.2019.08.034" TargetMode="External" /><Relationship Type="http://schemas.openxmlformats.org/officeDocument/2006/relationships/hyperlink" Id="rId214" Target="https://doi.org/10.1016/j.brat.2019.01.010" TargetMode="External" /><Relationship Type="http://schemas.openxmlformats.org/officeDocument/2006/relationships/hyperlink" Id="rId202" Target="https://doi.org/10.1016/j.brat.2019.103506" TargetMode="External" /><Relationship Type="http://schemas.openxmlformats.org/officeDocument/2006/relationships/hyperlink" Id="rId255" Target="https://doi.org/10.1016/j.cger.2014.04.008" TargetMode="External" /><Relationship Type="http://schemas.openxmlformats.org/officeDocument/2006/relationships/hyperlink" Id="rId206" Target="https://doi.org/10.1016/j.cmpb.2016.09.016" TargetMode="External" /><Relationship Type="http://schemas.openxmlformats.org/officeDocument/2006/relationships/hyperlink" Id="rId330" Target="https://doi.org/10.1016/j.cpr.2007.01.002" TargetMode="External" /><Relationship Type="http://schemas.openxmlformats.org/officeDocument/2006/relationships/hyperlink" Id="rId272" Target="https://doi.org/10.1016/j.cpr.2017.10.012" TargetMode="External" /><Relationship Type="http://schemas.openxmlformats.org/officeDocument/2006/relationships/hyperlink" Id="rId226" Target="https://doi.org/10.1016/j.drugalcdep.2006.05.012" TargetMode="External" /><Relationship Type="http://schemas.openxmlformats.org/officeDocument/2006/relationships/hyperlink" Id="rId247" Target="https://doi.org/10.1016/j.drugalcdep.2012.12.025" TargetMode="External" /><Relationship Type="http://schemas.openxmlformats.org/officeDocument/2006/relationships/hyperlink" Id="rId228"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92" Target="https://doi.org/10.1016/j.drugalcdep.2019.05.017" TargetMode="External" /><Relationship Type="http://schemas.openxmlformats.org/officeDocument/2006/relationships/hyperlink" Id="rId216" Target="https://doi.org/10.1016/j.drugalcdep.2020.108350" TargetMode="External" /><Relationship Type="http://schemas.openxmlformats.org/officeDocument/2006/relationships/hyperlink" Id="rId27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37"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23" Target="https://doi.org/10.1016/j.jsat.2021.108417" TargetMode="External" /><Relationship Type="http://schemas.openxmlformats.org/officeDocument/2006/relationships/hyperlink" Id="rId288" Target="https://doi.org/10.1016/j.jsat.2021.108710" TargetMode="External" /><Relationship Type="http://schemas.openxmlformats.org/officeDocument/2006/relationships/hyperlink" Id="rId242" Target="https://doi.org/10.1023/A:1008987426876" TargetMode="External" /><Relationship Type="http://schemas.openxmlformats.org/officeDocument/2006/relationships/hyperlink" Id="rId294" Target="https://doi.org/10.1037/0003-066X.47.9.1102" TargetMode="External" /><Relationship Type="http://schemas.openxmlformats.org/officeDocument/2006/relationships/hyperlink" Id="rId328" Target="https://doi.org/10.1037/0003-066X.59.4.224" TargetMode="External" /><Relationship Type="http://schemas.openxmlformats.org/officeDocument/2006/relationships/hyperlink" Id="rId208" Target="https://doi.org/10.1037/a0037157" TargetMode="External" /><Relationship Type="http://schemas.openxmlformats.org/officeDocument/2006/relationships/hyperlink" Id="rId204" Target="https://doi.org/10.1037/adb0000292" TargetMode="External" /><Relationship Type="http://schemas.openxmlformats.org/officeDocument/2006/relationships/hyperlink" Id="rId297" Target="https://doi.org/10.1037/adb0000550" TargetMode="External" /><Relationship Type="http://schemas.openxmlformats.org/officeDocument/2006/relationships/hyperlink" Id="rId306" Target="https://doi.org/10.1037/adb0000666" TargetMode="External" /><Relationship Type="http://schemas.openxmlformats.org/officeDocument/2006/relationships/hyperlink" Id="rId332" Target="https://doi.org/10.1037/pas0000685" TargetMode="External" /><Relationship Type="http://schemas.openxmlformats.org/officeDocument/2006/relationships/hyperlink" Id="rId210" Target="https://doi.org/10.1037/pha0000210" TargetMode="External" /><Relationship Type="http://schemas.openxmlformats.org/officeDocument/2006/relationships/hyperlink" Id="rId290" Target="https://doi.org/10.1037/tps0000250" TargetMode="External" /><Relationship Type="http://schemas.openxmlformats.org/officeDocument/2006/relationships/hyperlink" Id="rId264" Target="https://doi.org/10.1080/00952990.2019.1694536" TargetMode="External" /><Relationship Type="http://schemas.openxmlformats.org/officeDocument/2006/relationships/hyperlink" Id="rId314" Target="https://doi.org/10.1080/19371918.2013.758975" TargetMode="External" /><Relationship Type="http://schemas.openxmlformats.org/officeDocument/2006/relationships/hyperlink" Id="rId321" Target="https://doi.org/10.1093/jamia/ocy052" TargetMode="External" /><Relationship Type="http://schemas.openxmlformats.org/officeDocument/2006/relationships/hyperlink" Id="rId267" Target="https://doi.org/10.1097/JTO.0b013e3181ec173d" TargetMode="External" /><Relationship Type="http://schemas.openxmlformats.org/officeDocument/2006/relationships/hyperlink" Id="rId304"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19" Target="https://doi.org/10.1111/j.1530-0277.1984.tb05523.x" TargetMode="External" /><Relationship Type="http://schemas.openxmlformats.org/officeDocument/2006/relationships/hyperlink" Id="rId302" Target="https://doi.org/10.1111/j.1530-0277.2006.00263.x" TargetMode="External" /><Relationship Type="http://schemas.openxmlformats.org/officeDocument/2006/relationships/hyperlink" Id="rId300" Target="https://doi.org/10.1146/annurev-clinpsy-021815-093351" TargetMode="External" /><Relationship Type="http://schemas.openxmlformats.org/officeDocument/2006/relationships/hyperlink" Id="rId280" Target="https://doi.org/10.1146/annurev-clinpsy-032816-044949" TargetMode="External" /><Relationship Type="http://schemas.openxmlformats.org/officeDocument/2006/relationships/hyperlink" Id="rId220"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2" Target="https://doi.org/10.1176/appi.ajp.21090963" TargetMode="External" /><Relationship Type="http://schemas.openxmlformats.org/officeDocument/2006/relationships/hyperlink" Id="rId308" Target="https://doi.org/10.1177/1178221820976988" TargetMode="External" /><Relationship Type="http://schemas.openxmlformats.org/officeDocument/2006/relationships/hyperlink" Id="rId316" Target="https://doi.org/10.1177/17456916221134490" TargetMode="External" /><Relationship Type="http://schemas.openxmlformats.org/officeDocument/2006/relationships/hyperlink" Id="rId261" Target="https://doi.org/10.1214/17-EJS1338SI" TargetMode="External" /><Relationship Type="http://schemas.openxmlformats.org/officeDocument/2006/relationships/hyperlink" Id="rId190" Target="https://doi.org/10.21231/GNT1-HW21" TargetMode="External" /><Relationship Type="http://schemas.openxmlformats.org/officeDocument/2006/relationships/hyperlink" Id="rId28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34" Target="https://doi.org/10.2196/41833" TargetMode="External" /><Relationship Type="http://schemas.openxmlformats.org/officeDocument/2006/relationships/hyperlink" Id="rId235" Target="https://doi.org/10.2196/mental.9777" TargetMode="External" /><Relationship Type="http://schemas.openxmlformats.org/officeDocument/2006/relationships/hyperlink" Id="rId336" Target="https://doi.org/10.2196/mhealth.9117" TargetMode="External" /><Relationship Type="http://schemas.openxmlformats.org/officeDocument/2006/relationships/hyperlink" Id="rId274" Target="https://doi.org/10.35946/arcr.v41.1.01" TargetMode="External" /><Relationship Type="http://schemas.openxmlformats.org/officeDocument/2006/relationships/hyperlink" Id="rId244" Target="https://doi.org/10/gfsjzg" TargetMode="External" /><Relationship Type="http://schemas.openxmlformats.org/officeDocument/2006/relationships/hyperlink" Id="rId212"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4"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6"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7"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30"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99" Target="https://www.ncbi.nlm.nih.gov/pmc/articles/PMC2797101" TargetMode="External" /><Relationship Type="http://schemas.openxmlformats.org/officeDocument/2006/relationships/hyperlink" Id="rId325" Target="https://www.ncbi.nlm.nih.gov/pubmed/12199834" TargetMode="External" /><Relationship Type="http://schemas.openxmlformats.org/officeDocument/2006/relationships/hyperlink" Id="rId286" Target="https://www.ncbi.nlm.nih.gov/pubmed/20669516" TargetMode="External" /><Relationship Type="http://schemas.openxmlformats.org/officeDocument/2006/relationships/hyperlink" Id="rId312"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18" Target="https://doi.org/10.1001/jama.2022.2847" TargetMode="External" /><Relationship Type="http://schemas.openxmlformats.org/officeDocument/2006/relationships/hyperlink" Id="rId276" Target="https://doi.org/10.1001/jama.284.13.1689" TargetMode="External" /><Relationship Type="http://schemas.openxmlformats.org/officeDocument/2006/relationships/hyperlink" Id="rId249" Target="https://doi.org/10.1001/jamanetworkopen.2020.5852" TargetMode="External" /><Relationship Type="http://schemas.openxmlformats.org/officeDocument/2006/relationships/hyperlink" Id="rId180" Target="https://doi.org/10.1001/jamapsychiatry.2013.4546" TargetMode="External" /><Relationship Type="http://schemas.openxmlformats.org/officeDocument/2006/relationships/hyperlink" Id="rId230" Target="https://doi.org/10.1001/jamapsychiatry.2013.4642" TargetMode="External" /><Relationship Type="http://schemas.openxmlformats.org/officeDocument/2006/relationships/hyperlink" Id="rId224" Target="https://doi.org/10.1001/jamapsychiatry.2015.0584" TargetMode="External" /><Relationship Type="http://schemas.openxmlformats.org/officeDocument/2006/relationships/hyperlink" Id="rId25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53" Target="https://doi.org/10.1016/j.amepre.2019.08.034" TargetMode="External" /><Relationship Type="http://schemas.openxmlformats.org/officeDocument/2006/relationships/hyperlink" Id="rId214" Target="https://doi.org/10.1016/j.brat.2019.01.010" TargetMode="External" /><Relationship Type="http://schemas.openxmlformats.org/officeDocument/2006/relationships/hyperlink" Id="rId202" Target="https://doi.org/10.1016/j.brat.2019.103506" TargetMode="External" /><Relationship Type="http://schemas.openxmlformats.org/officeDocument/2006/relationships/hyperlink" Id="rId255" Target="https://doi.org/10.1016/j.cger.2014.04.008" TargetMode="External" /><Relationship Type="http://schemas.openxmlformats.org/officeDocument/2006/relationships/hyperlink" Id="rId206" Target="https://doi.org/10.1016/j.cmpb.2016.09.016" TargetMode="External" /><Relationship Type="http://schemas.openxmlformats.org/officeDocument/2006/relationships/hyperlink" Id="rId330" Target="https://doi.org/10.1016/j.cpr.2007.01.002" TargetMode="External" /><Relationship Type="http://schemas.openxmlformats.org/officeDocument/2006/relationships/hyperlink" Id="rId272" Target="https://doi.org/10.1016/j.cpr.2017.10.012" TargetMode="External" /><Relationship Type="http://schemas.openxmlformats.org/officeDocument/2006/relationships/hyperlink" Id="rId226" Target="https://doi.org/10.1016/j.drugalcdep.2006.05.012" TargetMode="External" /><Relationship Type="http://schemas.openxmlformats.org/officeDocument/2006/relationships/hyperlink" Id="rId247" Target="https://doi.org/10.1016/j.drugalcdep.2012.12.025" TargetMode="External" /><Relationship Type="http://schemas.openxmlformats.org/officeDocument/2006/relationships/hyperlink" Id="rId228"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92" Target="https://doi.org/10.1016/j.drugalcdep.2019.05.017" TargetMode="External" /><Relationship Type="http://schemas.openxmlformats.org/officeDocument/2006/relationships/hyperlink" Id="rId216" Target="https://doi.org/10.1016/j.drugalcdep.2020.108350" TargetMode="External" /><Relationship Type="http://schemas.openxmlformats.org/officeDocument/2006/relationships/hyperlink" Id="rId27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37"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23" Target="https://doi.org/10.1016/j.jsat.2021.108417" TargetMode="External" /><Relationship Type="http://schemas.openxmlformats.org/officeDocument/2006/relationships/hyperlink" Id="rId288" Target="https://doi.org/10.1016/j.jsat.2021.108710" TargetMode="External" /><Relationship Type="http://schemas.openxmlformats.org/officeDocument/2006/relationships/hyperlink" Id="rId242" Target="https://doi.org/10.1023/A:1008987426876" TargetMode="External" /><Relationship Type="http://schemas.openxmlformats.org/officeDocument/2006/relationships/hyperlink" Id="rId294" Target="https://doi.org/10.1037/0003-066X.47.9.1102" TargetMode="External" /><Relationship Type="http://schemas.openxmlformats.org/officeDocument/2006/relationships/hyperlink" Id="rId328" Target="https://doi.org/10.1037/0003-066X.59.4.224" TargetMode="External" /><Relationship Type="http://schemas.openxmlformats.org/officeDocument/2006/relationships/hyperlink" Id="rId208" Target="https://doi.org/10.1037/a0037157" TargetMode="External" /><Relationship Type="http://schemas.openxmlformats.org/officeDocument/2006/relationships/hyperlink" Id="rId204" Target="https://doi.org/10.1037/adb0000292" TargetMode="External" /><Relationship Type="http://schemas.openxmlformats.org/officeDocument/2006/relationships/hyperlink" Id="rId297" Target="https://doi.org/10.1037/adb0000550" TargetMode="External" /><Relationship Type="http://schemas.openxmlformats.org/officeDocument/2006/relationships/hyperlink" Id="rId306" Target="https://doi.org/10.1037/adb0000666" TargetMode="External" /><Relationship Type="http://schemas.openxmlformats.org/officeDocument/2006/relationships/hyperlink" Id="rId332" Target="https://doi.org/10.1037/pas0000685" TargetMode="External" /><Relationship Type="http://schemas.openxmlformats.org/officeDocument/2006/relationships/hyperlink" Id="rId210" Target="https://doi.org/10.1037/pha0000210" TargetMode="External" /><Relationship Type="http://schemas.openxmlformats.org/officeDocument/2006/relationships/hyperlink" Id="rId290" Target="https://doi.org/10.1037/tps0000250" TargetMode="External" /><Relationship Type="http://schemas.openxmlformats.org/officeDocument/2006/relationships/hyperlink" Id="rId264" Target="https://doi.org/10.1080/00952990.2019.1694536" TargetMode="External" /><Relationship Type="http://schemas.openxmlformats.org/officeDocument/2006/relationships/hyperlink" Id="rId314" Target="https://doi.org/10.1080/19371918.2013.758975" TargetMode="External" /><Relationship Type="http://schemas.openxmlformats.org/officeDocument/2006/relationships/hyperlink" Id="rId321" Target="https://doi.org/10.1093/jamia/ocy052" TargetMode="External" /><Relationship Type="http://schemas.openxmlformats.org/officeDocument/2006/relationships/hyperlink" Id="rId267" Target="https://doi.org/10.1097/JTO.0b013e3181ec173d" TargetMode="External" /><Relationship Type="http://schemas.openxmlformats.org/officeDocument/2006/relationships/hyperlink" Id="rId304"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19" Target="https://doi.org/10.1111/j.1530-0277.1984.tb05523.x" TargetMode="External" /><Relationship Type="http://schemas.openxmlformats.org/officeDocument/2006/relationships/hyperlink" Id="rId302" Target="https://doi.org/10.1111/j.1530-0277.2006.00263.x" TargetMode="External" /><Relationship Type="http://schemas.openxmlformats.org/officeDocument/2006/relationships/hyperlink" Id="rId300" Target="https://doi.org/10.1146/annurev-clinpsy-021815-093351" TargetMode="External" /><Relationship Type="http://schemas.openxmlformats.org/officeDocument/2006/relationships/hyperlink" Id="rId280" Target="https://doi.org/10.1146/annurev-clinpsy-032816-044949" TargetMode="External" /><Relationship Type="http://schemas.openxmlformats.org/officeDocument/2006/relationships/hyperlink" Id="rId220"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2" Target="https://doi.org/10.1176/appi.ajp.21090963" TargetMode="External" /><Relationship Type="http://schemas.openxmlformats.org/officeDocument/2006/relationships/hyperlink" Id="rId308" Target="https://doi.org/10.1177/1178221820976988" TargetMode="External" /><Relationship Type="http://schemas.openxmlformats.org/officeDocument/2006/relationships/hyperlink" Id="rId316" Target="https://doi.org/10.1177/17456916221134490" TargetMode="External" /><Relationship Type="http://schemas.openxmlformats.org/officeDocument/2006/relationships/hyperlink" Id="rId261" Target="https://doi.org/10.1214/17-EJS1338SI" TargetMode="External" /><Relationship Type="http://schemas.openxmlformats.org/officeDocument/2006/relationships/hyperlink" Id="rId190" Target="https://doi.org/10.21231/GNT1-HW21" TargetMode="External" /><Relationship Type="http://schemas.openxmlformats.org/officeDocument/2006/relationships/hyperlink" Id="rId28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34" Target="https://doi.org/10.2196/41833" TargetMode="External" /><Relationship Type="http://schemas.openxmlformats.org/officeDocument/2006/relationships/hyperlink" Id="rId235" Target="https://doi.org/10.2196/mental.9777" TargetMode="External" /><Relationship Type="http://schemas.openxmlformats.org/officeDocument/2006/relationships/hyperlink" Id="rId336" Target="https://doi.org/10.2196/mhealth.9117" TargetMode="External" /><Relationship Type="http://schemas.openxmlformats.org/officeDocument/2006/relationships/hyperlink" Id="rId274" Target="https://doi.org/10.35946/arcr.v41.1.01" TargetMode="External" /><Relationship Type="http://schemas.openxmlformats.org/officeDocument/2006/relationships/hyperlink" Id="rId244" Target="https://doi.org/10/gfsjzg" TargetMode="External" /><Relationship Type="http://schemas.openxmlformats.org/officeDocument/2006/relationships/hyperlink" Id="rId212"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4"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6"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7"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30"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99" Target="https://www.ncbi.nlm.nih.gov/pmc/articles/PMC2797101" TargetMode="External" /><Relationship Type="http://schemas.openxmlformats.org/officeDocument/2006/relationships/hyperlink" Id="rId325" Target="https://www.ncbi.nlm.nih.gov/pubmed/12199834" TargetMode="External" /><Relationship Type="http://schemas.openxmlformats.org/officeDocument/2006/relationships/hyperlink" Id="rId286" Target="https://www.ncbi.nlm.nih.gov/pubmed/20669516" TargetMode="External" /><Relationship Type="http://schemas.openxmlformats.org/officeDocument/2006/relationships/hyperlink" Id="rId312"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 Proposal</dc:title>
  <dc:creator>Kendra Wyant</dc:creator>
  <cp:keywords/>
  <dcterms:created xsi:type="dcterms:W3CDTF">2026-03-16T18:35:26Z</dcterms:created>
  <dcterms:modified xsi:type="dcterms:W3CDTF">2026-03-16T18:35:26Z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2026-03-16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