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jpg" ContentType="image/jpeg"/>
  <Override PartName="/word/media/rId52.jpg" ContentType="image/jpeg"/>
  <Override PartName="/word/media/rId59.jpg" ContentType="image/jpeg"/>
  <Override PartName="/word/media/rId85.png" ContentType="image/png"/>
  <Override PartName="/word/media/rId167.png" ContentType="image/png"/>
  <Override PartName="/word/media/rId104.png" ContentType="image/png"/>
  <Override PartName="/word/media/rId174.png" ContentType="image/png"/>
  <Override PartName="/word/media/rId180.png" ContentType="image/png"/>
  <Override PartName="/word/media/rId122.png" ContentType="image/png"/>
  <Override PartName="/word/media/rId186.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2026-03-30</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5"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treatment—a stark contrast to treatment initiation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Relapse back to substance use is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These patterns highlight the important role of continuing care (i.e., ongoing monitoring, support, and timely re‑intervention with more intensive treatment when necessary) following an initial treatment episode.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erode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 [</w:t>
      </w:r>
      <w:r>
        <w:t xml:space="preserve">Kuerbis et al. (2014)</w:t>
      </w:r>
      <w:r>
        <w:t xml:space="preserve">; Salive].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lapse-prevention"/>
    <w:p>
      <w:pPr>
        <w:pStyle w:val="Heading2"/>
      </w:pPr>
      <w:r>
        <w:t xml:space="preserve">1.3 Relapse Prevention</w:t>
      </w:r>
    </w:p>
    <w:p>
      <w:pPr>
        <w:pStyle w:val="FirstParagraph"/>
      </w:pPr>
      <w:r>
        <w:t xml:space="preserve">Recovery from substance use disorders is a non-linear and dynamic process</w:t>
      </w:r>
      <w:r>
        <w:t xml:space="preserve"> </w:t>
      </w:r>
      <w:r>
        <w:t xml:space="preserve">(K. Witkiewitz &amp; Marlatt, 2004)</w:t>
      </w:r>
      <w:r>
        <w:t xml:space="preserve">. Lapses back to substance use are common and, on their own, do not necessarily constitute relapse (i.e., a full return to problematic use). Nevertheless, lapses must precede relapse and therefore can be viewed as early warning signs, making them clinically meaningful targets for intervention and prevention.</w:t>
      </w:r>
    </w:p>
    <w:p>
      <w:pPr>
        <w:pStyle w:val="BodyText"/>
      </w:pPr>
      <w:r>
        <w:t xml:space="preserve">An extant relapse prevention literature has identified a range of intrapersonal precursors to lapse and relapse. These include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These risk factors differ across individuals and within an individual over time. They interact with one another and with interpersonal and environmental situations to influence lapse risk</w:t>
      </w:r>
      <w:r>
        <w:t xml:space="preserve"> </w:t>
      </w:r>
      <w:r>
        <w:t xml:space="preserve">(Stanton, 2005; K. Witkiewitz &amp; Marlatt, 2004)</w:t>
      </w:r>
      <w:r>
        <w:t xml:space="preserve">. For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bookmarkEnd w:id="12"/>
    <w:bookmarkStart w:id="13" w:name="recovery-monitoring-and-support-system"/>
    <w:p>
      <w:pPr>
        <w:pStyle w:val="Heading2"/>
      </w:pPr>
      <w:r>
        <w:t xml:space="preserve">1.4 Recovery Monitoring and Support System</w:t>
      </w:r>
    </w:p>
    <w:p>
      <w:pPr>
        <w:pStyle w:val="FirstParagraph"/>
      </w:pPr>
      <w:r>
        <w:t xml:space="preserve">An algorithm‑guided recovery monitoring and support system could strengthen continuing care following initial SUD treatment (e.g., 12 weeks of intensive outpatient treatment, early stabilization on medications for opioid use disorder) by helping individuals monitor their current and near‑term risk of lapse and proactively adjust their activities and supports to meet recovery goals. Rather than focusing on treatment initiation, this approach is designed to extend the impact of evidence‑based treatment after stabilization, when individuals remain vulnerable to relapse but treatment intensity often decreases. The system could deliver personalized, adaptive feedback aligned with evidence‑based recovery support and prompt engagement with additional supports during periods of heightened risk. For example, individuals might receive daily messages on changes in their lapse risk along with tailored recommendations informed by the most important features contributing to that risk. In doing so, the system would offer a scalable mechanism for long‑term monitoring and support, directly addressing the substantial unmet need for continuing care among individuals who do initiate SUD treatment.</w:t>
      </w:r>
    </w:p>
    <w:p>
      <w:pPr>
        <w:pStyle w:val="BodyText"/>
      </w:pPr>
      <w:r>
        <w:t xml:space="preserve">This recovery monitoring and support system is well positioned to address several pervasive barriers to continuity of care following completion of an initial treatment episode. Because the system is automated, it could provide a low‑cost, scalable form of supplemental recovery support accessible from a smartphone. Stigma‑related barriers may be reduced by delivery through a smartphone app that individuals can choose to use privately. Similarly, individuals living in geographically underserved areas or facing mobility constraints could monitor their recovery risk remotely. Importantly, the system could model individual risk trajectories over time, identifying features associated with different periods of increased risk and updating personalized recommendations as clinical needs evolve.</w:t>
      </w:r>
    </w:p>
    <w:p>
      <w:pPr>
        <w:pStyle w:val="BodyText"/>
      </w:pPr>
      <w:r>
        <w:t xml:space="preserve">And in a not so distant future, many barriers that currently undermine SUD continuing care, including passive handoffs, patient dropout, limited care coordination, and delayed responses to clinical deterioration, could be further addressed by embedding predictive models within an AI‑enabled, agentic support system capable of planning and action. For instance, if an individual receives repeated feedback indicating elevated lapse risk over several days and subsequently disengages from the monitoring system, an AI agent could proactively initiate outreach and facilitate connection to higher‑intensity services, such as scheduling an appointment with an in‑network provider for further evaluation.</w:t>
      </w:r>
    </w:p>
    <w:p>
      <w:pPr>
        <w:pStyle w:val="BodyText"/>
      </w:pPr>
      <w:r>
        <w:t xml:space="preserve">For these types of systems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3"/>
    <w:bookmarkStart w:id="14" w:name="specific-aims"/>
    <w:p>
      <w:pPr>
        <w:pStyle w:val="Heading2"/>
      </w:pPr>
      <w:r>
        <w:t xml:space="preserve">1.5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the sensing method(s) selected, predictive performance and interpretability, and fairness.</w:t>
      </w:r>
    </w:p>
    <w:p>
      <w:pPr>
        <w:pStyle w:val="BodyText"/>
      </w:pPr>
      <w:r>
        <w:t xml:space="preserve">To achieve this goal, 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opioid use disorder using a national sample, allowing us to examine whether lapse prediction models generalize beyond alcohol to substances where use is illegal and lapses may be under reported. This dataset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bookmarkEnd w:id="14"/>
    <w:bookmarkEnd w:id="15"/>
    <w:bookmarkStart w:id="73" w:name="X19d88964df8049fca0e1b90b33796fd673ad16c"/>
    <w:p>
      <w:pPr>
        <w:pStyle w:val="Heading1"/>
      </w:pPr>
      <w:r>
        <w:t xml:space="preserve">2. Machine learning models for temporally precise lapse prediction in alcohol use disorder</w:t>
      </w:r>
    </w:p>
    <w:bookmarkStart w:id="19"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6"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6"/>
    <w:bookmarkStart w:id="17"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7"/>
    <w:bookmarkStart w:id="18"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8"/>
    <w:bookmarkEnd w:id="19"/>
    <w:bookmarkStart w:id="36" w:name="method"/>
    <w:p>
      <w:pPr>
        <w:pStyle w:val="Heading2"/>
      </w:pPr>
      <w:r>
        <w:t xml:space="preserve">2.2 Method</w:t>
      </w:r>
    </w:p>
    <w:bookmarkStart w:id="21"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20">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1"/>
    <w:bookmarkStart w:id="22"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2"/>
    <w:bookmarkStart w:id="23"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3"/>
    <w:bookmarkStart w:id="26" w:name="measures"/>
    <w:p>
      <w:pPr>
        <w:pStyle w:val="Heading3"/>
      </w:pPr>
      <w:r>
        <w:t xml:space="preserve">2.2.4 Measures</w:t>
      </w:r>
    </w:p>
    <w:bookmarkStart w:id="24"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4"/>
    <w:bookmarkStart w:id="25"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5"/>
    <w:bookmarkEnd w:id="26"/>
    <w:bookmarkStart w:id="35"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7"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7"/>
    <w:bookmarkStart w:id="28"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8"/>
    <w:bookmarkStart w:id="32" w:name="model-training-and-evaluation"/>
    <w:p>
      <w:pPr>
        <w:pStyle w:val="Heading4"/>
      </w:pPr>
      <w:r>
        <w:t xml:space="preserve">2.2.5.3 Model Training and Evaluation</w:t>
      </w:r>
    </w:p>
    <w:bookmarkStart w:id="29"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9"/>
    <w:bookmarkStart w:id="30"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30"/>
    <w:bookmarkStart w:id="31"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1"/>
    <w:bookmarkEnd w:id="32"/>
    <w:bookmarkStart w:id="33"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3"/>
    <w:bookmarkStart w:id="34"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4"/>
    <w:bookmarkEnd w:id="35"/>
    <w:bookmarkEnd w:id="36"/>
    <w:bookmarkStart w:id="65" w:name="results"/>
    <w:p>
      <w:pPr>
        <w:pStyle w:val="Heading2"/>
      </w:pPr>
      <w:r>
        <w:t xml:space="preserve">2.3 Results</w:t>
      </w:r>
    </w:p>
    <w:bookmarkStart w:id="39"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7" w:name="tbl-dem"/>
          <w:p>
            <w:pPr>
              <w:jc w:val="center"/>
            </w:pPr>
            <w:pPr>
              <w:jc w:val="lef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7"/>
          <w:p/>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All Tables for Dissertation</w:t>
        </w:r>
      </w:hyperlink>
    </w:p>
    <w:bookmarkEnd w:id="39"/>
    <w:bookmarkStart w:id="40"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40"/>
    <w:bookmarkStart w:id="58" w:name="model-performance"/>
    <w:p>
      <w:pPr>
        <w:pStyle w:val="Heading3"/>
      </w:pPr>
      <w:r>
        <w:t xml:space="preserve">2.3.3 Model Performance</w:t>
      </w:r>
    </w:p>
    <w:bookmarkStart w:id="41"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1"/>
    <w:bookmarkStart w:id="47"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6" w:name="cell-fig-1-ema"/>
    <w:tbl>
      <w:tblPr>
        <w:tblStyle w:val="Table"/>
        <w:tblW w:type="pct" w:w="5000"/>
        <w:tblLayout w:type="fixed"/>
        <w:tblLook w:firstRow="0" w:lastRow="0" w:firstColumn="0" w:lastColumn="0" w:noHBand="0" w:noVBand="0" w:val="0000"/>
      </w:tblPr>
      <w:tblGrid>
        <w:gridCol w:w="7920"/>
      </w:tblGrid>
      <w:tr>
        <w:tc>
          <w:tcPr/>
          <w:bookmarkStart w:id="45" w:name="fig-1-ema"/>
          <w:p>
            <w:pPr>
              <w:pStyle w:val="Compact"/>
              <w:jc w:val="center"/>
            </w:pPr>
            <w:r>
              <w:drawing>
                <wp:inline>
                  <wp:extent cx="5334000" cy="3413760"/>
                  <wp:effectExtent b="0" l="0" r="0" t="0"/>
                  <wp:docPr descr="" title="" id="43" name="Picture"/>
                  <a:graphic>
                    <a:graphicData uri="http://schemas.openxmlformats.org/drawingml/2006/picture">
                      <pic:pic>
                        <pic:nvPicPr>
                          <pic:cNvPr descr="figures/ema_1.jpeg" id="44" name="Picture"/>
                          <pic:cNvPicPr>
                            <a:picLocks noChangeArrowheads="1" noChangeAspect="1"/>
                          </pic:cNvPicPr>
                        </pic:nvPicPr>
                        <pic:blipFill>
                          <a:blip r:embed="rId42"/>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6"/>
    <w:bookmarkEnd w:id="47"/>
    <w:bookmarkStart w:id="48"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8"/>
    <w:bookmarkStart w:id="49"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9"/>
    <w:bookmarkStart w:id="57"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50"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50"/>
          <w:p/>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6" w:name="cell-fig-2-ema"/>
    <w:tbl>
      <w:tblPr>
        <w:tblStyle w:val="Table"/>
        <w:tblW w:type="pct" w:w="5000"/>
        <w:tblLayout w:type="fixed"/>
        <w:tblLook w:firstRow="0" w:lastRow="0" w:firstColumn="0" w:lastColumn="0" w:noHBand="0" w:noVBand="0" w:val="0000"/>
      </w:tblPr>
      <w:tblGrid>
        <w:gridCol w:w="7920"/>
      </w:tblGrid>
      <w:tr>
        <w:tc>
          <w:tcPr/>
          <w:bookmarkStart w:id="55" w:name="fig-2-ema"/>
          <w:p>
            <w:pPr>
              <w:pStyle w:val="Compact"/>
              <w:jc w:val="center"/>
            </w:pPr>
            <w:r>
              <w:drawing>
                <wp:inline>
                  <wp:extent cx="5334000" cy="4445000"/>
                  <wp:effectExtent b="0" l="0" r="0" t="0"/>
                  <wp:docPr descr="" title="" id="53" name="Picture"/>
                  <a:graphic>
                    <a:graphicData uri="http://schemas.openxmlformats.org/drawingml/2006/picture">
                      <pic:pic>
                        <pic:nvPicPr>
                          <pic:cNvPr descr="figures/ema_2.jpeg" id="54" name="Picture"/>
                          <pic:cNvPicPr>
                            <a:picLocks noChangeArrowheads="1" noChangeAspect="1"/>
                          </pic:cNvPicPr>
                        </pic:nvPicPr>
                        <pic:blipFill>
                          <a:blip r:embed="rId52"/>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6"/>
    <w:bookmarkEnd w:id="57"/>
    <w:bookmarkEnd w:id="58"/>
    <w:bookmarkStart w:id="64"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3" w:name="cell-fig-3-ema"/>
    <w:tbl>
      <w:tblPr>
        <w:tblStyle w:val="Table"/>
        <w:tblW w:type="pct" w:w="5000"/>
        <w:tblLayout w:type="fixed"/>
        <w:tblLook w:firstRow="0" w:lastRow="0" w:firstColumn="0" w:lastColumn="0" w:noHBand="0" w:noVBand="0" w:val="0000"/>
      </w:tblPr>
      <w:tblGrid>
        <w:gridCol w:w="7920"/>
      </w:tblGrid>
      <w:tr>
        <w:tc>
          <w:tcPr/>
          <w:bookmarkStart w:id="62" w:name="fig-3-ema"/>
          <w:p>
            <w:pPr>
              <w:pStyle w:val="Compact"/>
              <w:jc w:val="center"/>
            </w:pPr>
            <w:r>
              <w:drawing>
                <wp:inline>
                  <wp:extent cx="5334000" cy="4267200"/>
                  <wp:effectExtent b="0" l="0" r="0" t="0"/>
                  <wp:docPr descr="" title="" id="60" name="Picture"/>
                  <a:graphic>
                    <a:graphicData uri="http://schemas.openxmlformats.org/drawingml/2006/picture">
                      <pic:pic>
                        <pic:nvPicPr>
                          <pic:cNvPr descr="figures/ema_3.jpe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2"/>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3"/>
    <w:bookmarkEnd w:id="64"/>
    <w:bookmarkEnd w:id="65"/>
    <w:bookmarkStart w:id="72" w:name="discussion"/>
    <w:p>
      <w:pPr>
        <w:pStyle w:val="Heading2"/>
      </w:pPr>
      <w:r>
        <w:t xml:space="preserve">2.4 Discussion</w:t>
      </w:r>
    </w:p>
    <w:bookmarkStart w:id="66"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6"/>
    <w:bookmarkStart w:id="67"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7"/>
    <w:bookmarkStart w:id="70" w:name="Xf6ca54159972f4f7729ee08f27d71911bd3ae56"/>
    <w:p>
      <w:pPr>
        <w:pStyle w:val="Heading3"/>
      </w:pPr>
      <w:r>
        <w:t xml:space="preserve">2.4.3 Considerations for Clinical Implementation</w:t>
      </w:r>
    </w:p>
    <w:bookmarkStart w:id="68"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8"/>
    <w:bookmarkStart w:id="69"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9"/>
    <w:bookmarkEnd w:id="70"/>
    <w:bookmarkStart w:id="71"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71"/>
    <w:bookmarkEnd w:id="72"/>
    <w:bookmarkEnd w:id="73"/>
    <w:bookmarkStart w:id="74" w:name="Xa9dab75cb028dec3684db25ff70acaea84b1b87"/>
    <w:p>
      <w:pPr>
        <w:pStyle w:val="Heading1"/>
      </w:pPr>
      <w:r>
        <w:t xml:space="preserve">3. Lagged predictions of next day alcohol lapse risk for personalized and adaptive continuing care support</w:t>
      </w:r>
    </w:p>
    <w:bookmarkEnd w:id="74"/>
    <w:bookmarkStart w:id="75"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5"/>
    <w:bookmarkStart w:id="101" w:name="methods"/>
    <w:p>
      <w:pPr>
        <w:pStyle w:val="Heading1"/>
      </w:pPr>
      <w:r>
        <w:t xml:space="preserve">5. Methods</w:t>
      </w:r>
    </w:p>
    <w:bookmarkStart w:id="78"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6">
        <w:r>
          <w:rPr>
            <w:rStyle w:val="Hyperlink"/>
          </w:rPr>
          <w:t xml:space="preserve">https://osf.io/xta67/</w:t>
        </w:r>
      </w:hyperlink>
      <w:r>
        <w:t xml:space="preserve">). Our annotated analysis scripts and results are publicly available on our study website (</w:t>
      </w:r>
      <w:hyperlink r:id="rId77">
        <w:r>
          <w:rPr>
            <w:rStyle w:val="Hyperlink"/>
          </w:rPr>
          <w:t xml:space="preserve">https://jjcurtin.github.io/study_lag/</w:t>
        </w:r>
      </w:hyperlink>
      <w:r>
        <w:t xml:space="preserve">).</w:t>
      </w:r>
    </w:p>
    <w:bookmarkEnd w:id="78"/>
    <w:bookmarkStart w:id="79"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9"/>
    <w:bookmarkStart w:id="80"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80"/>
    <w:bookmarkStart w:id="81"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1"/>
    <w:bookmarkStart w:id="84" w:name="measures-1"/>
    <w:p>
      <w:pPr>
        <w:pStyle w:val="Heading2"/>
      </w:pPr>
      <w:r>
        <w:t xml:space="preserve">5.5 Measures</w:t>
      </w:r>
    </w:p>
    <w:bookmarkStart w:id="82"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2"/>
    <w:bookmarkStart w:id="83"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6">
        <w:r>
          <w:rPr>
            <w:rStyle w:val="Hyperlink"/>
          </w:rPr>
          <w:t xml:space="preserve">https://osf.io/xta67/</w:t>
        </w:r>
      </w:hyperlink>
      <w:r>
        <w:t xml:space="preserve">).</w:t>
      </w:r>
    </w:p>
    <w:bookmarkEnd w:id="83"/>
    <w:bookmarkEnd w:id="84"/>
    <w:bookmarkStart w:id="100"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90"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9" w:name="cell-fig-method"/>
    <w:tbl>
      <w:tblPr>
        <w:tblStyle w:val="Table"/>
        <w:tblW w:type="pct" w:w="5000"/>
        <w:tblLayout w:type="fixed"/>
        <w:tblLook w:firstRow="0" w:lastRow="0" w:firstColumn="0" w:lastColumn="0" w:noHBand="0" w:noVBand="0" w:val="0000"/>
      </w:tblPr>
      <w:tblGrid>
        <w:gridCol w:w="7920"/>
      </w:tblGrid>
      <w:tr>
        <w:tc>
          <w:tcPr/>
          <w:bookmarkStart w:id="88" w:name="fig-method"/>
          <w:p>
            <w:pPr>
              <w:pStyle w:val="Compact"/>
              <w:jc w:val="center"/>
            </w:pPr>
            <w:r>
              <w:drawing>
                <wp:inline>
                  <wp:extent cx="5334000" cy="4240840"/>
                  <wp:effectExtent b="0" l="0" r="0" t="0"/>
                  <wp:docPr descr="" title="" id="86" name="Picture"/>
                  <a:graphic>
                    <a:graphicData uri="http://schemas.openxmlformats.org/drawingml/2006/picture">
                      <pic:pic>
                        <pic:nvPicPr>
                          <pic:cNvPr descr="figures/methods.png" id="87" name="Picture"/>
                          <pic:cNvPicPr>
                            <a:picLocks noChangeArrowheads="1" noChangeAspect="1"/>
                          </pic:cNvPicPr>
                        </pic:nvPicPr>
                        <pic:blipFill>
                          <a:blip r:embed="rId85"/>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9"/>
    <w:bookmarkEnd w:id="90"/>
    <w:bookmarkStart w:id="91"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1"/>
    <w:bookmarkStart w:id="92"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2"/>
    <w:bookmarkStart w:id="93"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3"/>
    <w:bookmarkStart w:id="94"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4"/>
    <w:bookmarkStart w:id="95"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5"/>
    <w:bookmarkStart w:id="96"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6"/>
    <w:bookmarkStart w:id="97"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7"/>
    <w:bookmarkStart w:id="98"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8"/>
    <w:bookmarkStart w:id="99"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9"/>
    <w:bookmarkEnd w:id="100"/>
    <w:bookmarkEnd w:id="101"/>
    <w:bookmarkStart w:id="136" w:name="results-1"/>
    <w:p>
      <w:pPr>
        <w:pStyle w:val="Heading1"/>
      </w:pPr>
      <w:r>
        <w:t xml:space="preserve">6. Results</w:t>
      </w:r>
    </w:p>
    <w:bookmarkStart w:id="103"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2" w:name="tbl-dem"/>
          <w:p>
            <w:pPr>
              <w:jc w:val="center"/>
            </w:pPr>
            <w:pPr>
              <w:jc w:val="left"/>
              <w:spacing w:before="200"/>
              <w:pStyle w:val="ImageCaption"/>
            </w:pPr>
            <w:r>
              <w:t xml:space="preserve">Table 3: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2"/>
          <w:p/>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All Tables for Dissertation</w:t>
        </w:r>
      </w:hyperlink>
    </w:p>
    <w:bookmarkEnd w:id="103"/>
    <w:bookmarkStart w:id="109"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7" w:name="fig-2-lag"/>
          <w:p>
            <w:pPr>
              <w:pStyle w:val="Compact"/>
              <w:jc w:val="center"/>
            </w:pPr>
            <w:r>
              <w:drawing>
                <wp:inline>
                  <wp:extent cx="5334000" cy="5334000"/>
                  <wp:effectExtent b="0" l="0" r="0" t="0"/>
                  <wp:docPr descr="" title="" id="105" name="Picture"/>
                  <a:graphic>
                    <a:graphicData uri="http://schemas.openxmlformats.org/drawingml/2006/picture">
                      <pic:pic>
                        <pic:nvPicPr>
                          <pic:cNvPr descr="index_files/figure-docx/notebooks-figures-fig-2-lag-output-1.png" id="106" name="Picture"/>
                          <pic:cNvPicPr>
                            <a:picLocks noChangeArrowheads="1" noChangeAspect="1"/>
                          </pic:cNvPicPr>
                        </pic:nvPicPr>
                        <pic:blipFill>
                          <a:blip r:embed="rId104"/>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7"/>
        </w:tc>
      </w:tr>
    </w:tbl>
    <w:p>
      <w:pPr>
        <w:pStyle w:val="BodyText"/>
      </w:pPr>
      <w:r>
        <w:rPr>
          <w:vertAlign w:val="subscript"/>
        </w:rPr>
        <w:t xml:space="preserve">Source:</w:t>
      </w:r>
      <w:r>
        <w:rPr>
          <w:vertAlign w:val="subscript"/>
        </w:rPr>
        <w:t xml:space="preserve"> </w:t>
      </w:r>
      <w:hyperlink r:id="rId108">
        <w:r>
          <w:rPr>
            <w:rStyle w:val="Hyperlink"/>
            <w:vertAlign w:val="subscript"/>
          </w:rPr>
          <w:t xml:space="preserve">Make All Figures for Dissertation</w:t>
        </w:r>
      </w:hyperlink>
    </w:p>
    <w:bookmarkEnd w:id="109"/>
    <w:bookmarkStart w:id="112"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10"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pP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pP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pP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pP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10"/>
          <w:p/>
        </w:tc>
      </w:tr>
    </w:tbl>
    <w:p>
      <w:pPr>
        <w:pStyle w:val="BodyText"/>
      </w:pPr>
      <w:r>
        <w:rPr>
          <w:vertAlign w:val="subscript"/>
        </w:rPr>
        <w:t xml:space="preserve">Source:</w:t>
      </w:r>
      <w:r>
        <w:rPr>
          <w:vertAlign w:val="subscript"/>
        </w:rPr>
        <w:t xml:space="preserve"> </w:t>
      </w:r>
      <w:hyperlink r:id="rId111">
        <w:r>
          <w:rPr>
            <w:rStyle w:val="Hyperlink"/>
            <w:vertAlign w:val="subscript"/>
          </w:rPr>
          <w:t xml:space="preserve">Make All Tables for Dissertation</w:t>
        </w:r>
      </w:hyperlink>
    </w:p>
    <w:bookmarkEnd w:id="112"/>
    <w:bookmarkStart w:id="115"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3"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pP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pP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pP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3"/>
          <w:p/>
        </w:tc>
      </w:tr>
    </w:tbl>
    <w:p>
      <w:pPr>
        <w:pStyle w:val="BodyText"/>
      </w:pPr>
      <w:r>
        <w:rPr>
          <w:vertAlign w:val="subscript"/>
        </w:rPr>
        <w:t xml:space="preserve">Source:</w:t>
      </w:r>
      <w:r>
        <w:rPr>
          <w:vertAlign w:val="subscript"/>
        </w:rPr>
        <w:t xml:space="preserve"> </w:t>
      </w:r>
      <w:hyperlink r:id="rId114">
        <w:r>
          <w:rPr>
            <w:rStyle w:val="Hyperlink"/>
            <w:vertAlign w:val="subscript"/>
          </w:rPr>
          <w:t xml:space="preserve">Make All Tables for Dissertation</w:t>
        </w:r>
      </w:hyperlink>
    </w:p>
    <w:bookmarkEnd w:id="115"/>
    <w:bookmarkStart w:id="121"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9" w:name="fig-cal"/>
          <w:p>
            <w:pPr>
              <w:pStyle w:val="Compact"/>
              <w:jc w:val="center"/>
            </w:pPr>
            <w:r>
              <w:drawing>
                <wp:inline>
                  <wp:extent cx="5334000" cy="5334000"/>
                  <wp:effectExtent b="0" l="0" r="0" t="0"/>
                  <wp:docPr descr="" title="" id="117" name="Picture"/>
                  <a:graphic>
                    <a:graphicData uri="http://schemas.openxmlformats.org/drawingml/2006/picture">
                      <pic:pic>
                        <pic:nvPicPr>
                          <pic:cNvPr descr="index_files/figure-docx/notebooks-figures-fig-cal-output-1.png" id="118" name="Picture"/>
                          <pic:cNvPicPr>
                            <a:picLocks noChangeArrowheads="1" noChangeAspect="1"/>
                          </pic:cNvPicPr>
                        </pic:nvPicPr>
                        <pic:blipFill>
                          <a:blip r:embed="rId11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9"/>
        </w:tc>
      </w:tr>
    </w:tbl>
    <w:p>
      <w:pPr>
        <w:pStyle w:val="BodyText"/>
      </w:pPr>
      <w:r>
        <w:rPr>
          <w:vertAlign w:val="subscript"/>
        </w:rPr>
        <w:t xml:space="preserve">Source:</w:t>
      </w:r>
      <w:r>
        <w:rPr>
          <w:vertAlign w:val="subscript"/>
        </w:rPr>
        <w:t xml:space="preserve"> </w:t>
      </w:r>
      <w:hyperlink r:id="rId120">
        <w:r>
          <w:rPr>
            <w:rStyle w:val="Hyperlink"/>
            <w:vertAlign w:val="subscript"/>
          </w:rPr>
          <w:t xml:space="preserve">Make All Figures for Dissertation</w:t>
        </w:r>
      </w:hyperlink>
    </w:p>
    <w:bookmarkEnd w:id="121"/>
    <w:bookmarkStart w:id="127"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5" w:name="fig-4-lag"/>
          <w:p>
            <w:pPr>
              <w:pStyle w:val="Compact"/>
              <w:jc w:val="center"/>
            </w:pPr>
            <w:r>
              <w:drawing>
                <wp:inline>
                  <wp:extent cx="5334000" cy="3333749"/>
                  <wp:effectExtent b="0" l="0" r="0" t="0"/>
                  <wp:docPr descr="" title="" id="123" name="Picture"/>
                  <a:graphic>
                    <a:graphicData uri="http://schemas.openxmlformats.org/drawingml/2006/picture">
                      <pic:pic>
                        <pic:nvPicPr>
                          <pic:cNvPr descr="index_files/figure-docx/notebooks-figures-fig-4-lag-output-1.png" id="124" name="Picture"/>
                          <pic:cNvPicPr>
                            <a:picLocks noChangeArrowheads="1" noChangeAspect="1"/>
                          </pic:cNvPicPr>
                        </pic:nvPicPr>
                        <pic:blipFill>
                          <a:blip r:embed="rId122"/>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5"/>
        </w:tc>
      </w:tr>
    </w:tbl>
    <w:p>
      <w:pPr>
        <w:pStyle w:val="BodyText"/>
      </w:pPr>
      <w:r>
        <w:rPr>
          <w:vertAlign w:val="subscript"/>
        </w:rPr>
        <w:t xml:space="preserve">Source:</w:t>
      </w:r>
      <w:r>
        <w:rPr>
          <w:vertAlign w:val="subscript"/>
        </w:rPr>
        <w:t xml:space="preserve"> </w:t>
      </w:r>
      <w:hyperlink r:id="rId126">
        <w:r>
          <w:rPr>
            <w:rStyle w:val="Hyperlink"/>
            <w:vertAlign w:val="subscript"/>
          </w:rPr>
          <w:t xml:space="preserve">Make All Figures for Dissertation</w:t>
        </w:r>
      </w:hyperlink>
    </w:p>
    <w:bookmarkEnd w:id="127"/>
    <w:bookmarkStart w:id="135" w:name="discussion-1"/>
    <w:p>
      <w:pPr>
        <w:pStyle w:val="Heading2"/>
      </w:pPr>
      <w:r>
        <w:t xml:space="preserve">6.7 Discussion</w:t>
      </w:r>
    </w:p>
    <w:bookmarkStart w:id="128"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8"/>
    <w:bookmarkStart w:id="129"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9"/>
    <w:bookmarkStart w:id="132" w:name="model-characterization-1"/>
    <w:p>
      <w:pPr>
        <w:pStyle w:val="Heading3"/>
      </w:pPr>
      <w:r>
        <w:t xml:space="preserve">6.7.3 Model Characterization</w:t>
      </w:r>
    </w:p>
    <w:bookmarkStart w:id="130"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30"/>
    <w:bookmarkStart w:id="131"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1"/>
    <w:bookmarkEnd w:id="132"/>
    <w:bookmarkStart w:id="133"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3"/>
    <w:bookmarkStart w:id="134"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134"/>
    <w:bookmarkEnd w:id="135"/>
    <w:bookmarkEnd w:id="136"/>
    <w:bookmarkStart w:id="194"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7"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7"/>
    <w:bookmarkStart w:id="158" w:name="methods-1"/>
    <w:p>
      <w:pPr>
        <w:pStyle w:val="Heading2"/>
      </w:pPr>
      <w:r>
        <w:t xml:space="preserve">7.2 Methods</w:t>
      </w:r>
    </w:p>
    <w:bookmarkStart w:id="140"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8">
        <w:r>
          <w:rPr>
            <w:rStyle w:val="Hyperlink"/>
          </w:rPr>
          <w:t xml:space="preserve">https://osf.io/zvm7s/overview</w:t>
        </w:r>
      </w:hyperlink>
      <w:r>
        <w:t xml:space="preserve">) and our annotated analysis scripts and results are publicly available on our study website (</w:t>
      </w:r>
      <w:hyperlink r:id="rId139">
        <w:r>
          <w:rPr>
            <w:rStyle w:val="Hyperlink"/>
          </w:rPr>
          <w:t xml:space="preserve">https://jjcurtin.github.io/study_risk2/</w:t>
        </w:r>
      </w:hyperlink>
      <w:r>
        <w:t xml:space="preserve">).</w:t>
      </w:r>
      <w:r>
        <w:t xml:space="preserve"> </w:t>
      </w:r>
    </w:p>
    <w:bookmarkEnd w:id="140"/>
    <w:bookmarkStart w:id="141" w:name="participants-2"/>
    <w:p>
      <w:pPr>
        <w:pStyle w:val="Heading3"/>
      </w:pPr>
      <w:r>
        <w:t xml:space="preserve">7.2.2 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1"/>
    <w:bookmarkStart w:id="144"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2"/>
      </w:r>
      <w:r>
        <w:t xml:space="preserve">, and $5 per month for sharing geolocation data.</w:t>
      </w:r>
      <w:r>
        <w:rPr>
          <w:rStyle w:val="FootnoteReference"/>
        </w:rPr>
        <w:footnoteReference w:id="143"/>
      </w:r>
      <w:r>
        <w:t xml:space="preserve"> </w:t>
      </w:r>
      <w:r>
        <w:t xml:space="preserve">Participants were also paid $50 per month to offset the cost of maintaining a cellphone data plan.</w:t>
      </w:r>
    </w:p>
    <w:bookmarkEnd w:id="144"/>
    <w:bookmarkStart w:id="148" w:name="measures-2"/>
    <w:p>
      <w:pPr>
        <w:pStyle w:val="Heading3"/>
      </w:pPr>
      <w:r>
        <w:t xml:space="preserve">7.2.4 Measures</w:t>
      </w:r>
    </w:p>
    <w:bookmarkStart w:id="145"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5"/>
    <w:bookmarkStart w:id="146"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6"/>
    <w:bookmarkStart w:id="147"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7"/>
    <w:bookmarkEnd w:id="148"/>
    <w:bookmarkStart w:id="157"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9"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9"/>
    <w:bookmarkStart w:id="150"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50"/>
    <w:bookmarkStart w:id="151"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1"/>
    <w:bookmarkStart w:id="152"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2"/>
    <w:bookmarkStart w:id="155"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3"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3"/>
    <w:bookmarkStart w:id="154"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4"/>
    <w:bookmarkEnd w:id="155"/>
    <w:bookmarkStart w:id="156"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6"/>
    <w:bookmarkEnd w:id="157"/>
    <w:bookmarkEnd w:id="158"/>
    <w:bookmarkStart w:id="192" w:name="results-2"/>
    <w:p>
      <w:pPr>
        <w:pStyle w:val="Heading2"/>
      </w:pPr>
      <w:r>
        <w:t xml:space="preserve">7.3 Results</w:t>
      </w:r>
    </w:p>
    <w:bookmarkStart w:id="163"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9"/>
      </w:r>
      <w:r>
        <w:t xml:space="preserve"> </w:t>
      </w:r>
      <w:r>
        <w:t xml:space="preserve">Of these 330, 14 were excluded for not providing at least 28 days of EMA data with acceptable adherence</w:t>
      </w:r>
      <w:r>
        <w:rPr>
          <w:rStyle w:val="FootnoteReference"/>
        </w:rPr>
        <w:footnoteReference w:id="160"/>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1"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1"/>
          <w:p/>
        </w:tc>
      </w:tr>
    </w:tbl>
    <w:p>
      <w:pPr>
        <w:pStyle w:val="BodyText"/>
      </w:pPr>
      <w:r>
        <w:rPr>
          <w:vertAlign w:val="subscript"/>
        </w:rPr>
        <w:t xml:space="preserve">Source:</w:t>
      </w:r>
      <w:r>
        <w:rPr>
          <w:vertAlign w:val="subscript"/>
        </w:rPr>
        <w:t xml:space="preserve"> </w:t>
      </w:r>
      <w:hyperlink r:id="rId162">
        <w:r>
          <w:rPr>
            <w:rStyle w:val="Hyperlink"/>
            <w:vertAlign w:val="subscript"/>
          </w:rPr>
          <w:t xml:space="preserve">Make All Tables for Dissertation</w:t>
        </w:r>
      </w:hyperlink>
    </w:p>
    <w:bookmarkEnd w:id="163"/>
    <w:bookmarkStart w:id="164"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4"/>
    <w:bookmarkStart w:id="172"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5"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5"/>
          <w:p/>
        </w:tc>
      </w:tr>
    </w:tbl>
    <w:p>
      <w:pPr>
        <w:pStyle w:val="BodyText"/>
      </w:pPr>
      <w:r>
        <w:rPr>
          <w:vertAlign w:val="subscript"/>
        </w:rPr>
        <w:t xml:space="preserve">Source:</w:t>
      </w:r>
      <w:r>
        <w:rPr>
          <w:vertAlign w:val="subscript"/>
        </w:rPr>
        <w:t xml:space="preserve"> </w:t>
      </w:r>
      <w:hyperlink r:id="rId166">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0" w:name="fig-1"/>
          <w:p>
            <w:pPr>
              <w:pStyle w:val="Compact"/>
              <w:jc w:val="center"/>
            </w:pPr>
            <w:r>
              <w:drawing>
                <wp:inline>
                  <wp:extent cx="5334000" cy="3810000"/>
                  <wp:effectExtent b="0" l="0" r="0" t="0"/>
                  <wp:docPr descr="" title="" id="168" name="Picture"/>
                  <a:graphic>
                    <a:graphicData uri="http://schemas.openxmlformats.org/drawingml/2006/picture">
                      <pic:pic>
                        <pic:nvPicPr>
                          <pic:cNvPr descr="index_files/figure-docx/notebooks-figures-fig-1-output-2.png" id="169" name="Picture"/>
                          <pic:cNvPicPr>
                            <a:picLocks noChangeArrowheads="1" noChangeAspect="1"/>
                          </pic:cNvPicPr>
                        </pic:nvPicPr>
                        <pic:blipFill>
                          <a:blip r:embed="rId16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70"/>
        </w:tc>
      </w:tr>
    </w:tbl>
    <w:p>
      <w:pPr>
        <w:pStyle w:val="BodyText"/>
      </w:pPr>
      <w:r>
        <w:rPr>
          <w:vertAlign w:val="subscript"/>
        </w:rPr>
        <w:t xml:space="preserve">Source:</w:t>
      </w:r>
      <w:r>
        <w:rPr>
          <w:vertAlign w:val="subscript"/>
        </w:rPr>
        <w:t xml:space="preserve"> </w:t>
      </w:r>
      <w:hyperlink r:id="rId171">
        <w:r>
          <w:rPr>
            <w:rStyle w:val="Hyperlink"/>
            <w:vertAlign w:val="subscript"/>
          </w:rPr>
          <w:t xml:space="preserve">Make All Figures for Dissertation</w:t>
        </w:r>
      </w:hyperlink>
    </w:p>
    <w:bookmarkEnd w:id="172"/>
    <w:bookmarkStart w:id="179"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3"/>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7" w:name="fig-2"/>
          <w:p>
            <w:pPr>
              <w:pStyle w:val="Compact"/>
              <w:jc w:val="center"/>
            </w:pPr>
            <w:r>
              <w:drawing>
                <wp:inline>
                  <wp:extent cx="5334000" cy="3333749"/>
                  <wp:effectExtent b="0" l="0" r="0" t="0"/>
                  <wp:docPr descr="" title="" id="175" name="Picture"/>
                  <a:graphic>
                    <a:graphicData uri="http://schemas.openxmlformats.org/drawingml/2006/picture">
                      <pic:pic>
                        <pic:nvPicPr>
                          <pic:cNvPr descr="index_files/figure-docx/notebooks-figures-fig-2-output-1.png" id="176" name="Picture"/>
                          <pic:cNvPicPr>
                            <a:picLocks noChangeArrowheads="1" noChangeAspect="1"/>
                          </pic:cNvPicPr>
                        </pic:nvPicPr>
                        <pic:blipFill>
                          <a:blip r:embed="rId174"/>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177"/>
        </w:tc>
      </w:tr>
    </w:tbl>
    <w:p>
      <w:pPr>
        <w:pStyle w:val="BodyText"/>
      </w:pPr>
      <w:r>
        <w:rPr>
          <w:vertAlign w:val="subscript"/>
        </w:rPr>
        <w:t xml:space="preserve">Source:</w:t>
      </w:r>
      <w:r>
        <w:rPr>
          <w:vertAlign w:val="subscript"/>
        </w:rPr>
        <w:t xml:space="preserve"> </w:t>
      </w:r>
      <w:hyperlink r:id="rId178">
        <w:r>
          <w:rPr>
            <w:rStyle w:val="Hyperlink"/>
            <w:vertAlign w:val="subscript"/>
          </w:rPr>
          <w:t xml:space="preserve">Make All Figures for Dissertation</w:t>
        </w:r>
      </w:hyperlink>
    </w:p>
    <w:bookmarkEnd w:id="179"/>
    <w:bookmarkStart w:id="191"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4" w:name="fig-3"/>
          <w:p>
            <w:pPr>
              <w:pStyle w:val="Compact"/>
              <w:jc w:val="center"/>
            </w:pPr>
            <w:bookmarkStart w:id="183" w:name="fig-3"/>
            <w:r>
              <w:drawing>
                <wp:inline>
                  <wp:extent cx="5334000" cy="3333749"/>
                  <wp:effectExtent b="0" l="0" r="0" t="0"/>
                  <wp:docPr descr="" title="" id="181" name="Picture"/>
                  <a:graphic>
                    <a:graphicData uri="http://schemas.openxmlformats.org/drawingml/2006/picture">
                      <pic:pic>
                        <pic:nvPicPr>
                          <pic:cNvPr descr="index_files/figure-docx/notebooks-figures-fig-3-output-1.png" id="182" name="Picture"/>
                          <pic:cNvPicPr>
                            <a:picLocks noChangeArrowheads="1" noChangeAspect="1"/>
                          </pic:cNvPicPr>
                        </pic:nvPicPr>
                        <pic:blipFill>
                          <a:blip r:embed="rId180"/>
                          <a:stretch>
                            <a:fillRect/>
                          </a:stretch>
                        </pic:blipFill>
                        <pic:spPr bwMode="auto">
                          <a:xfrm>
                            <a:off x="0" y="0"/>
                            <a:ext cx="5334000" cy="3333749"/>
                          </a:xfrm>
                          <a:prstGeom prst="rect">
                            <a:avLst/>
                          </a:prstGeom>
                          <a:noFill/>
                          <a:ln w="9525">
                            <a:noFill/>
                            <a:headEnd/>
                            <a:tailEnd/>
                          </a:ln>
                        </pic:spPr>
                      </pic:pic>
                    </a:graphicData>
                  </a:graphic>
                </wp:inline>
              </w:drawing>
            </w:r>
            <w:bookmarkEnd w:id="183"/>
          </w:p>
          <w:p>
            <w:pPr>
              <w:jc w:val="center"/>
            </w:pPr>
            <w:pPr>
              <w:jc w:val="left"/>
              <w:spacing w:before="200"/>
              <w:pStyle w:val="ImageCaption"/>
            </w:pPr>
            <w:r>
              <w:t xml:space="preserve">Figure 10</w:t>
            </w:r>
          </w:p>
          <w:bookmarkEnd w:id="184"/>
        </w:tc>
      </w:tr>
    </w:tbl>
    <w:p>
      <w:pPr>
        <w:pStyle w:val="BodyText"/>
      </w:pPr>
      <w:r>
        <w:rPr>
          <w:vertAlign w:val="subscript"/>
        </w:rPr>
        <w:t xml:space="preserve">Source:</w:t>
      </w:r>
      <w:r>
        <w:rPr>
          <w:vertAlign w:val="subscript"/>
        </w:rPr>
        <w:t xml:space="preserve"> </w:t>
      </w:r>
      <w:hyperlink r:id="rId185">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9" w:name="fig-4"/>
          <w:p>
            <w:pPr>
              <w:pStyle w:val="Compact"/>
              <w:jc w:val="center"/>
            </w:pPr>
            <w:r>
              <w:drawing>
                <wp:inline>
                  <wp:extent cx="5334000" cy="7467600"/>
                  <wp:effectExtent b="0" l="0" r="0" t="0"/>
                  <wp:docPr descr="" title="" id="187" name="Picture"/>
                  <a:graphic>
                    <a:graphicData uri="http://schemas.openxmlformats.org/drawingml/2006/picture">
                      <pic:pic>
                        <pic:nvPicPr>
                          <pic:cNvPr descr="index_files/figure-docx/notebooks-figures-fig-4-output-1.png" id="188" name="Picture"/>
                          <pic:cNvPicPr>
                            <a:picLocks noChangeArrowheads="1" noChangeAspect="1"/>
                          </pic:cNvPicPr>
                        </pic:nvPicPr>
                        <pic:blipFill>
                          <a:blip r:embed="rId18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9"/>
        </w:tc>
      </w:tr>
    </w:tbl>
    <w:p>
      <w:pPr>
        <w:pStyle w:val="BodyText"/>
      </w:pPr>
      <w:r>
        <w:rPr>
          <w:vertAlign w:val="subscript"/>
        </w:rPr>
        <w:t xml:space="preserve">Source:</w:t>
      </w:r>
      <w:r>
        <w:rPr>
          <w:vertAlign w:val="subscript"/>
        </w:rPr>
        <w:t xml:space="preserve"> </w:t>
      </w:r>
      <w:hyperlink r:id="rId190">
        <w:r>
          <w:rPr>
            <w:rStyle w:val="Hyperlink"/>
            <w:vertAlign w:val="subscript"/>
          </w:rPr>
          <w:t xml:space="preserve">Make All Figures for Dissertation</w:t>
        </w:r>
      </w:hyperlink>
    </w:p>
    <w:bookmarkEnd w:id="191"/>
    <w:bookmarkEnd w:id="192"/>
    <w:bookmarkStart w:id="193"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bookmarkEnd w:id="193"/>
    <w:bookmarkEnd w:id="194"/>
    <w:bookmarkStart w:id="204" w:name="discussion-3"/>
    <w:p>
      <w:pPr>
        <w:pStyle w:val="Heading1"/>
      </w:pPr>
      <w:r>
        <w:t xml:space="preserve">8. Discussion</w:t>
      </w:r>
    </w:p>
    <w:bookmarkStart w:id="197"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Start w:id="195" w:name="model-performance-2"/>
    <w:p>
      <w:pPr>
        <w:pStyle w:val="Heading3"/>
      </w:pPr>
      <w:r>
        <w:t xml:space="preserve">8.1.1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Several factors may explain this pattern. First, the AUD sample was geographically constrained (i.e., to the Madison, WI area), raising the possibility that local contextual factors uniquely influence lapse risk among women in this setting. Second, differences between substances may play a role. Opioid use is illegal and highly stigmatized, which may result in more equally elevated stigma across men and women. In contrast, alcohol use is broadly socially accepted, but there may be sex-specific circumstances where it is less accepted. Women may face distinct social pressures (e.g., childcare responsibilities) that intersect with AUD to increase internal and external experiences of stigma. These dynamics could affect measurement of both the outcome (e.g., women underreporting alcohol lapses compared to men) and the risk factors (e.g., failure to measure sex-specific risk-relevant experiences).</w:t>
      </w:r>
    </w:p>
    <w:bookmarkEnd w:id="195"/>
    <w:bookmarkStart w:id="196" w:name="important-features"/>
    <w:p>
      <w:pPr>
        <w:pStyle w:val="Heading3"/>
      </w:pPr>
      <w:r>
        <w:t xml:space="preserve">8.1.2 Important Features</w:t>
      </w:r>
    </w:p>
    <w:p>
      <w:pPr>
        <w:pStyle w:val="FirstParagraph"/>
      </w:pPr>
      <w:r>
        <w:t xml:space="preserve">When examining global feature importance (i.e., the average contribution of feature categories across all participants and observations),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 Craving/urges and abstinence self-efficacy/confidence also emerged as top features across all studies, suggesting they are important targets for intervention to support early recovery efforts.</w:t>
      </w:r>
    </w:p>
    <w:p>
      <w:pPr>
        <w:pStyle w:val="BodyText"/>
      </w:pPr>
      <w:r>
        <w:t xml:space="preserve">There were some noticeable differences across substances. Day of the prediction window influences lapse predictions for alcohol but not opioid lapses, potentially reflecting differences in normative patterns of use (e.g., weekend drinking vs. less patterned opioid use). Additionally, past pleasant events was the fourth most important EMA feature for opioid lapse risk, compared to the eighth most important EMA feature for alcohol lapse risk. Our partial dependence plot revealed a protective effect on opioid lapse risk. This is likely due to environmental contingencies around celebrations, recreational, social, and otherwise</w:t>
      </w:r>
      <w:r>
        <w:t xml:space="preserve"> </w:t>
      </w:r>
      <w:r>
        <w:t xml:space="preserve">“positive”</w:t>
      </w:r>
      <w:r>
        <w:t xml:space="preserve"> </w:t>
      </w:r>
      <w:r>
        <w:t xml:space="preserve">events. Alcohol is often integrated into these functions making these events higher risk for alcohol lapses compared to opioid lapses.</w:t>
      </w:r>
    </w:p>
    <w:p>
      <w:pPr>
        <w:pStyle w:val="BodyText"/>
      </w:pPr>
      <w:r>
        <w:t xml:space="preserve">We observed a diminished effect of the top EMA features when there was longer lag times between the prediction time 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w:t>
      </w:r>
    </w:p>
    <w:p>
      <w:pPr>
        <w:pStyle w:val="BodyText"/>
      </w:pPr>
      <w:r>
        <w:t xml:space="preserve">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dominant on a subset of days. Across studies, the proportion of day-level observations positive for lapse ranged from 1.8% to 7.7%. Therefore, when considering this model in the context of a recovery monitoring and support system that provides daily insight into lapse risk, features other than past use may, in most cases, represent more clinically meaningful targets for intervention.</w:t>
      </w:r>
    </w:p>
    <w:bookmarkEnd w:id="196"/>
    <w:bookmarkEnd w:id="197"/>
    <w:bookmarkStart w:id="198" w:name="limitations"/>
    <w:p>
      <w:pPr>
        <w:pStyle w:val="Heading2"/>
      </w:pPr>
      <w:r>
        <w:t xml:space="preserve">8.2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required to have a goal of abstinence. Although we see no inherent reason these models would not also perform well for individuals with a goal of moderation, this remains an empirical question. Future research should evaluate model performance in samples with moderation goals and increase representation of individuals with diverse recovery goals in training data.</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Given the heterogeneity in lapse risk and the complex interplay between environmental and individual factors, time series models that rely more heavily on an individual’s own data may outperform models trained solely at the group level.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8"/>
    <w:bookmarkStart w:id="202" w:name="recovery-monitoring-and-support-system-1"/>
    <w:p>
      <w:pPr>
        <w:pStyle w:val="Heading2"/>
      </w:pPr>
      <w:r>
        <w:t xml:space="preserve">8.3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empirical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leveraged to inform personalized recovery support strategies.</w:t>
      </w:r>
    </w:p>
    <w:bookmarkStart w:id="199" w:name="X7426dc6c09fde6e15128813eef54ac8f46dd66f"/>
    <w:p>
      <w:pPr>
        <w:pStyle w:val="Heading3"/>
      </w:pPr>
      <w:r>
        <w:t xml:space="preserve">8.3.1 Immediate and Lagged Models as Complementary Support Tools</w:t>
      </w:r>
    </w:p>
    <w:p>
      <w:pPr>
        <w:pStyle w:val="FirstParagraph"/>
      </w:pPr>
      <w:r>
        <w:t xml:space="preserve">Immediate lapse prediction models are well suited to guiding individuals toward actionable, in-the-moment strategies to maintain recovery goals. These models can support individuals in both selecting and implementing coping responses by directing them to targeted interventions, such as specific app-based modules or brief skills exercises. For example, when an individual’s immediate risk is driven by elevated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bookmarkEnd w:id="199"/>
    <w:bookmarkStart w:id="200" w:name="communicating-model-output-to-patients"/>
    <w:p>
      <w:pPr>
        <w:pStyle w:val="Heading3"/>
      </w:pPr>
      <w:r>
        <w:t xml:space="preserve">8.3.2 Communicating Model Output to Patients</w:t>
      </w:r>
    </w:p>
    <w:p>
      <w:pPr>
        <w:pStyle w:val="FirstParagraph"/>
      </w:pPr>
      <w:r>
        <w:t xml:space="preserve">A central challenge for translating lapse prediction models into clinical impact is determining how to effectively communicate model outputs to individuals. Our models generate quantitative predictions of lapse probability, which can also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may be difficult for patients to interpret intuitively (e.g., distinguishing the practical meaning of a 79% versus a 64% lapse probability).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“black box” machine learning systems, such as by revealing contributing factors, can improve perceived credibility and user acceptance. In the context of recovery monitoring, selective transparency may also promote self-awareness and learning, potentially yielding additional clinical benefits. At the same time, overly detailed or complex explanations may undermine confidence by exposing model uncertainty, revealing occasional errors, or burdening users with unnecessary information. Thus, determining the optimal balance between transparency and simplicity remains an open empirical question.</w:t>
      </w:r>
    </w:p>
    <w:p>
      <w:pPr>
        <w:pStyle w:val="BodyText"/>
      </w:pPr>
      <w:r>
        <w:t xml:space="preserve">To address this gap, we have recently launched an NIAAA-funded study focused on optimizing daily support messages delivered by a recovery monitoring system. This work experimentally examines how key message components, including lapse probability, locally important features, risk-relevant recovery activity recommendations, and linguistic style and tone, affect engagement, trust, and clinical outcomes. The goal of this research is to generate clear, data-driven guidance for designing feedback that is both acceptable and effective.</w:t>
      </w:r>
    </w:p>
    <w:bookmarkEnd w:id="200"/>
    <w:bookmarkStart w:id="201" w:name="final-future-considerations"/>
    <w:p>
      <w:pPr>
        <w:pStyle w:val="Heading3"/>
      </w:pPr>
      <w:r>
        <w:t xml:space="preserve">8.3.3 Final Future Considerations</w:t>
      </w:r>
    </w:p>
    <w:p>
      <w:pPr>
        <w:pStyle w:val="FirstParagraph"/>
      </w:pPr>
      <w:r>
        <w:t xml:space="preserve">From an implementation perspective,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In our next immediate steps, we have begun to feed our model outputs as inputs to a large language model (LLM) to generate personalized messages. However, in the near future, we might use these model outputs into a more fully agentic AI system capable of dynamically delivering personalized recommendations, engaging individuals in interactive problem-solving, facilitating connections to therapists or peer supports, and initiating triage processes when risk reaches clinically concerning levels.</w:t>
      </w:r>
    </w:p>
    <w:p>
      <w:pPr>
        <w:pStyle w:val="BodyText"/>
      </w:pPr>
      <w:r>
        <w:t xml:space="preserve">Finally, these technological advances must be situated within the broader continuum of care and the structural realities of treatment access. Many individuals face significant barriers to accessing timely, consistent substance use treatment and recovery supports. While AI-based systems are not a solution to these structural challenges, they may play a complementary role by helping individuals navigate available resources, optimize limited clinical contacts, and extend the reach of human-delivered care. Viewed in this way, predictive modeling and AI-driven support systems offer a promising avenue for enhancing comprehensive precision care.</w:t>
      </w:r>
    </w:p>
    <w:bookmarkEnd w:id="201"/>
    <w:bookmarkEnd w:id="202"/>
    <w:bookmarkStart w:id="203" w:name="conclusions-1"/>
    <w:p>
      <w:pPr>
        <w:pStyle w:val="Heading2"/>
      </w:pPr>
      <w:r>
        <w:t xml:space="preserve">8.4 Conclusions</w:t>
      </w:r>
    </w:p>
    <w:p>
      <w:pPr>
        <w:pStyle w:val="FirstParagraph"/>
      </w:pPr>
      <w:r>
        <w:t xml:space="preserve">Collectively, these studies demonstrated that it is feasible to (1) collect temporally dense, recovery‑relevant data, (2) predict lapse risk at clinically meaningful time scales with interpretable models, and (3) do so in a way that supports equitable performance across diverse populations. Thus, these studied lay the groundwork for an automated recovery monitoring and support system to enhance continuing care following SUD treatment initiation.</w:t>
      </w:r>
    </w:p>
    <w:bookmarkEnd w:id="203"/>
    <w:bookmarkEnd w:id="204"/>
    <w:bookmarkStart w:id="453" w:name="references"/>
    <w:p>
      <w:pPr>
        <w:pStyle w:val="Heading1"/>
      </w:pPr>
      <w:r>
        <w:t xml:space="preserve">9. References</w:t>
      </w:r>
    </w:p>
    <w:bookmarkStart w:id="452" w:name="refs"/>
    <w:bookmarkStart w:id="206"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5">
        <w:r>
          <w:rPr>
            <w:rStyle w:val="Hyperlink"/>
          </w:rPr>
          <w:t xml:space="preserve">https://doi.org/10.1007/s40429-023-00492-5</w:t>
        </w:r>
      </w:hyperlink>
    </w:p>
    <w:bookmarkEnd w:id="206"/>
    <w:bookmarkStart w:id="207"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7"/>
    <w:bookmarkStart w:id="208"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8"/>
    <w:bookmarkStart w:id="210"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9">
        <w:r>
          <w:rPr>
            <w:rStyle w:val="Hyperlink"/>
          </w:rPr>
          <w:t xml:space="preserve">https://doi.org/10.2196/39862</w:t>
        </w:r>
      </w:hyperlink>
    </w:p>
    <w:bookmarkEnd w:id="210"/>
    <w:bookmarkStart w:id="212"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11">
        <w:r>
          <w:rPr>
            <w:rStyle w:val="Hyperlink"/>
          </w:rPr>
          <w:t xml:space="preserve">https://doi.org/10.1016/j.addbeh.2017.11.039</w:t>
        </w:r>
      </w:hyperlink>
    </w:p>
    <w:bookmarkEnd w:id="212"/>
    <w:bookmarkStart w:id="214"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13">
        <w:r>
          <w:rPr>
            <w:rStyle w:val="Hyperlink"/>
          </w:rPr>
          <w:t xml:space="preserve">https://doi.org/10.1007/s10488-016-0718-5</w:t>
        </w:r>
      </w:hyperlink>
    </w:p>
    <w:bookmarkEnd w:id="214"/>
    <w:bookmarkStart w:id="215"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5"/>
    <w:bookmarkStart w:id="216"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6"/>
    <w:bookmarkStart w:id="218"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7">
        <w:r>
          <w:rPr>
            <w:rStyle w:val="Hyperlink"/>
          </w:rPr>
          <w:t xml:space="preserve">https://doi.org/10.1001/jamapsychiatry.2013.4546</w:t>
        </w:r>
      </w:hyperlink>
    </w:p>
    <w:bookmarkEnd w:id="218"/>
    <w:bookmarkStart w:id="220"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9">
        <w:r>
          <w:rPr>
            <w:rStyle w:val="Hyperlink"/>
          </w:rPr>
          <w:t xml:space="preserve">https://doi.org/10.1146/annurev.clinpsy.3.022806.091455</w:t>
        </w:r>
      </w:hyperlink>
    </w:p>
    <w:bookmarkEnd w:id="220"/>
    <w:bookmarkStart w:id="222"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21">
        <w:r>
          <w:rPr>
            <w:rStyle w:val="Hyperlink"/>
          </w:rPr>
          <w:t xml:space="preserve">https://doi.org/10.1016/j.drugalcdep.2022.109362</w:t>
        </w:r>
      </w:hyperlink>
    </w:p>
    <w:bookmarkEnd w:id="222"/>
    <w:bookmarkStart w:id="224"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3">
        <w:r>
          <w:rPr>
            <w:rStyle w:val="Hyperlink"/>
          </w:rPr>
          <w:t xml:space="preserve">https://doi.org/10.1111/ajad.12784</w:t>
        </w:r>
      </w:hyperlink>
    </w:p>
    <w:bookmarkEnd w:id="224"/>
    <w:bookmarkStart w:id="226"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5">
        <w:r>
          <w:rPr>
            <w:rStyle w:val="Hyperlink"/>
          </w:rPr>
          <w:t xml:space="preserve">https://doi.org/10.1176/appi.ajp.2014.13081055</w:t>
        </w:r>
      </w:hyperlink>
    </w:p>
    <w:bookmarkEnd w:id="226"/>
    <w:bookmarkStart w:id="228"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7">
        <w:r>
          <w:rPr>
            <w:rStyle w:val="Hyperlink"/>
          </w:rPr>
          <w:t xml:space="preserve">https://doi.org/10.21231/GNT1-HW21</w:t>
        </w:r>
      </w:hyperlink>
    </w:p>
    <w:bookmarkEnd w:id="228"/>
    <w:bookmarkStart w:id="229"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9"/>
    <w:bookmarkStart w:id="230"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30"/>
    <w:bookmarkStart w:id="232"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1">
        <w:r>
          <w:rPr>
            <w:rStyle w:val="Hyperlink"/>
          </w:rPr>
          <w:t xml:space="preserve">https://doi.org/10.1016/j.jsat.2013.08.004</w:t>
        </w:r>
      </w:hyperlink>
    </w:p>
    <w:bookmarkEnd w:id="232"/>
    <w:bookmarkStart w:id="234"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3">
        <w:r>
          <w:rPr>
            <w:rStyle w:val="Hyperlink"/>
          </w:rPr>
          <w:t xml:space="preserve">https://doi.org/10.1016/j.drugalcdep.2014.10.004</w:t>
        </w:r>
      </w:hyperlink>
    </w:p>
    <w:bookmarkEnd w:id="234"/>
    <w:bookmarkStart w:id="236"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5">
        <w:r>
          <w:rPr>
            <w:rStyle w:val="Hyperlink"/>
          </w:rPr>
          <w:t xml:space="preserve">https://doi.org/10.1136/bmj-2023-078378</w:t>
        </w:r>
      </w:hyperlink>
    </w:p>
    <w:bookmarkEnd w:id="236"/>
    <w:bookmarkStart w:id="23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7">
        <w:r>
          <w:rPr>
            <w:rStyle w:val="Hyperlink"/>
          </w:rPr>
          <w:t xml:space="preserve">https://doi.org/10.1007/978-3-319-72206-1</w:t>
        </w:r>
      </w:hyperlink>
    </w:p>
    <w:bookmarkEnd w:id="238"/>
    <w:bookmarkStart w:id="24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9">
        <w:r>
          <w:rPr>
            <w:rStyle w:val="Hyperlink"/>
          </w:rPr>
          <w:t xml:space="preserve">https://doi.org/10.1176/ps.62.11.pss6211_1273</w:t>
        </w:r>
      </w:hyperlink>
    </w:p>
    <w:bookmarkEnd w:id="240"/>
    <w:bookmarkStart w:id="24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1">
        <w:r>
          <w:rPr>
            <w:rStyle w:val="Hyperlink"/>
          </w:rPr>
          <w:t xml:space="preserve">https://doi.org/10.1093/oxfordhb/9780190067991.013.9</w:t>
        </w:r>
      </w:hyperlink>
    </w:p>
    <w:bookmarkEnd w:id="242"/>
    <w:bookmarkStart w:id="244"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3">
        <w:r>
          <w:rPr>
            <w:rStyle w:val="Hyperlink"/>
          </w:rPr>
          <w:t xml:space="preserve">https://doi.org/10.1007/s10862-017-9632-8</w:t>
        </w:r>
      </w:hyperlink>
    </w:p>
    <w:bookmarkEnd w:id="244"/>
    <w:bookmarkStart w:id="246" w:name="ref-dennisManagingAddictionChronic2007"/>
    <w:p>
      <w:pPr>
        <w:pStyle w:val="Bibliography"/>
      </w:pPr>
      <w:r>
        <w:t xml:space="preserve">Dennis, M., &amp; Scott, C. K. (2007).</w:t>
      </w:r>
      <w:r>
        <w:t xml:space="preserve"> </w:t>
      </w:r>
      <w:hyperlink r:id="rId245">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6"/>
    <w:bookmarkStart w:id="247"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7"/>
    <w:bookmarkStart w:id="249"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48">
        <w:r>
          <w:rPr>
            <w:rStyle w:val="Hyperlink"/>
          </w:rPr>
          <w:t xml:space="preserve">https://doi.org/10.1016/j.brat.2019.103506</w:t>
        </w:r>
      </w:hyperlink>
    </w:p>
    <w:bookmarkEnd w:id="249"/>
    <w:bookmarkStart w:id="251"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50">
        <w:r>
          <w:rPr>
            <w:rStyle w:val="Hyperlink"/>
          </w:rPr>
          <w:t xml:space="preserve">https://doi.org/10.48550/arXiv.1810.04805</w:t>
        </w:r>
      </w:hyperlink>
    </w:p>
    <w:bookmarkEnd w:id="251"/>
    <w:bookmarkStart w:id="253"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2">
        <w:r>
          <w:rPr>
            <w:rStyle w:val="Hyperlink"/>
          </w:rPr>
          <w:t xml:space="preserve">https://doi.org/10.1037/adb0000292</w:t>
        </w:r>
      </w:hyperlink>
    </w:p>
    <w:bookmarkEnd w:id="253"/>
    <w:bookmarkStart w:id="255"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4">
        <w:r>
          <w:rPr>
            <w:rStyle w:val="Hyperlink"/>
          </w:rPr>
          <w:t xml:space="preserve">https://doi.org/10.1016/j.cmpb.2016.09.016</w:t>
        </w:r>
      </w:hyperlink>
    </w:p>
    <w:bookmarkEnd w:id="255"/>
    <w:bookmarkStart w:id="257"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6">
        <w:r>
          <w:rPr>
            <w:rStyle w:val="Hyperlink"/>
          </w:rPr>
          <w:t xml:space="preserve">https://doi.org/10.1037/a0037157</w:t>
        </w:r>
      </w:hyperlink>
    </w:p>
    <w:bookmarkEnd w:id="257"/>
    <w:bookmarkStart w:id="259"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58">
        <w:r>
          <w:rPr>
            <w:rStyle w:val="Hyperlink"/>
          </w:rPr>
          <w:t xml:space="preserve">https://doi.org/10.1037/pha0000210</w:t>
        </w:r>
      </w:hyperlink>
    </w:p>
    <w:bookmarkEnd w:id="259"/>
    <w:bookmarkStart w:id="261"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60">
        <w:r>
          <w:rPr>
            <w:rStyle w:val="Hyperlink"/>
          </w:rPr>
          <w:t xml:space="preserve">https://doi.org/10.1037/abn0000819</w:t>
        </w:r>
      </w:hyperlink>
    </w:p>
    <w:bookmarkEnd w:id="261"/>
    <w:bookmarkStart w:id="262"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2"/>
    <w:bookmarkStart w:id="264"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3">
        <w:r>
          <w:rPr>
            <w:rStyle w:val="Hyperlink"/>
          </w:rPr>
          <w:t xml:space="preserve">https://doi.org/10/ghqvcw</w:t>
        </w:r>
      </w:hyperlink>
    </w:p>
    <w:bookmarkEnd w:id="264"/>
    <w:bookmarkStart w:id="266"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5">
        <w:r>
          <w:rPr>
            <w:rStyle w:val="Hyperlink"/>
          </w:rPr>
          <w:t xml:space="preserve">https://doi.org/10.5555/ajhb.2007.31.supp.S47</w:t>
        </w:r>
      </w:hyperlink>
    </w:p>
    <w:bookmarkEnd w:id="266"/>
    <w:bookmarkStart w:id="268"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7">
        <w:r>
          <w:rPr>
            <w:rStyle w:val="Hyperlink"/>
          </w:rPr>
          <w:t xml:space="preserve">https://doi.org/10.1037/ccp0000026</w:t>
        </w:r>
      </w:hyperlink>
    </w:p>
    <w:bookmarkEnd w:id="268"/>
    <w:bookmarkStart w:id="270"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69">
        <w:r>
          <w:rPr>
            <w:rStyle w:val="Hyperlink"/>
          </w:rPr>
          <w:t xml:space="preserve">https://doi.org/10.1016/j.brat.2019.01.010</w:t>
        </w:r>
      </w:hyperlink>
    </w:p>
    <w:bookmarkEnd w:id="270"/>
    <w:bookmarkStart w:id="272"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1">
        <w:r>
          <w:rPr>
            <w:rStyle w:val="Hyperlink"/>
          </w:rPr>
          <w:t xml:space="preserve">https://doi.org/10.1016/j.drugalcdep.2020.108350</w:t>
        </w:r>
      </w:hyperlink>
    </w:p>
    <w:bookmarkEnd w:id="272"/>
    <w:bookmarkStart w:id="274"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3">
        <w:r>
          <w:rPr>
            <w:rStyle w:val="Hyperlink"/>
          </w:rPr>
          <w:t xml:space="preserve">https://doi.org/10.1080/10826084.2021.1899225</w:t>
        </w:r>
      </w:hyperlink>
    </w:p>
    <w:bookmarkEnd w:id="274"/>
    <w:bookmarkStart w:id="276"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5">
        <w:r>
          <w:rPr>
            <w:rStyle w:val="Hyperlink"/>
          </w:rPr>
          <w:t xml:space="preserve">https://doi.org/10.1001/jama.2022.2847</w:t>
        </w:r>
      </w:hyperlink>
    </w:p>
    <w:bookmarkEnd w:id="276"/>
    <w:bookmarkStart w:id="278"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7">
        <w:r>
          <w:rPr>
            <w:rStyle w:val="Hyperlink"/>
          </w:rPr>
          <w:t xml:space="preserve">https://doi.org/10.1146/annurev-clinpsy-102419-125016</w:t>
        </w:r>
      </w:hyperlink>
    </w:p>
    <w:bookmarkEnd w:id="278"/>
    <w:bookmarkStart w:id="279"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79"/>
    <w:bookmarkStart w:id="280"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80"/>
    <w:bookmarkStart w:id="282"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1">
        <w:r>
          <w:rPr>
            <w:rStyle w:val="Hyperlink"/>
          </w:rPr>
          <w:t xml:space="preserve">https://doi.org/10.1001/jamapsychiatry.2015.0584</w:t>
        </w:r>
      </w:hyperlink>
    </w:p>
    <w:bookmarkEnd w:id="282"/>
    <w:bookmarkStart w:id="284"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3">
        <w:r>
          <w:rPr>
            <w:rStyle w:val="Hyperlink"/>
          </w:rPr>
          <w:t xml:space="preserve">https://doi.org/10.1016/j.drugalcdep.2006.05.012</w:t>
        </w:r>
      </w:hyperlink>
    </w:p>
    <w:bookmarkEnd w:id="284"/>
    <w:bookmarkStart w:id="286"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85">
        <w:r>
          <w:rPr>
            <w:rStyle w:val="Hyperlink"/>
          </w:rPr>
          <w:t xml:space="preserve">https://doi.org/10.1016/j.drugalcdep.2013.07.027</w:t>
        </w:r>
      </w:hyperlink>
    </w:p>
    <w:bookmarkEnd w:id="286"/>
    <w:bookmarkStart w:id="28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87">
        <w:r>
          <w:rPr>
            <w:rStyle w:val="Hyperlink"/>
          </w:rPr>
          <w:t xml:space="preserve">https://doi.org/10.1001/jamapsychiatry.2013.4642</w:t>
        </w:r>
      </w:hyperlink>
    </w:p>
    <w:bookmarkEnd w:id="288"/>
    <w:bookmarkStart w:id="290"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89">
        <w:r>
          <w:rPr>
            <w:rStyle w:val="Hyperlink"/>
          </w:rPr>
          <w:t xml:space="preserve">https://doi.org/10.1176/appi.ajp.21090963</w:t>
        </w:r>
      </w:hyperlink>
    </w:p>
    <w:bookmarkEnd w:id="290"/>
    <w:bookmarkStart w:id="291"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1"/>
    <w:bookmarkStart w:id="293"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2">
        <w:r>
          <w:rPr>
            <w:rStyle w:val="Hyperlink"/>
          </w:rPr>
          <w:t xml:space="preserve">https://doi.org/10.2196/mental.9777</w:t>
        </w:r>
      </w:hyperlink>
    </w:p>
    <w:bookmarkEnd w:id="293"/>
    <w:bookmarkStart w:id="294"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4"/>
    <w:bookmarkStart w:id="295"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295"/>
    <w:bookmarkStart w:id="297"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296">
        <w:r>
          <w:rPr>
            <w:rStyle w:val="Hyperlink"/>
          </w:rPr>
          <w:t xml:space="preserve">https://doi.org/10.1016/j.josat.2025.209685</w:t>
        </w:r>
      </w:hyperlink>
    </w:p>
    <w:bookmarkEnd w:id="297"/>
    <w:bookmarkStart w:id="299"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298">
        <w:r>
          <w:rPr>
            <w:rStyle w:val="Hyperlink"/>
          </w:rPr>
          <w:t xml:space="preserve">https://doi.org/10.1097/ADM.0000000000000312</w:t>
        </w:r>
      </w:hyperlink>
    </w:p>
    <w:bookmarkEnd w:id="299"/>
    <w:bookmarkStart w:id="300"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300"/>
    <w:bookmarkStart w:id="302"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1">
        <w:r>
          <w:rPr>
            <w:rStyle w:val="Hyperlink"/>
          </w:rPr>
          <w:t xml:space="preserve">https://doi.org/10.1145/1867699.1867704</w:t>
        </w:r>
      </w:hyperlink>
    </w:p>
    <w:bookmarkEnd w:id="302"/>
    <w:bookmarkStart w:id="303"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3"/>
    <w:bookmarkStart w:id="304"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4"/>
    <w:bookmarkStart w:id="306"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05">
        <w:r>
          <w:rPr>
            <w:rStyle w:val="Hyperlink"/>
          </w:rPr>
          <w:t xml:space="preserve">https://doi.org/10.1023/A:1008987426876</w:t>
        </w:r>
      </w:hyperlink>
    </w:p>
    <w:bookmarkEnd w:id="306"/>
    <w:bookmarkStart w:id="308"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07">
        <w:r>
          <w:rPr>
            <w:rStyle w:val="Hyperlink"/>
          </w:rPr>
          <w:t xml:space="preserve">https://doi.org/10/gfsjzg</w:t>
        </w:r>
      </w:hyperlink>
    </w:p>
    <w:bookmarkEnd w:id="308"/>
    <w:bookmarkStart w:id="309"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09"/>
    <w:bookmarkStart w:id="311"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10">
        <w:r>
          <w:rPr>
            <w:rStyle w:val="Hyperlink"/>
          </w:rPr>
          <w:t xml:space="preserve">https://doi.org/10.1016/j.drugalcdep.2016.10.038</w:t>
        </w:r>
      </w:hyperlink>
    </w:p>
    <w:bookmarkEnd w:id="311"/>
    <w:bookmarkStart w:id="313"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2">
        <w:r>
          <w:rPr>
            <w:rStyle w:val="Hyperlink"/>
          </w:rPr>
          <w:t xml:space="preserve">https://doi.org/10.1001/jamanetworkopen.2020.5852</w:t>
        </w:r>
      </w:hyperlink>
    </w:p>
    <w:bookmarkEnd w:id="313"/>
    <w:bookmarkStart w:id="315"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14">
        <w:r>
          <w:rPr>
            <w:rStyle w:val="Hyperlink"/>
          </w:rPr>
          <w:t xml:space="preserve">https://doi.org/10.1007/s11920-012-0296-5</w:t>
        </w:r>
      </w:hyperlink>
    </w:p>
    <w:bookmarkEnd w:id="315"/>
    <w:bookmarkStart w:id="317"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16">
        <w:r>
          <w:rPr>
            <w:rStyle w:val="Hyperlink"/>
          </w:rPr>
          <w:t xml:space="preserve">https://doi.org/10.1016/j.amepre.2019.08.034</w:t>
        </w:r>
      </w:hyperlink>
    </w:p>
    <w:bookmarkEnd w:id="317"/>
    <w:bookmarkStart w:id="319"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18">
        <w:r>
          <w:rPr>
            <w:rStyle w:val="Hyperlink"/>
          </w:rPr>
          <w:t xml:space="preserve">https://doi.org/10.1016/j.cger.2014.04.008</w:t>
        </w:r>
      </w:hyperlink>
    </w:p>
    <w:bookmarkEnd w:id="319"/>
    <w:bookmarkStart w:id="320"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20"/>
    <w:bookmarkStart w:id="322"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1">
        <w:r>
          <w:rPr>
            <w:rStyle w:val="Hyperlink"/>
          </w:rPr>
          <w:t xml:space="preserve">https://doi.org/10.1007/978-1-4614-6849-3</w:t>
        </w:r>
      </w:hyperlink>
    </w:p>
    <w:bookmarkEnd w:id="322"/>
    <w:bookmarkStart w:id="32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23"/>
    <w:bookmarkStart w:id="325"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24">
        <w:r>
          <w:rPr>
            <w:rStyle w:val="Hyperlink"/>
          </w:rPr>
          <w:t xml:space="preserve">https://doi.org/10.1214/17-EJS1338SI</w:t>
        </w:r>
      </w:hyperlink>
    </w:p>
    <w:bookmarkEnd w:id="325"/>
    <w:bookmarkStart w:id="327"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26">
        <w:r>
          <w:rPr>
            <w:rStyle w:val="Hyperlink"/>
          </w:rPr>
          <w:t xml:space="preserve">https://doi.org/10.1016/j.amepre.2022.08.022</w:t>
        </w:r>
      </w:hyperlink>
    </w:p>
    <w:bookmarkEnd w:id="327"/>
    <w:bookmarkStart w:id="328"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28"/>
    <w:bookmarkStart w:id="330"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29">
        <w:r>
          <w:rPr>
            <w:rStyle w:val="Hyperlink"/>
          </w:rPr>
          <w:t xml:space="preserve">https://doi.org/10.1080/00952990.2019.1694536</w:t>
        </w:r>
      </w:hyperlink>
    </w:p>
    <w:bookmarkEnd w:id="330"/>
    <w:bookmarkStart w:id="332"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31">
        <w:r>
          <w:rPr>
            <w:rStyle w:val="Hyperlink"/>
          </w:rPr>
          <w:t xml:space="preserve">https://doi.org/10.1111/jrh.70076</w:t>
        </w:r>
      </w:hyperlink>
    </w:p>
    <w:bookmarkEnd w:id="332"/>
    <w:bookmarkStart w:id="333"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33"/>
    <w:bookmarkStart w:id="335"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34">
        <w:r>
          <w:rPr>
            <w:rStyle w:val="Hyperlink"/>
          </w:rPr>
          <w:t xml:space="preserve">https://doi.org/10.1038/s41380-018-0094-5</w:t>
        </w:r>
      </w:hyperlink>
    </w:p>
    <w:bookmarkEnd w:id="335"/>
    <w:bookmarkStart w:id="337"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36">
        <w:r>
          <w:rPr>
            <w:rStyle w:val="Hyperlink"/>
          </w:rPr>
          <w:t xml:space="preserve">https://doi.org/10.1097/JTO.0b013e3181ec173d</w:t>
        </w:r>
      </w:hyperlink>
    </w:p>
    <w:bookmarkEnd w:id="337"/>
    <w:bookmarkStart w:id="338"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38"/>
    <w:bookmarkStart w:id="339"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39"/>
    <w:bookmarkStart w:id="341"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40">
        <w:r>
          <w:rPr>
            <w:rStyle w:val="Hyperlink"/>
          </w:rPr>
          <w:t xml:space="preserve">https://doi.org/10.1177/00333549211041554</w:t>
        </w:r>
      </w:hyperlink>
    </w:p>
    <w:bookmarkEnd w:id="341"/>
    <w:bookmarkStart w:id="342"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42"/>
    <w:bookmarkStart w:id="344"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43">
        <w:r>
          <w:rPr>
            <w:rStyle w:val="Hyperlink"/>
          </w:rPr>
          <w:t xml:space="preserve">https://doi.org/10.1016/j.psc.2010.04.012</w:t>
        </w:r>
      </w:hyperlink>
    </w:p>
    <w:bookmarkEnd w:id="344"/>
    <w:bookmarkStart w:id="346"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45">
        <w:r>
          <w:rPr>
            <w:rStyle w:val="Hyperlink"/>
          </w:rPr>
          <w:t xml:space="preserve">https://doi.org/10.1016/j.cpr.2017.10.012</w:t>
        </w:r>
      </w:hyperlink>
    </w:p>
    <w:bookmarkEnd w:id="346"/>
    <w:bookmarkStart w:id="348"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47">
        <w:r>
          <w:rPr>
            <w:rStyle w:val="Hyperlink"/>
          </w:rPr>
          <w:t xml:space="preserve">https://doi.org/10.35946/arcr.v41.1.01</w:t>
        </w:r>
      </w:hyperlink>
    </w:p>
    <w:bookmarkEnd w:id="348"/>
    <w:bookmarkStart w:id="350"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49">
        <w:r>
          <w:rPr>
            <w:rStyle w:val="Hyperlink"/>
          </w:rPr>
          <w:t xml:space="preserve">https://doi.org/10.1001/jama.284.13.1689</w:t>
        </w:r>
      </w:hyperlink>
    </w:p>
    <w:bookmarkEnd w:id="350"/>
    <w:bookmarkStart w:id="352"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51">
        <w:r>
          <w:rPr>
            <w:rStyle w:val="Hyperlink"/>
          </w:rPr>
          <w:t xml:space="preserve">https://doi.org/10.1016/j.drugalcdep.2021.108706</w:t>
        </w:r>
      </w:hyperlink>
    </w:p>
    <w:bookmarkEnd w:id="352"/>
    <w:bookmarkStart w:id="354"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53">
        <w:r>
          <w:rPr>
            <w:rStyle w:val="Hyperlink"/>
          </w:rPr>
          <w:t xml:space="preserve">https://doi.org/10.1146/annurev-clinpsy-032816-044949</w:t>
        </w:r>
      </w:hyperlink>
    </w:p>
    <w:bookmarkEnd w:id="354"/>
    <w:bookmarkStart w:id="355"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55"/>
    <w:bookmarkStart w:id="357"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56">
        <w:r>
          <w:rPr>
            <w:rStyle w:val="Hyperlink"/>
          </w:rPr>
          <w:t xml:space="preserve">https://doi.org/10.2196/29563</w:t>
        </w:r>
      </w:hyperlink>
    </w:p>
    <w:bookmarkEnd w:id="357"/>
    <w:bookmarkStart w:id="359" w:name="X8bb79cdd23e0a8d99e4f9b0c203aaa22c56a953"/>
    <w:p>
      <w:pPr>
        <w:pStyle w:val="Bibliography"/>
      </w:pPr>
      <w:r>
        <w:t xml:space="preserve">Office of the Surgeon General (US), Center for Mental Health Services (US), &amp; National Institute of Mental Health (US). (2001).</w:t>
      </w:r>
      <w:r>
        <w:t xml:space="preserve"> </w:t>
      </w:r>
      <w:hyperlink r:id="rId358">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59"/>
    <w:bookmarkStart w:id="361"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60">
        <w:r>
          <w:rPr>
            <w:rStyle w:val="Hyperlink"/>
          </w:rPr>
          <w:t xml:space="preserve">https://doi.org/10.1016/j.jsat.2021.108710</w:t>
        </w:r>
      </w:hyperlink>
    </w:p>
    <w:bookmarkEnd w:id="361"/>
    <w:bookmarkStart w:id="363"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62">
        <w:r>
          <w:rPr>
            <w:rStyle w:val="Hyperlink"/>
          </w:rPr>
          <w:t xml:space="preserve">https://doi.org/10.1037/tps0000250</w:t>
        </w:r>
      </w:hyperlink>
    </w:p>
    <w:bookmarkEnd w:id="363"/>
    <w:bookmarkStart w:id="364"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64"/>
    <w:bookmarkStart w:id="366"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65">
        <w:r>
          <w:rPr>
            <w:rStyle w:val="Hyperlink"/>
          </w:rPr>
          <w:t xml:space="preserve">https://doi.org/10.1016/j.drugalcdep.2019.05.017</w:t>
        </w:r>
      </w:hyperlink>
    </w:p>
    <w:bookmarkEnd w:id="366"/>
    <w:bookmarkStart w:id="367"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67"/>
    <w:bookmarkStart w:id="369"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68">
        <w:r>
          <w:rPr>
            <w:rStyle w:val="Hyperlink"/>
          </w:rPr>
          <w:t xml:space="preserve">https://doi.org/10.1037/0003-066X.47.9.1102</w:t>
        </w:r>
      </w:hyperlink>
    </w:p>
    <w:bookmarkEnd w:id="369"/>
    <w:bookmarkStart w:id="371"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70">
        <w:r>
          <w:rPr>
            <w:rStyle w:val="Hyperlink"/>
          </w:rPr>
          <w:t xml:space="preserve">https://doi.org/10.2196/73265</w:t>
        </w:r>
      </w:hyperlink>
    </w:p>
    <w:bookmarkEnd w:id="371"/>
    <w:bookmarkStart w:id="373"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72">
        <w:r>
          <w:rPr>
            <w:rStyle w:val="Hyperlink"/>
          </w:rPr>
          <w:t xml:space="preserve">https://doi.org/10.1016/0740-5472(94)00080-b</w:t>
        </w:r>
      </w:hyperlink>
    </w:p>
    <w:bookmarkEnd w:id="373"/>
    <w:bookmarkStart w:id="375"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74">
        <w:r>
          <w:rPr>
            <w:rStyle w:val="Hyperlink"/>
          </w:rPr>
          <w:t xml:space="preserve">https://doi.org/10.1177/1073191114540320</w:t>
        </w:r>
      </w:hyperlink>
    </w:p>
    <w:bookmarkEnd w:id="375"/>
    <w:bookmarkStart w:id="376"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76"/>
    <w:bookmarkStart w:id="378"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77">
        <w:r>
          <w:rPr>
            <w:rStyle w:val="Hyperlink"/>
          </w:rPr>
          <w:t xml:space="preserve">https://doi.org/10.1037/adb0000550</w:t>
        </w:r>
      </w:hyperlink>
    </w:p>
    <w:bookmarkEnd w:id="378"/>
    <w:bookmarkStart w:id="380"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79">
        <w:r>
          <w:rPr>
            <w:rStyle w:val="Hyperlink"/>
          </w:rPr>
          <w:t xml:space="preserve">https://doi.org/10.1377/hlthaff.2011.0983</w:t>
        </w:r>
      </w:hyperlink>
    </w:p>
    <w:bookmarkEnd w:id="380"/>
    <w:bookmarkStart w:id="381"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81"/>
    <w:bookmarkStart w:id="383"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382">
        <w:r>
          <w:rPr>
            <w:rStyle w:val="Hyperlink"/>
          </w:rPr>
          <w:t xml:space="preserve">https://doi.org/10.1146/annurev-clinpsy-021815-093351</w:t>
        </w:r>
      </w:hyperlink>
    </w:p>
    <w:bookmarkEnd w:id="383"/>
    <w:bookmarkStart w:id="385"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384">
        <w:r>
          <w:rPr>
            <w:rStyle w:val="Hyperlink"/>
          </w:rPr>
          <w:t xml:space="preserve">https://doi.org/10.1111/j.1530-0277.2006.00263.x</w:t>
        </w:r>
      </w:hyperlink>
    </w:p>
    <w:bookmarkEnd w:id="385"/>
    <w:bookmarkStart w:id="387"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386">
        <w:r>
          <w:rPr>
            <w:rStyle w:val="Hyperlink"/>
          </w:rPr>
          <w:t xml:space="preserve">https://doi.org/10.1001/jamapsychiatry.2013.4450</w:t>
        </w:r>
      </w:hyperlink>
    </w:p>
    <w:bookmarkEnd w:id="387"/>
    <w:bookmarkStart w:id="389"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388">
        <w:r>
          <w:rPr>
            <w:rStyle w:val="Hyperlink"/>
          </w:rPr>
          <w:t xml:space="preserve">https://doi.org/10.1111/add.13479</w:t>
        </w:r>
      </w:hyperlink>
    </w:p>
    <w:bookmarkEnd w:id="389"/>
    <w:bookmarkStart w:id="391"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390">
        <w:r>
          <w:rPr>
            <w:rStyle w:val="Hyperlink"/>
          </w:rPr>
          <w:t xml:space="preserve">https://doi.org/10.1037/adb0000666</w:t>
        </w:r>
      </w:hyperlink>
    </w:p>
    <w:bookmarkEnd w:id="391"/>
    <w:bookmarkStart w:id="393"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392">
        <w:r>
          <w:rPr>
            <w:rStyle w:val="Hyperlink"/>
          </w:rPr>
          <w:t xml:space="preserve">https://doi.org/10.1177/1178221820976988</w:t>
        </w:r>
      </w:hyperlink>
    </w:p>
    <w:bookmarkEnd w:id="393"/>
    <w:bookmarkStart w:id="395"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394">
        <w:r>
          <w:rPr>
            <w:rStyle w:val="Hyperlink"/>
          </w:rPr>
          <w:t xml:space="preserve">https://doi.org/10.1037/0003-066X.60.4.340</w:t>
        </w:r>
      </w:hyperlink>
    </w:p>
    <w:bookmarkEnd w:id="395"/>
    <w:bookmarkStart w:id="396"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396"/>
    <w:bookmarkStart w:id="397"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397"/>
    <w:bookmarkStart w:id="399" w:name="Xb4363def9a086869984bb1996514c38c4a5108e"/>
    <w:p>
      <w:pPr>
        <w:pStyle w:val="Bibliography"/>
      </w:pPr>
      <w:r>
        <w:t xml:space="preserve">Substance Abuse and Mental Health Services Administration (US), &amp; Office of the Surgeon General (US). (2016).</w:t>
      </w:r>
      <w:r>
        <w:t xml:space="preserve"> </w:t>
      </w:r>
      <w:hyperlink r:id="rId398">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399"/>
    <w:bookmarkStart w:id="401"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400">
        <w:r>
          <w:rPr>
            <w:rStyle w:val="Hyperlink"/>
          </w:rPr>
          <w:t xml:space="preserve">https://doi.org/10.1080/19371918.2013.758975</w:t>
        </w:r>
      </w:hyperlink>
    </w:p>
    <w:bookmarkEnd w:id="401"/>
    <w:bookmarkStart w:id="403"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02">
        <w:r>
          <w:rPr>
            <w:rStyle w:val="Hyperlink"/>
          </w:rPr>
          <w:t xml:space="preserve">https://doi.org/10.1177/0261927X09351676</w:t>
        </w:r>
      </w:hyperlink>
    </w:p>
    <w:bookmarkEnd w:id="403"/>
    <w:bookmarkStart w:id="405"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04">
        <w:r>
          <w:rPr>
            <w:rStyle w:val="Hyperlink"/>
          </w:rPr>
          <w:t xml:space="preserve">https://doi.org/10.1177/17456916221134490</w:t>
        </w:r>
      </w:hyperlink>
    </w:p>
    <w:bookmarkEnd w:id="405"/>
    <w:bookmarkStart w:id="406"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06"/>
    <w:bookmarkStart w:id="408"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07">
        <w:r>
          <w:rPr>
            <w:rStyle w:val="Hyperlink"/>
          </w:rPr>
          <w:t xml:space="preserve">https://doi.org/10.1016/j.landig.2025.100916</w:t>
        </w:r>
      </w:hyperlink>
    </w:p>
    <w:bookmarkEnd w:id="408"/>
    <w:bookmarkStart w:id="410"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09">
        <w:r>
          <w:rPr>
            <w:rStyle w:val="Hyperlink"/>
          </w:rPr>
          <w:t xml:space="preserve">https://doi.org/10.1016/j.artmed.2020.101987</w:t>
        </w:r>
      </w:hyperlink>
    </w:p>
    <w:bookmarkEnd w:id="410"/>
    <w:bookmarkStart w:id="412"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11">
        <w:r>
          <w:rPr>
            <w:rStyle w:val="Hyperlink"/>
          </w:rPr>
          <w:t xml:space="preserve">https://doi.org/10.1111/j.1530-0277.1984.tb05523.x</w:t>
        </w:r>
      </w:hyperlink>
    </w:p>
    <w:bookmarkEnd w:id="412"/>
    <w:bookmarkStart w:id="414"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13">
        <w:r>
          <w:rPr>
            <w:rStyle w:val="Hyperlink"/>
          </w:rPr>
          <w:t xml:space="preserve">https://doi.org/10.1093/jamia/ocy052</w:t>
        </w:r>
      </w:hyperlink>
    </w:p>
    <w:bookmarkEnd w:id="414"/>
    <w:bookmarkStart w:id="416"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15">
        <w:r>
          <w:rPr>
            <w:rStyle w:val="Hyperlink"/>
          </w:rPr>
          <w:t xml:space="preserve">https://doi.org/10.1377/hlthaff.20.6.64</w:t>
        </w:r>
      </w:hyperlink>
    </w:p>
    <w:bookmarkEnd w:id="416"/>
    <w:bookmarkStart w:id="418"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17">
        <w:r>
          <w:rPr>
            <w:rStyle w:val="Hyperlink"/>
          </w:rPr>
          <w:t xml:space="preserve">https://doi.org/10.1016/j.cpr.2005.11.003</w:t>
        </w:r>
      </w:hyperlink>
    </w:p>
    <w:bookmarkEnd w:id="418"/>
    <w:bookmarkStart w:id="420"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19">
        <w:r>
          <w:rPr>
            <w:rStyle w:val="Hyperlink"/>
          </w:rPr>
          <w:t xml:space="preserve">https://doi.org/10.1016/j.jsat.2021.108417</w:t>
        </w:r>
      </w:hyperlink>
    </w:p>
    <w:bookmarkEnd w:id="420"/>
    <w:bookmarkStart w:id="422"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21">
        <w:r>
          <w:rPr>
            <w:rStyle w:val="Hyperlink"/>
          </w:rPr>
          <w:t xml:space="preserve">https://doi.org/10.1016/j.jsat.2016.12.010</w:t>
        </w:r>
      </w:hyperlink>
    </w:p>
    <w:bookmarkEnd w:id="422"/>
    <w:bookmarkStart w:id="424" w:name="X2d30c84041d97351f676569bf3de3da0c8a9d6d"/>
    <w:p>
      <w:pPr>
        <w:pStyle w:val="Bibliography"/>
      </w:pPr>
      <w:r>
        <w:t xml:space="preserve">WHO ASSIST Working Group. (2002).</w:t>
      </w:r>
      <w:r>
        <w:t xml:space="preserve"> </w:t>
      </w:r>
      <w:hyperlink r:id="rId423">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24"/>
    <w:bookmarkStart w:id="425"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25"/>
    <w:bookmarkStart w:id="427"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26">
        <w:r>
          <w:rPr>
            <w:rStyle w:val="Hyperlink"/>
          </w:rPr>
          <w:t xml:space="preserve">https://doi.org/10.1037/0003-066X.59.4.224</w:t>
        </w:r>
      </w:hyperlink>
    </w:p>
    <w:bookmarkEnd w:id="427"/>
    <w:bookmarkStart w:id="429"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28">
        <w:r>
          <w:rPr>
            <w:rStyle w:val="Hyperlink"/>
          </w:rPr>
          <w:t xml:space="preserve">https://doi.org/10.1016/j.cpr.2007.01.002</w:t>
        </w:r>
      </w:hyperlink>
    </w:p>
    <w:bookmarkEnd w:id="429"/>
    <w:bookmarkStart w:id="431"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30">
        <w:r>
          <w:rPr>
            <w:rStyle w:val="Hyperlink"/>
          </w:rPr>
          <w:t xml:space="preserve">https://doi.org/10.1080/14659891.2018.1523968</w:t>
        </w:r>
      </w:hyperlink>
    </w:p>
    <w:bookmarkEnd w:id="431"/>
    <w:bookmarkStart w:id="433"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32">
        <w:r>
          <w:rPr>
            <w:rStyle w:val="Hyperlink"/>
          </w:rPr>
          <w:t xml:space="preserve">https://doi.org/10.1177/1073191116653829</w:t>
        </w:r>
      </w:hyperlink>
    </w:p>
    <w:bookmarkEnd w:id="433"/>
    <w:bookmarkStart w:id="435"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34">
        <w:r>
          <w:rPr>
            <w:rStyle w:val="Hyperlink"/>
          </w:rPr>
          <w:t xml:space="preserve">https://doi.org/10.1037/pas0000685</w:t>
        </w:r>
      </w:hyperlink>
    </w:p>
    <w:bookmarkEnd w:id="435"/>
    <w:bookmarkStart w:id="437"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36">
        <w:r>
          <w:rPr>
            <w:rStyle w:val="Hyperlink"/>
          </w:rPr>
          <w:t xml:space="preserve">https://doi.org/10.2196/41833</w:t>
        </w:r>
      </w:hyperlink>
    </w:p>
    <w:bookmarkEnd w:id="437"/>
    <w:bookmarkStart w:id="439"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38">
        <w:r>
          <w:rPr>
            <w:rStyle w:val="Hyperlink"/>
          </w:rPr>
          <w:t xml:space="preserve">https://doi.org/10.2196/81697</w:t>
        </w:r>
      </w:hyperlink>
    </w:p>
    <w:bookmarkEnd w:id="439"/>
    <w:bookmarkStart w:id="441"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40">
        <w:r>
          <w:rPr>
            <w:rStyle w:val="Hyperlink"/>
          </w:rPr>
          <w:t xml:space="preserve">https://doi.org/10.31234/osf.io/cgsf7</w:t>
        </w:r>
      </w:hyperlink>
    </w:p>
    <w:bookmarkEnd w:id="441"/>
    <w:bookmarkStart w:id="443"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42">
        <w:r>
          <w:rPr>
            <w:rStyle w:val="Hyperlink"/>
          </w:rPr>
          <w:t xml:space="preserve">https://doi.org/10.1145/1629890.1629897</w:t>
        </w:r>
      </w:hyperlink>
    </w:p>
    <w:bookmarkEnd w:id="443"/>
    <w:bookmarkStart w:id="445"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44">
        <w:r>
          <w:rPr>
            <w:rStyle w:val="Hyperlink"/>
          </w:rPr>
          <w:t xml:space="preserve">https://doi.org/10.1080/17441692.2023.2277854</w:t>
        </w:r>
      </w:hyperlink>
    </w:p>
    <w:bookmarkEnd w:id="445"/>
    <w:bookmarkStart w:id="447"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46">
        <w:r>
          <w:rPr>
            <w:rStyle w:val="Hyperlink"/>
          </w:rPr>
          <w:t xml:space="preserve">https://doi.org/10.2196/mhealth.9117</w:t>
        </w:r>
      </w:hyperlink>
    </w:p>
    <w:bookmarkEnd w:id="447"/>
    <w:bookmarkStart w:id="449"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48">
        <w:r>
          <w:rPr>
            <w:rStyle w:val="Hyperlink"/>
          </w:rPr>
          <w:t xml:space="preserve">https://doi.org/10.1177/1077558712458541</w:t>
        </w:r>
      </w:hyperlink>
    </w:p>
    <w:bookmarkEnd w:id="449"/>
    <w:bookmarkStart w:id="451"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50">
        <w:r>
          <w:rPr>
            <w:rStyle w:val="Hyperlink"/>
          </w:rPr>
          <w:t xml:space="preserve">https://doi.org/10.7326/M14-0295</w:t>
        </w:r>
      </w:hyperlink>
    </w:p>
    <w:bookmarkEnd w:id="451"/>
    <w:bookmarkEnd w:id="452"/>
    <w:bookmarkEnd w:id="4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2">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3">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9">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60">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3">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jpg" /><Relationship Type="http://schemas.openxmlformats.org/officeDocument/2006/relationships/image" Id="rId52" Target="media/rId52.jpg" /><Relationship Type="http://schemas.openxmlformats.org/officeDocument/2006/relationships/image" Id="rId59" Target="media/rId59.jpg" /><Relationship Type="http://schemas.openxmlformats.org/officeDocument/2006/relationships/image" Id="rId85" Target="media/rId85.png" /><Relationship Type="http://schemas.openxmlformats.org/officeDocument/2006/relationships/image" Id="rId167" Target="media/rId167.png" /><Relationship Type="http://schemas.openxmlformats.org/officeDocument/2006/relationships/image" Id="rId104" Target="media/rId104.png" /><Relationship Type="http://schemas.openxmlformats.org/officeDocument/2006/relationships/image" Id="rId174" Target="media/rId174.png" /><Relationship Type="http://schemas.openxmlformats.org/officeDocument/2006/relationships/image" Id="rId180" Target="media/rId180.png" /><Relationship Type="http://schemas.openxmlformats.org/officeDocument/2006/relationships/image" Id="rId122" Target="media/rId122.png" /><Relationship Type="http://schemas.openxmlformats.org/officeDocument/2006/relationships/image" Id="rId186" Target="media/rId186.png" /><Relationship Type="http://schemas.openxmlformats.org/officeDocument/2006/relationships/image" Id="rId116" Target="media/rId116.png" /><Relationship Type="http://schemas.openxmlformats.org/officeDocument/2006/relationships/hyperlink" Id="rId275" Target="https://doi.org/10.1001/jama.2022.2847" TargetMode="External" /><Relationship Type="http://schemas.openxmlformats.org/officeDocument/2006/relationships/hyperlink" Id="rId349" Target="https://doi.org/10.1001/jama.284.13.1689" TargetMode="External" /><Relationship Type="http://schemas.openxmlformats.org/officeDocument/2006/relationships/hyperlink" Id="rId312" Target="https://doi.org/10.1001/jamanetworkopen.2020.5852" TargetMode="External" /><Relationship Type="http://schemas.openxmlformats.org/officeDocument/2006/relationships/hyperlink" Id="rId386" Target="https://doi.org/10.1001/jamapsychiatry.2013.4450" TargetMode="External" /><Relationship Type="http://schemas.openxmlformats.org/officeDocument/2006/relationships/hyperlink" Id="rId217" Target="https://doi.org/10.1001/jamapsychiatry.2013.4546" TargetMode="External" /><Relationship Type="http://schemas.openxmlformats.org/officeDocument/2006/relationships/hyperlink" Id="rId287" Target="https://doi.org/10.1001/jamapsychiatry.2013.4642" TargetMode="External" /><Relationship Type="http://schemas.openxmlformats.org/officeDocument/2006/relationships/hyperlink" Id="rId281" Target="https://doi.org/10.1001/jamapsychiatry.2015.0584" TargetMode="External" /><Relationship Type="http://schemas.openxmlformats.org/officeDocument/2006/relationships/hyperlink" Id="rId321"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13" Target="https://doi.org/10.1007/s10488-016-0718-5" TargetMode="External" /><Relationship Type="http://schemas.openxmlformats.org/officeDocument/2006/relationships/hyperlink" Id="rId243" Target="https://doi.org/10.1007/s10862-017-9632-8" TargetMode="External" /><Relationship Type="http://schemas.openxmlformats.org/officeDocument/2006/relationships/hyperlink" Id="rId314" Target="https://doi.org/10.1007/s11920-012-0296-5" TargetMode="External" /><Relationship Type="http://schemas.openxmlformats.org/officeDocument/2006/relationships/hyperlink" Id="rId205" Target="https://doi.org/10.1007/s40429-023-00492-5" TargetMode="External" /><Relationship Type="http://schemas.openxmlformats.org/officeDocument/2006/relationships/hyperlink" Id="rId372" Target="https://doi.org/10.1016/0740-5472(94)00080-b" TargetMode="External" /><Relationship Type="http://schemas.openxmlformats.org/officeDocument/2006/relationships/hyperlink" Id="rId211" Target="https://doi.org/10.1016/j.addbeh.2017.11.039" TargetMode="External" /><Relationship Type="http://schemas.openxmlformats.org/officeDocument/2006/relationships/hyperlink" Id="rId316" Target="https://doi.org/10.1016/j.amepre.2019.08.034" TargetMode="External" /><Relationship Type="http://schemas.openxmlformats.org/officeDocument/2006/relationships/hyperlink" Id="rId326" Target="https://doi.org/10.1016/j.amepre.2022.08.022" TargetMode="External" /><Relationship Type="http://schemas.openxmlformats.org/officeDocument/2006/relationships/hyperlink" Id="rId409" Target="https://doi.org/10.1016/j.artmed.2020.101987" TargetMode="External" /><Relationship Type="http://schemas.openxmlformats.org/officeDocument/2006/relationships/hyperlink" Id="rId269" Target="https://doi.org/10.1016/j.brat.2019.01.010" TargetMode="External" /><Relationship Type="http://schemas.openxmlformats.org/officeDocument/2006/relationships/hyperlink" Id="rId248" Target="https://doi.org/10.1016/j.brat.2019.103506" TargetMode="External" /><Relationship Type="http://schemas.openxmlformats.org/officeDocument/2006/relationships/hyperlink" Id="rId318" Target="https://doi.org/10.1016/j.cger.2014.04.008" TargetMode="External" /><Relationship Type="http://schemas.openxmlformats.org/officeDocument/2006/relationships/hyperlink" Id="rId254" Target="https://doi.org/10.1016/j.cmpb.2016.09.016" TargetMode="External" /><Relationship Type="http://schemas.openxmlformats.org/officeDocument/2006/relationships/hyperlink" Id="rId417" Target="https://doi.org/10.1016/j.cpr.2005.11.003" TargetMode="External" /><Relationship Type="http://schemas.openxmlformats.org/officeDocument/2006/relationships/hyperlink" Id="rId428" Target="https://doi.org/10.1016/j.cpr.2007.01.002" TargetMode="External" /><Relationship Type="http://schemas.openxmlformats.org/officeDocument/2006/relationships/hyperlink" Id="rId345" Target="https://doi.org/10.1016/j.cpr.2017.10.012" TargetMode="External" /><Relationship Type="http://schemas.openxmlformats.org/officeDocument/2006/relationships/hyperlink" Id="rId283" Target="https://doi.org/10.1016/j.drugalcdep.2006.05.012" TargetMode="External" /><Relationship Type="http://schemas.openxmlformats.org/officeDocument/2006/relationships/hyperlink" Id="rId285"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0" Target="https://doi.org/10.1016/j.drugalcdep.2016.10.038" TargetMode="External" /><Relationship Type="http://schemas.openxmlformats.org/officeDocument/2006/relationships/hyperlink" Id="rId365" Target="https://doi.org/10.1016/j.drugalcdep.2019.05.017" TargetMode="External" /><Relationship Type="http://schemas.openxmlformats.org/officeDocument/2006/relationships/hyperlink" Id="rId271" Target="https://doi.org/10.1016/j.drugalcdep.2020.108350" TargetMode="External" /><Relationship Type="http://schemas.openxmlformats.org/officeDocument/2006/relationships/hyperlink" Id="rId351" Target="https://doi.org/10.1016/j.drugalcdep.2021.108706" TargetMode="External" /><Relationship Type="http://schemas.openxmlformats.org/officeDocument/2006/relationships/hyperlink" Id="rId221" Target="https://doi.org/10.1016/j.drugalcdep.2022.109362" TargetMode="External" /><Relationship Type="http://schemas.openxmlformats.org/officeDocument/2006/relationships/hyperlink" Id="rId296" Target="https://doi.org/10.1016/j.josat.2025.209685" TargetMode="External" /><Relationship Type="http://schemas.openxmlformats.org/officeDocument/2006/relationships/hyperlink" Id="rId231" Target="https://doi.org/10.1016/j.jsat.2013.08.004" TargetMode="External" /><Relationship Type="http://schemas.openxmlformats.org/officeDocument/2006/relationships/hyperlink" Id="rId421" Target="https://doi.org/10.1016/j.jsat.2016.12.010" TargetMode="External" /><Relationship Type="http://schemas.openxmlformats.org/officeDocument/2006/relationships/hyperlink" Id="rId419" Target="https://doi.org/10.1016/j.jsat.2021.108417" TargetMode="External" /><Relationship Type="http://schemas.openxmlformats.org/officeDocument/2006/relationships/hyperlink" Id="rId360" Target="https://doi.org/10.1016/j.jsat.2021.108710" TargetMode="External" /><Relationship Type="http://schemas.openxmlformats.org/officeDocument/2006/relationships/hyperlink" Id="rId407" Target="https://doi.org/10.1016/j.landig.2025.100916" TargetMode="External" /><Relationship Type="http://schemas.openxmlformats.org/officeDocument/2006/relationships/hyperlink" Id="rId343" Target="https://doi.org/10.1016/j.psc.2010.04.012" TargetMode="External" /><Relationship Type="http://schemas.openxmlformats.org/officeDocument/2006/relationships/hyperlink" Id="rId305" Target="https://doi.org/10.1023/A:1008987426876" TargetMode="External" /><Relationship Type="http://schemas.openxmlformats.org/officeDocument/2006/relationships/hyperlink" Id="rId368" Target="https://doi.org/10.1037/0003-066X.47.9.1102" TargetMode="External" /><Relationship Type="http://schemas.openxmlformats.org/officeDocument/2006/relationships/hyperlink" Id="rId426" Target="https://doi.org/10.1037/0003-066X.59.4.224" TargetMode="External" /><Relationship Type="http://schemas.openxmlformats.org/officeDocument/2006/relationships/hyperlink" Id="rId394" Target="https://doi.org/10.1037/0003-066X.60.4.340" TargetMode="External" /><Relationship Type="http://schemas.openxmlformats.org/officeDocument/2006/relationships/hyperlink" Id="rId256" Target="https://doi.org/10.1037/a0037157" TargetMode="External" /><Relationship Type="http://schemas.openxmlformats.org/officeDocument/2006/relationships/hyperlink" Id="rId260" Target="https://doi.org/10.1037/abn0000819" TargetMode="External" /><Relationship Type="http://schemas.openxmlformats.org/officeDocument/2006/relationships/hyperlink" Id="rId252" Target="https://doi.org/10.1037/adb0000292" TargetMode="External" /><Relationship Type="http://schemas.openxmlformats.org/officeDocument/2006/relationships/hyperlink" Id="rId377" Target="https://doi.org/10.1037/adb0000550" TargetMode="External" /><Relationship Type="http://schemas.openxmlformats.org/officeDocument/2006/relationships/hyperlink" Id="rId390" Target="https://doi.org/10.1037/adb0000666" TargetMode="External" /><Relationship Type="http://schemas.openxmlformats.org/officeDocument/2006/relationships/hyperlink" Id="rId267" Target="https://doi.org/10.1037/ccp0000026" TargetMode="External" /><Relationship Type="http://schemas.openxmlformats.org/officeDocument/2006/relationships/hyperlink" Id="rId434" Target="https://doi.org/10.1037/pas0000685" TargetMode="External" /><Relationship Type="http://schemas.openxmlformats.org/officeDocument/2006/relationships/hyperlink" Id="rId258" Target="https://doi.org/10.1037/pha0000210" TargetMode="External" /><Relationship Type="http://schemas.openxmlformats.org/officeDocument/2006/relationships/hyperlink" Id="rId362" Target="https://doi.org/10.1037/tps0000250" TargetMode="External" /><Relationship Type="http://schemas.openxmlformats.org/officeDocument/2006/relationships/hyperlink" Id="rId334" Target="https://doi.org/10.1038/s41380-018-0094-5" TargetMode="External" /><Relationship Type="http://schemas.openxmlformats.org/officeDocument/2006/relationships/hyperlink" Id="rId329" Target="https://doi.org/10.1080/00952990.2019.1694536" TargetMode="External" /><Relationship Type="http://schemas.openxmlformats.org/officeDocument/2006/relationships/hyperlink" Id="rId273" Target="https://doi.org/10.1080/10826084.2021.1899225" TargetMode="External" /><Relationship Type="http://schemas.openxmlformats.org/officeDocument/2006/relationships/hyperlink" Id="rId430" Target="https://doi.org/10.1080/14659891.2018.1523968" TargetMode="External" /><Relationship Type="http://schemas.openxmlformats.org/officeDocument/2006/relationships/hyperlink" Id="rId444" Target="https://doi.org/10.1080/17441692.2023.2277854" TargetMode="External" /><Relationship Type="http://schemas.openxmlformats.org/officeDocument/2006/relationships/hyperlink" Id="rId400" Target="https://doi.org/10.1080/19371918.2013.758975" TargetMode="External" /><Relationship Type="http://schemas.openxmlformats.org/officeDocument/2006/relationships/hyperlink" Id="rId413"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298" Target="https://doi.org/10.1097/ADM.0000000000000312" TargetMode="External" /><Relationship Type="http://schemas.openxmlformats.org/officeDocument/2006/relationships/hyperlink" Id="rId336" Target="https://doi.org/10.1097/JTO.0b013e3181ec173d" TargetMode="External" /><Relationship Type="http://schemas.openxmlformats.org/officeDocument/2006/relationships/hyperlink" Id="rId388" Target="https://doi.org/10.1111/add.13479" TargetMode="External" /><Relationship Type="http://schemas.openxmlformats.org/officeDocument/2006/relationships/hyperlink" Id="rId223" Target="https://doi.org/10.1111/ajad.12784" TargetMode="External" /><Relationship Type="http://schemas.openxmlformats.org/officeDocument/2006/relationships/hyperlink" Id="rId411" Target="https://doi.org/10.1111/j.1530-0277.1984.tb05523.x" TargetMode="External" /><Relationship Type="http://schemas.openxmlformats.org/officeDocument/2006/relationships/hyperlink" Id="rId384" Target="https://doi.org/10.1111/j.1530-0277.2006.00263.x" TargetMode="External" /><Relationship Type="http://schemas.openxmlformats.org/officeDocument/2006/relationships/hyperlink" Id="rId331"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442" Target="https://doi.org/10.1145/1629890.1629897" TargetMode="External" /><Relationship Type="http://schemas.openxmlformats.org/officeDocument/2006/relationships/hyperlink" Id="rId301" Target="https://doi.org/10.1145/1867699.1867704" TargetMode="External" /><Relationship Type="http://schemas.openxmlformats.org/officeDocument/2006/relationships/hyperlink" Id="rId382" Target="https://doi.org/10.1146/annurev-clinpsy-021815-093351" TargetMode="External" /><Relationship Type="http://schemas.openxmlformats.org/officeDocument/2006/relationships/hyperlink" Id="rId353" Target="https://doi.org/10.1146/annurev-clinpsy-032816-044949" TargetMode="External" /><Relationship Type="http://schemas.openxmlformats.org/officeDocument/2006/relationships/hyperlink" Id="rId277" Target="https://doi.org/10.1146/annurev-clinpsy-102419-125016" TargetMode="External" /><Relationship Type="http://schemas.openxmlformats.org/officeDocument/2006/relationships/hyperlink" Id="rId219" Target="https://doi.org/10.1146/annurev.clinpsy.3.022806.091455" TargetMode="External" /><Relationship Type="http://schemas.openxmlformats.org/officeDocument/2006/relationships/hyperlink" Id="rId225" Target="https://doi.org/10.1176/appi.ajp.2014.13081055" TargetMode="External" /><Relationship Type="http://schemas.openxmlformats.org/officeDocument/2006/relationships/hyperlink" Id="rId289"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40" Target="https://doi.org/10.1177/00333549211041554" TargetMode="External" /><Relationship Type="http://schemas.openxmlformats.org/officeDocument/2006/relationships/hyperlink" Id="rId402" Target="https://doi.org/10.1177/0261927X09351676" TargetMode="External" /><Relationship Type="http://schemas.openxmlformats.org/officeDocument/2006/relationships/hyperlink" Id="rId374" Target="https://doi.org/10.1177/1073191114540320" TargetMode="External" /><Relationship Type="http://schemas.openxmlformats.org/officeDocument/2006/relationships/hyperlink" Id="rId432" Target="https://doi.org/10.1177/1073191116653829" TargetMode="External" /><Relationship Type="http://schemas.openxmlformats.org/officeDocument/2006/relationships/hyperlink" Id="rId448" Target="https://doi.org/10.1177/1077558712458541" TargetMode="External" /><Relationship Type="http://schemas.openxmlformats.org/officeDocument/2006/relationships/hyperlink" Id="rId392" Target="https://doi.org/10.1177/1178221820976988" TargetMode="External" /><Relationship Type="http://schemas.openxmlformats.org/officeDocument/2006/relationships/hyperlink" Id="rId404" Target="https://doi.org/10.1177/17456916221134490" TargetMode="External" /><Relationship Type="http://schemas.openxmlformats.org/officeDocument/2006/relationships/hyperlink" Id="rId324" Target="https://doi.org/10.1214/17-EJS1338SI" TargetMode="External" /><Relationship Type="http://schemas.openxmlformats.org/officeDocument/2006/relationships/hyperlink" Id="rId415" Target="https://doi.org/10.1377/hlthaff.20.6.64" TargetMode="External" /><Relationship Type="http://schemas.openxmlformats.org/officeDocument/2006/relationships/hyperlink" Id="rId379" Target="https://doi.org/10.1377/hlthaff.2011.0983" TargetMode="External" /><Relationship Type="http://schemas.openxmlformats.org/officeDocument/2006/relationships/hyperlink" Id="rId227" Target="https://doi.org/10.21231/GNT1-HW21" TargetMode="External" /><Relationship Type="http://schemas.openxmlformats.org/officeDocument/2006/relationships/hyperlink" Id="rId356" Target="https://doi.org/10.2196/29563" TargetMode="External" /><Relationship Type="http://schemas.openxmlformats.org/officeDocument/2006/relationships/hyperlink" Id="rId209" Target="https://doi.org/10.2196/39862" TargetMode="External" /><Relationship Type="http://schemas.openxmlformats.org/officeDocument/2006/relationships/hyperlink" Id="rId436" Target="https://doi.org/10.2196/41833" TargetMode="External" /><Relationship Type="http://schemas.openxmlformats.org/officeDocument/2006/relationships/hyperlink" Id="rId370" Target="https://doi.org/10.2196/73265" TargetMode="External" /><Relationship Type="http://schemas.openxmlformats.org/officeDocument/2006/relationships/hyperlink" Id="rId438" Target="https://doi.org/10.2196/81697" TargetMode="External" /><Relationship Type="http://schemas.openxmlformats.org/officeDocument/2006/relationships/hyperlink" Id="rId292" Target="https://doi.org/10.2196/mental.9777" TargetMode="External" /><Relationship Type="http://schemas.openxmlformats.org/officeDocument/2006/relationships/hyperlink" Id="rId446" Target="https://doi.org/10.2196/mhealth.9117" TargetMode="External" /><Relationship Type="http://schemas.openxmlformats.org/officeDocument/2006/relationships/hyperlink" Id="rId440" Target="https://doi.org/10.31234/osf.io/cgsf7" TargetMode="External" /><Relationship Type="http://schemas.openxmlformats.org/officeDocument/2006/relationships/hyperlink" Id="rId347" Target="https://doi.org/10.35946/arcr.v41.1.01" TargetMode="External" /><Relationship Type="http://schemas.openxmlformats.org/officeDocument/2006/relationships/hyperlink" Id="rId250" Target="https://doi.org/10.48550/arXiv.1810.04805" TargetMode="External" /><Relationship Type="http://schemas.openxmlformats.org/officeDocument/2006/relationships/hyperlink" Id="rId265" Target="https://doi.org/10.5555/ajhb.2007.31.supp.S47" TargetMode="External" /><Relationship Type="http://schemas.openxmlformats.org/officeDocument/2006/relationships/hyperlink" Id="rId450" Target="https://doi.org/10.7326/M14-0295" TargetMode="External" /><Relationship Type="http://schemas.openxmlformats.org/officeDocument/2006/relationships/hyperlink" Id="rId307" Target="https://doi.org/10/gfsjzg" TargetMode="External" /><Relationship Type="http://schemas.openxmlformats.org/officeDocument/2006/relationships/hyperlink" Id="rId263" Target="https://doi.org/10/ghqvcw" TargetMode="External" /><Relationship Type="http://schemas.openxmlformats.org/officeDocument/2006/relationships/hyperlink" Id="rId77" Target="https://jjcurtin.github.io/study_lag/" TargetMode="External" /><Relationship Type="http://schemas.openxmlformats.org/officeDocument/2006/relationships/hyperlink" Id="rId139"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1" Target="https://kendrapaquette.github.io/study_dissertation/notebooks\figures-preview.html#cell-fig-1" TargetMode="External" /><Relationship Type="http://schemas.openxmlformats.org/officeDocument/2006/relationships/hyperlink" Id="rId178" Target="https://kendrapaquette.github.io/study_dissertation/notebooks\figures-preview.html#cell-fig-2" TargetMode="External" /><Relationship Type="http://schemas.openxmlformats.org/officeDocument/2006/relationships/hyperlink" Id="rId108" Target="https://kendrapaquette.github.io/study_dissertation/notebooks\figures-preview.html#cell-fig-2-lag" TargetMode="External" /><Relationship Type="http://schemas.openxmlformats.org/officeDocument/2006/relationships/hyperlink" Id="rId185" Target="https://kendrapaquette.github.io/study_dissertation/notebooks\figures-preview.html#cell-fig-3" TargetMode="External" /><Relationship Type="http://schemas.openxmlformats.org/officeDocument/2006/relationships/hyperlink" Id="rId190" Target="https://kendrapaquette.github.io/study_dissertation/notebooks\figures-preview.html#cell-fig-4" TargetMode="External" /><Relationship Type="http://schemas.openxmlformats.org/officeDocument/2006/relationships/hyperlink" Id="rId126" Target="https://kendrapaquette.github.io/study_dissertation/notebooks\figures-preview.html#cell-fig-4-lag" TargetMode="External" /><Relationship Type="http://schemas.openxmlformats.org/officeDocument/2006/relationships/hyperlink" Id="rId120" Target="https://kendrapaquette.github.io/study_dissertation/notebooks\figures-preview.html#cell-fig-cal" TargetMode="External" /><Relationship Type="http://schemas.openxmlformats.org/officeDocument/2006/relationships/hyperlink" Id="rId38" Target="https://kendrapaquette.github.io/study_dissertation/notebooks\tables-preview.html#cell-tbl-dem" TargetMode="External" /><Relationship Type="http://schemas.openxmlformats.org/officeDocument/2006/relationships/hyperlink" Id="rId114" Target="https://kendrapaquette.github.io/study_dissertation/notebooks\tables-preview.html#cell-tbl-fairness" TargetMode="External" /><Relationship Type="http://schemas.openxmlformats.org/officeDocument/2006/relationships/hyperlink" Id="rId111" Target="https://kendrapaquette.github.io/study_dissertation/notebooks\tables-preview.html#cell-tbl-model" TargetMode="External" /><Relationship Type="http://schemas.openxmlformats.org/officeDocument/2006/relationships/hyperlink" Id="rId51" Target="https://kendrapaquette.github.io/study_dissertation/notebooks\tables-preview.html#cell-tbl-perf-ema" TargetMode="External" /><Relationship Type="http://schemas.openxmlformats.org/officeDocument/2006/relationships/hyperlink" Id="rId162" Target="https://kendrapaquette.github.io/study_dissertation/notebooks\tables-preview.html#cell-tbl-risk2dem" TargetMode="External" /><Relationship Type="http://schemas.openxmlformats.org/officeDocument/2006/relationships/hyperlink" Id="rId166" Target="https://kendrapaquette.github.io/study_dissertation/notebooks\tables-preview.html#cell-tbl-risk2model" TargetMode="External" /><Relationship Type="http://schemas.openxmlformats.org/officeDocument/2006/relationships/hyperlink" Id="rId20" Target="https://osf.io/w5h9y/" TargetMode="External" /><Relationship Type="http://schemas.openxmlformats.org/officeDocument/2006/relationships/hyperlink" Id="rId76" Target="https://osf.io/xta67/" TargetMode="External" /><Relationship Type="http://schemas.openxmlformats.org/officeDocument/2006/relationships/hyperlink" Id="rId138" Target="https://osf.io/zvm7s/overview" TargetMode="External" /><Relationship Type="http://schemas.openxmlformats.org/officeDocument/2006/relationships/hyperlink" Id="rId245" Target="https://www.ncbi.nlm.nih.gov/pmc/articles/PMC2797101" TargetMode="External" /><Relationship Type="http://schemas.openxmlformats.org/officeDocument/2006/relationships/hyperlink" Id="rId423" Target="https://www.ncbi.nlm.nih.gov/pubmed/12199834" TargetMode="External" /><Relationship Type="http://schemas.openxmlformats.org/officeDocument/2006/relationships/hyperlink" Id="rId358" Target="https://www.ncbi.nlm.nih.gov/pubmed/20669516" TargetMode="External" /><Relationship Type="http://schemas.openxmlformats.org/officeDocument/2006/relationships/hyperlink" Id="rId398"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5" Target="https://doi.org/10.1001/jama.2022.2847" TargetMode="External" /><Relationship Type="http://schemas.openxmlformats.org/officeDocument/2006/relationships/hyperlink" Id="rId349" Target="https://doi.org/10.1001/jama.284.13.1689" TargetMode="External" /><Relationship Type="http://schemas.openxmlformats.org/officeDocument/2006/relationships/hyperlink" Id="rId312" Target="https://doi.org/10.1001/jamanetworkopen.2020.5852" TargetMode="External" /><Relationship Type="http://schemas.openxmlformats.org/officeDocument/2006/relationships/hyperlink" Id="rId386" Target="https://doi.org/10.1001/jamapsychiatry.2013.4450" TargetMode="External" /><Relationship Type="http://schemas.openxmlformats.org/officeDocument/2006/relationships/hyperlink" Id="rId217" Target="https://doi.org/10.1001/jamapsychiatry.2013.4546" TargetMode="External" /><Relationship Type="http://schemas.openxmlformats.org/officeDocument/2006/relationships/hyperlink" Id="rId287" Target="https://doi.org/10.1001/jamapsychiatry.2013.4642" TargetMode="External" /><Relationship Type="http://schemas.openxmlformats.org/officeDocument/2006/relationships/hyperlink" Id="rId281" Target="https://doi.org/10.1001/jamapsychiatry.2015.0584" TargetMode="External" /><Relationship Type="http://schemas.openxmlformats.org/officeDocument/2006/relationships/hyperlink" Id="rId321"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13" Target="https://doi.org/10.1007/s10488-016-0718-5" TargetMode="External" /><Relationship Type="http://schemas.openxmlformats.org/officeDocument/2006/relationships/hyperlink" Id="rId243" Target="https://doi.org/10.1007/s10862-017-9632-8" TargetMode="External" /><Relationship Type="http://schemas.openxmlformats.org/officeDocument/2006/relationships/hyperlink" Id="rId314" Target="https://doi.org/10.1007/s11920-012-0296-5" TargetMode="External" /><Relationship Type="http://schemas.openxmlformats.org/officeDocument/2006/relationships/hyperlink" Id="rId205" Target="https://doi.org/10.1007/s40429-023-00492-5" TargetMode="External" /><Relationship Type="http://schemas.openxmlformats.org/officeDocument/2006/relationships/hyperlink" Id="rId372" Target="https://doi.org/10.1016/0740-5472(94)00080-b" TargetMode="External" /><Relationship Type="http://schemas.openxmlformats.org/officeDocument/2006/relationships/hyperlink" Id="rId211" Target="https://doi.org/10.1016/j.addbeh.2017.11.039" TargetMode="External" /><Relationship Type="http://schemas.openxmlformats.org/officeDocument/2006/relationships/hyperlink" Id="rId316" Target="https://doi.org/10.1016/j.amepre.2019.08.034" TargetMode="External" /><Relationship Type="http://schemas.openxmlformats.org/officeDocument/2006/relationships/hyperlink" Id="rId326" Target="https://doi.org/10.1016/j.amepre.2022.08.022" TargetMode="External" /><Relationship Type="http://schemas.openxmlformats.org/officeDocument/2006/relationships/hyperlink" Id="rId409" Target="https://doi.org/10.1016/j.artmed.2020.101987" TargetMode="External" /><Relationship Type="http://schemas.openxmlformats.org/officeDocument/2006/relationships/hyperlink" Id="rId269" Target="https://doi.org/10.1016/j.brat.2019.01.010" TargetMode="External" /><Relationship Type="http://schemas.openxmlformats.org/officeDocument/2006/relationships/hyperlink" Id="rId248" Target="https://doi.org/10.1016/j.brat.2019.103506" TargetMode="External" /><Relationship Type="http://schemas.openxmlformats.org/officeDocument/2006/relationships/hyperlink" Id="rId318" Target="https://doi.org/10.1016/j.cger.2014.04.008" TargetMode="External" /><Relationship Type="http://schemas.openxmlformats.org/officeDocument/2006/relationships/hyperlink" Id="rId254" Target="https://doi.org/10.1016/j.cmpb.2016.09.016" TargetMode="External" /><Relationship Type="http://schemas.openxmlformats.org/officeDocument/2006/relationships/hyperlink" Id="rId417" Target="https://doi.org/10.1016/j.cpr.2005.11.003" TargetMode="External" /><Relationship Type="http://schemas.openxmlformats.org/officeDocument/2006/relationships/hyperlink" Id="rId428" Target="https://doi.org/10.1016/j.cpr.2007.01.002" TargetMode="External" /><Relationship Type="http://schemas.openxmlformats.org/officeDocument/2006/relationships/hyperlink" Id="rId345" Target="https://doi.org/10.1016/j.cpr.2017.10.012" TargetMode="External" /><Relationship Type="http://schemas.openxmlformats.org/officeDocument/2006/relationships/hyperlink" Id="rId283" Target="https://doi.org/10.1016/j.drugalcdep.2006.05.012" TargetMode="External" /><Relationship Type="http://schemas.openxmlformats.org/officeDocument/2006/relationships/hyperlink" Id="rId285"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0" Target="https://doi.org/10.1016/j.drugalcdep.2016.10.038" TargetMode="External" /><Relationship Type="http://schemas.openxmlformats.org/officeDocument/2006/relationships/hyperlink" Id="rId365" Target="https://doi.org/10.1016/j.drugalcdep.2019.05.017" TargetMode="External" /><Relationship Type="http://schemas.openxmlformats.org/officeDocument/2006/relationships/hyperlink" Id="rId271" Target="https://doi.org/10.1016/j.drugalcdep.2020.108350" TargetMode="External" /><Relationship Type="http://schemas.openxmlformats.org/officeDocument/2006/relationships/hyperlink" Id="rId351" Target="https://doi.org/10.1016/j.drugalcdep.2021.108706" TargetMode="External" /><Relationship Type="http://schemas.openxmlformats.org/officeDocument/2006/relationships/hyperlink" Id="rId221" Target="https://doi.org/10.1016/j.drugalcdep.2022.109362" TargetMode="External" /><Relationship Type="http://schemas.openxmlformats.org/officeDocument/2006/relationships/hyperlink" Id="rId296" Target="https://doi.org/10.1016/j.josat.2025.209685" TargetMode="External" /><Relationship Type="http://schemas.openxmlformats.org/officeDocument/2006/relationships/hyperlink" Id="rId231" Target="https://doi.org/10.1016/j.jsat.2013.08.004" TargetMode="External" /><Relationship Type="http://schemas.openxmlformats.org/officeDocument/2006/relationships/hyperlink" Id="rId421" Target="https://doi.org/10.1016/j.jsat.2016.12.010" TargetMode="External" /><Relationship Type="http://schemas.openxmlformats.org/officeDocument/2006/relationships/hyperlink" Id="rId419" Target="https://doi.org/10.1016/j.jsat.2021.108417" TargetMode="External" /><Relationship Type="http://schemas.openxmlformats.org/officeDocument/2006/relationships/hyperlink" Id="rId360" Target="https://doi.org/10.1016/j.jsat.2021.108710" TargetMode="External" /><Relationship Type="http://schemas.openxmlformats.org/officeDocument/2006/relationships/hyperlink" Id="rId407" Target="https://doi.org/10.1016/j.landig.2025.100916" TargetMode="External" /><Relationship Type="http://schemas.openxmlformats.org/officeDocument/2006/relationships/hyperlink" Id="rId343" Target="https://doi.org/10.1016/j.psc.2010.04.012" TargetMode="External" /><Relationship Type="http://schemas.openxmlformats.org/officeDocument/2006/relationships/hyperlink" Id="rId305" Target="https://doi.org/10.1023/A:1008987426876" TargetMode="External" /><Relationship Type="http://schemas.openxmlformats.org/officeDocument/2006/relationships/hyperlink" Id="rId368" Target="https://doi.org/10.1037/0003-066X.47.9.1102" TargetMode="External" /><Relationship Type="http://schemas.openxmlformats.org/officeDocument/2006/relationships/hyperlink" Id="rId426" Target="https://doi.org/10.1037/0003-066X.59.4.224" TargetMode="External" /><Relationship Type="http://schemas.openxmlformats.org/officeDocument/2006/relationships/hyperlink" Id="rId394" Target="https://doi.org/10.1037/0003-066X.60.4.340" TargetMode="External" /><Relationship Type="http://schemas.openxmlformats.org/officeDocument/2006/relationships/hyperlink" Id="rId256" Target="https://doi.org/10.1037/a0037157" TargetMode="External" /><Relationship Type="http://schemas.openxmlformats.org/officeDocument/2006/relationships/hyperlink" Id="rId260" Target="https://doi.org/10.1037/abn0000819" TargetMode="External" /><Relationship Type="http://schemas.openxmlformats.org/officeDocument/2006/relationships/hyperlink" Id="rId252" Target="https://doi.org/10.1037/adb0000292" TargetMode="External" /><Relationship Type="http://schemas.openxmlformats.org/officeDocument/2006/relationships/hyperlink" Id="rId377" Target="https://doi.org/10.1037/adb0000550" TargetMode="External" /><Relationship Type="http://schemas.openxmlformats.org/officeDocument/2006/relationships/hyperlink" Id="rId390" Target="https://doi.org/10.1037/adb0000666" TargetMode="External" /><Relationship Type="http://schemas.openxmlformats.org/officeDocument/2006/relationships/hyperlink" Id="rId267" Target="https://doi.org/10.1037/ccp0000026" TargetMode="External" /><Relationship Type="http://schemas.openxmlformats.org/officeDocument/2006/relationships/hyperlink" Id="rId434" Target="https://doi.org/10.1037/pas0000685" TargetMode="External" /><Relationship Type="http://schemas.openxmlformats.org/officeDocument/2006/relationships/hyperlink" Id="rId258" Target="https://doi.org/10.1037/pha0000210" TargetMode="External" /><Relationship Type="http://schemas.openxmlformats.org/officeDocument/2006/relationships/hyperlink" Id="rId362" Target="https://doi.org/10.1037/tps0000250" TargetMode="External" /><Relationship Type="http://schemas.openxmlformats.org/officeDocument/2006/relationships/hyperlink" Id="rId334" Target="https://doi.org/10.1038/s41380-018-0094-5" TargetMode="External" /><Relationship Type="http://schemas.openxmlformats.org/officeDocument/2006/relationships/hyperlink" Id="rId329" Target="https://doi.org/10.1080/00952990.2019.1694536" TargetMode="External" /><Relationship Type="http://schemas.openxmlformats.org/officeDocument/2006/relationships/hyperlink" Id="rId273" Target="https://doi.org/10.1080/10826084.2021.1899225" TargetMode="External" /><Relationship Type="http://schemas.openxmlformats.org/officeDocument/2006/relationships/hyperlink" Id="rId430" Target="https://doi.org/10.1080/14659891.2018.1523968" TargetMode="External" /><Relationship Type="http://schemas.openxmlformats.org/officeDocument/2006/relationships/hyperlink" Id="rId444" Target="https://doi.org/10.1080/17441692.2023.2277854" TargetMode="External" /><Relationship Type="http://schemas.openxmlformats.org/officeDocument/2006/relationships/hyperlink" Id="rId400" Target="https://doi.org/10.1080/19371918.2013.758975" TargetMode="External" /><Relationship Type="http://schemas.openxmlformats.org/officeDocument/2006/relationships/hyperlink" Id="rId413"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298" Target="https://doi.org/10.1097/ADM.0000000000000312" TargetMode="External" /><Relationship Type="http://schemas.openxmlformats.org/officeDocument/2006/relationships/hyperlink" Id="rId336" Target="https://doi.org/10.1097/JTO.0b013e3181ec173d" TargetMode="External" /><Relationship Type="http://schemas.openxmlformats.org/officeDocument/2006/relationships/hyperlink" Id="rId388" Target="https://doi.org/10.1111/add.13479" TargetMode="External" /><Relationship Type="http://schemas.openxmlformats.org/officeDocument/2006/relationships/hyperlink" Id="rId223" Target="https://doi.org/10.1111/ajad.12784" TargetMode="External" /><Relationship Type="http://schemas.openxmlformats.org/officeDocument/2006/relationships/hyperlink" Id="rId411" Target="https://doi.org/10.1111/j.1530-0277.1984.tb05523.x" TargetMode="External" /><Relationship Type="http://schemas.openxmlformats.org/officeDocument/2006/relationships/hyperlink" Id="rId384" Target="https://doi.org/10.1111/j.1530-0277.2006.00263.x" TargetMode="External" /><Relationship Type="http://schemas.openxmlformats.org/officeDocument/2006/relationships/hyperlink" Id="rId331"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442" Target="https://doi.org/10.1145/1629890.1629897" TargetMode="External" /><Relationship Type="http://schemas.openxmlformats.org/officeDocument/2006/relationships/hyperlink" Id="rId301" Target="https://doi.org/10.1145/1867699.1867704" TargetMode="External" /><Relationship Type="http://schemas.openxmlformats.org/officeDocument/2006/relationships/hyperlink" Id="rId382" Target="https://doi.org/10.1146/annurev-clinpsy-021815-093351" TargetMode="External" /><Relationship Type="http://schemas.openxmlformats.org/officeDocument/2006/relationships/hyperlink" Id="rId353" Target="https://doi.org/10.1146/annurev-clinpsy-032816-044949" TargetMode="External" /><Relationship Type="http://schemas.openxmlformats.org/officeDocument/2006/relationships/hyperlink" Id="rId277" Target="https://doi.org/10.1146/annurev-clinpsy-102419-125016" TargetMode="External" /><Relationship Type="http://schemas.openxmlformats.org/officeDocument/2006/relationships/hyperlink" Id="rId219" Target="https://doi.org/10.1146/annurev.clinpsy.3.022806.091455" TargetMode="External" /><Relationship Type="http://schemas.openxmlformats.org/officeDocument/2006/relationships/hyperlink" Id="rId225" Target="https://doi.org/10.1176/appi.ajp.2014.13081055" TargetMode="External" /><Relationship Type="http://schemas.openxmlformats.org/officeDocument/2006/relationships/hyperlink" Id="rId289"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40" Target="https://doi.org/10.1177/00333549211041554" TargetMode="External" /><Relationship Type="http://schemas.openxmlformats.org/officeDocument/2006/relationships/hyperlink" Id="rId402" Target="https://doi.org/10.1177/0261927X09351676" TargetMode="External" /><Relationship Type="http://schemas.openxmlformats.org/officeDocument/2006/relationships/hyperlink" Id="rId374" Target="https://doi.org/10.1177/1073191114540320" TargetMode="External" /><Relationship Type="http://schemas.openxmlformats.org/officeDocument/2006/relationships/hyperlink" Id="rId432" Target="https://doi.org/10.1177/1073191116653829" TargetMode="External" /><Relationship Type="http://schemas.openxmlformats.org/officeDocument/2006/relationships/hyperlink" Id="rId448" Target="https://doi.org/10.1177/1077558712458541" TargetMode="External" /><Relationship Type="http://schemas.openxmlformats.org/officeDocument/2006/relationships/hyperlink" Id="rId392" Target="https://doi.org/10.1177/1178221820976988" TargetMode="External" /><Relationship Type="http://schemas.openxmlformats.org/officeDocument/2006/relationships/hyperlink" Id="rId404" Target="https://doi.org/10.1177/17456916221134490" TargetMode="External" /><Relationship Type="http://schemas.openxmlformats.org/officeDocument/2006/relationships/hyperlink" Id="rId324" Target="https://doi.org/10.1214/17-EJS1338SI" TargetMode="External" /><Relationship Type="http://schemas.openxmlformats.org/officeDocument/2006/relationships/hyperlink" Id="rId415" Target="https://doi.org/10.1377/hlthaff.20.6.64" TargetMode="External" /><Relationship Type="http://schemas.openxmlformats.org/officeDocument/2006/relationships/hyperlink" Id="rId379" Target="https://doi.org/10.1377/hlthaff.2011.0983" TargetMode="External" /><Relationship Type="http://schemas.openxmlformats.org/officeDocument/2006/relationships/hyperlink" Id="rId227" Target="https://doi.org/10.21231/GNT1-HW21" TargetMode="External" /><Relationship Type="http://schemas.openxmlformats.org/officeDocument/2006/relationships/hyperlink" Id="rId356" Target="https://doi.org/10.2196/29563" TargetMode="External" /><Relationship Type="http://schemas.openxmlformats.org/officeDocument/2006/relationships/hyperlink" Id="rId209" Target="https://doi.org/10.2196/39862" TargetMode="External" /><Relationship Type="http://schemas.openxmlformats.org/officeDocument/2006/relationships/hyperlink" Id="rId436" Target="https://doi.org/10.2196/41833" TargetMode="External" /><Relationship Type="http://schemas.openxmlformats.org/officeDocument/2006/relationships/hyperlink" Id="rId370" Target="https://doi.org/10.2196/73265" TargetMode="External" /><Relationship Type="http://schemas.openxmlformats.org/officeDocument/2006/relationships/hyperlink" Id="rId438" Target="https://doi.org/10.2196/81697" TargetMode="External" /><Relationship Type="http://schemas.openxmlformats.org/officeDocument/2006/relationships/hyperlink" Id="rId292" Target="https://doi.org/10.2196/mental.9777" TargetMode="External" /><Relationship Type="http://schemas.openxmlformats.org/officeDocument/2006/relationships/hyperlink" Id="rId446" Target="https://doi.org/10.2196/mhealth.9117" TargetMode="External" /><Relationship Type="http://schemas.openxmlformats.org/officeDocument/2006/relationships/hyperlink" Id="rId440" Target="https://doi.org/10.31234/osf.io/cgsf7" TargetMode="External" /><Relationship Type="http://schemas.openxmlformats.org/officeDocument/2006/relationships/hyperlink" Id="rId347" Target="https://doi.org/10.35946/arcr.v41.1.01" TargetMode="External" /><Relationship Type="http://schemas.openxmlformats.org/officeDocument/2006/relationships/hyperlink" Id="rId250" Target="https://doi.org/10.48550/arXiv.1810.04805" TargetMode="External" /><Relationship Type="http://schemas.openxmlformats.org/officeDocument/2006/relationships/hyperlink" Id="rId265" Target="https://doi.org/10.5555/ajhb.2007.31.supp.S47" TargetMode="External" /><Relationship Type="http://schemas.openxmlformats.org/officeDocument/2006/relationships/hyperlink" Id="rId450" Target="https://doi.org/10.7326/M14-0295" TargetMode="External" /><Relationship Type="http://schemas.openxmlformats.org/officeDocument/2006/relationships/hyperlink" Id="rId307" Target="https://doi.org/10/gfsjzg" TargetMode="External" /><Relationship Type="http://schemas.openxmlformats.org/officeDocument/2006/relationships/hyperlink" Id="rId263" Target="https://doi.org/10/ghqvcw" TargetMode="External" /><Relationship Type="http://schemas.openxmlformats.org/officeDocument/2006/relationships/hyperlink" Id="rId77" Target="https://jjcurtin.github.io/study_lag/" TargetMode="External" /><Relationship Type="http://schemas.openxmlformats.org/officeDocument/2006/relationships/hyperlink" Id="rId139"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1" Target="https://kendrapaquette.github.io/study_dissertation/notebooks\figures-preview.html#cell-fig-1" TargetMode="External" /><Relationship Type="http://schemas.openxmlformats.org/officeDocument/2006/relationships/hyperlink" Id="rId178" Target="https://kendrapaquette.github.io/study_dissertation/notebooks\figures-preview.html#cell-fig-2" TargetMode="External" /><Relationship Type="http://schemas.openxmlformats.org/officeDocument/2006/relationships/hyperlink" Id="rId108" Target="https://kendrapaquette.github.io/study_dissertation/notebooks\figures-preview.html#cell-fig-2-lag" TargetMode="External" /><Relationship Type="http://schemas.openxmlformats.org/officeDocument/2006/relationships/hyperlink" Id="rId185" Target="https://kendrapaquette.github.io/study_dissertation/notebooks\figures-preview.html#cell-fig-3" TargetMode="External" /><Relationship Type="http://schemas.openxmlformats.org/officeDocument/2006/relationships/hyperlink" Id="rId190" Target="https://kendrapaquette.github.io/study_dissertation/notebooks\figures-preview.html#cell-fig-4" TargetMode="External" /><Relationship Type="http://schemas.openxmlformats.org/officeDocument/2006/relationships/hyperlink" Id="rId126" Target="https://kendrapaquette.github.io/study_dissertation/notebooks\figures-preview.html#cell-fig-4-lag" TargetMode="External" /><Relationship Type="http://schemas.openxmlformats.org/officeDocument/2006/relationships/hyperlink" Id="rId120" Target="https://kendrapaquette.github.io/study_dissertation/notebooks\figures-preview.html#cell-fig-cal" TargetMode="External" /><Relationship Type="http://schemas.openxmlformats.org/officeDocument/2006/relationships/hyperlink" Id="rId38" Target="https://kendrapaquette.github.io/study_dissertation/notebooks\tables-preview.html#cell-tbl-dem" TargetMode="External" /><Relationship Type="http://schemas.openxmlformats.org/officeDocument/2006/relationships/hyperlink" Id="rId114" Target="https://kendrapaquette.github.io/study_dissertation/notebooks\tables-preview.html#cell-tbl-fairness" TargetMode="External" /><Relationship Type="http://schemas.openxmlformats.org/officeDocument/2006/relationships/hyperlink" Id="rId111" Target="https://kendrapaquette.github.io/study_dissertation/notebooks\tables-preview.html#cell-tbl-model" TargetMode="External" /><Relationship Type="http://schemas.openxmlformats.org/officeDocument/2006/relationships/hyperlink" Id="rId51" Target="https://kendrapaquette.github.io/study_dissertation/notebooks\tables-preview.html#cell-tbl-perf-ema" TargetMode="External" /><Relationship Type="http://schemas.openxmlformats.org/officeDocument/2006/relationships/hyperlink" Id="rId162" Target="https://kendrapaquette.github.io/study_dissertation/notebooks\tables-preview.html#cell-tbl-risk2dem" TargetMode="External" /><Relationship Type="http://schemas.openxmlformats.org/officeDocument/2006/relationships/hyperlink" Id="rId166" Target="https://kendrapaquette.github.io/study_dissertation/notebooks\tables-preview.html#cell-tbl-risk2model" TargetMode="External" /><Relationship Type="http://schemas.openxmlformats.org/officeDocument/2006/relationships/hyperlink" Id="rId20" Target="https://osf.io/w5h9y/" TargetMode="External" /><Relationship Type="http://schemas.openxmlformats.org/officeDocument/2006/relationships/hyperlink" Id="rId76" Target="https://osf.io/xta67/" TargetMode="External" /><Relationship Type="http://schemas.openxmlformats.org/officeDocument/2006/relationships/hyperlink" Id="rId138" Target="https://osf.io/zvm7s/overview" TargetMode="External" /><Relationship Type="http://schemas.openxmlformats.org/officeDocument/2006/relationships/hyperlink" Id="rId245" Target="https://www.ncbi.nlm.nih.gov/pmc/articles/PMC2797101" TargetMode="External" /><Relationship Type="http://schemas.openxmlformats.org/officeDocument/2006/relationships/hyperlink" Id="rId423" Target="https://www.ncbi.nlm.nih.gov/pubmed/12199834" TargetMode="External" /><Relationship Type="http://schemas.openxmlformats.org/officeDocument/2006/relationships/hyperlink" Id="rId358" Target="https://www.ncbi.nlm.nih.gov/pubmed/20669516" TargetMode="External" /><Relationship Type="http://schemas.openxmlformats.org/officeDocument/2006/relationships/hyperlink" Id="rId398"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2026-03-30T11:53:03Z</dcterms:created>
  <dcterms:modified xsi:type="dcterms:W3CDTF">2026-03-30T11:53:03Z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2026-03-30</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