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and differences in the strength of geolocation feature importance between these groups.</w:t>
      </w:r>
    </w:p>
    <w:p>
      <w:pPr>
        <w:pStyle w:val="BodyText"/>
      </w:pPr>
      <w:r>
        <w:t xml:space="preserve">If geolocation sensing proves to be less accurate and reliable for rural populations, it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which may be administered once per day, could pose challenges if completed surveys cannot be reliably transmitted over cellular data. We highlight these potential limitations as areas warranting close examination in future work. Nevertheless, we remain optimistic about geolocation potential, given that our models generally performed comparably in rural vs. urban group comparisons.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2026-03-31T00:41:08Z</dcterms:created>
  <dcterms:modified xsi:type="dcterms:W3CDTF">2026-03-31T00:41:08Z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